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Heady Terms of Service Draft</w:t>
      </w:r>
    </w:p>
    <w:p>
      <w:r>
        <w:t>Draft only. Review with counsel before publication.</w:t>
      </w:r>
    </w:p>
    <w:p>
      <w:pPr>
        <w:pStyle w:val="Heading1"/>
      </w:pPr>
      <w:r>
        <w:t>Acceptance</w:t>
      </w:r>
    </w:p>
    <w:p>
      <w:r>
        <w:t>By accessing or using the services, the user agrees to these terms and any service-specific policies incorporated by reference.</w:t>
      </w:r>
    </w:p>
    <w:p>
      <w:pPr>
        <w:pStyle w:val="Heading1"/>
      </w:pPr>
      <w:r>
        <w:t>Eligibility and accounts</w:t>
      </w:r>
    </w:p>
    <w:p>
      <w:r>
        <w:t>Users must provide accurate registration information, protect account credentials, and remain responsible for activity under their accounts.</w:t>
      </w:r>
    </w:p>
    <w:p>
      <w:pPr>
        <w:pStyle w:val="Heading1"/>
      </w:pPr>
      <w:r>
        <w:t>Permitted use</w:t>
      </w:r>
    </w:p>
    <w:p>
      <w:r>
        <w:t>Users may use the services only in compliance with applicable law, documentation, and acceptable use restrictions. Abuse, unauthorized access, reverse engineering beyond permitted law, and unlawful content are prohibited.</w:t>
      </w:r>
    </w:p>
    <w:p>
      <w:pPr>
        <w:pStyle w:val="Heading1"/>
      </w:pPr>
      <w:r>
        <w:t>AI and automated outputs</w:t>
      </w:r>
    </w:p>
    <w:p>
      <w:r>
        <w:t>Outputs may be probabilistic or incomplete. Users remain responsible for reviewing outputs before relying on them in legal, financial, medical, security, or other high-impact contexts.</w:t>
      </w:r>
    </w:p>
    <w:p>
      <w:pPr>
        <w:pStyle w:val="Heading1"/>
      </w:pPr>
      <w:r>
        <w:t>Billing and subscriptions</w:t>
      </w:r>
    </w:p>
    <w:p>
      <w:r>
        <w:t>Paid plans renew as described at purchase unless canceled. Fees, taxes, refunds, trial terms, and billing disputes should be specified in the final commercial terms.</w:t>
      </w:r>
    </w:p>
    <w:p>
      <w:pPr>
        <w:pStyle w:val="Heading1"/>
      </w:pPr>
      <w:r>
        <w:t>Intellectual property</w:t>
      </w:r>
    </w:p>
    <w:p>
      <w:r>
        <w:t>The services, software, documentation, and branding remain the property of the applicable Heady entity or its licensors. Clarify ownership and license terms for user content, prompts, files, and outputs in the final version.</w:t>
      </w:r>
    </w:p>
    <w:p>
      <w:pPr>
        <w:pStyle w:val="Heading1"/>
      </w:pPr>
      <w:r>
        <w:t>Privacy and data handling</w:t>
      </w:r>
    </w:p>
    <w:p>
      <w:r>
        <w:t>Use of personal data is governed by the Privacy Policy and any applicable data processing terms.</w:t>
      </w:r>
    </w:p>
    <w:p>
      <w:pPr>
        <w:pStyle w:val="Heading1"/>
      </w:pPr>
      <w:r>
        <w:t>Termination</w:t>
      </w:r>
    </w:p>
    <w:p>
      <w:r>
        <w:t>We may suspend or terminate access for violations, security concerns, nonpayment, or legal reasons.</w:t>
      </w:r>
    </w:p>
    <w:p>
      <w:pPr>
        <w:pStyle w:val="Heading1"/>
      </w:pPr>
      <w:r>
        <w:t>Disclaimers</w:t>
      </w:r>
    </w:p>
    <w:p>
      <w:r>
        <w:t>Except as expressly stated, the services are provided as-is and as-available, subject to applicable law.</w:t>
      </w:r>
    </w:p>
    <w:p>
      <w:pPr>
        <w:pStyle w:val="Heading1"/>
      </w:pPr>
      <w:r>
        <w:t>Limitation of liability</w:t>
      </w:r>
    </w:p>
    <w:p>
      <w:r>
        <w:t>Insert a jurisdiction-appropriate liability limitation and exclusions reviewed by counsel.</w:t>
      </w:r>
    </w:p>
    <w:p>
      <w:pPr>
        <w:pStyle w:val="Heading1"/>
      </w:pPr>
      <w:r>
        <w:t>Governing law and disputes</w:t>
      </w:r>
    </w:p>
    <w:p>
      <w:r>
        <w:t>Insert the chosen governing law, venue, arbitration or court forum, and any mandatory consumer-law carve-outs.</w:t>
      </w:r>
    </w:p>
    <w:p>
      <w:pPr>
        <w:pStyle w:val="Heading1"/>
      </w:pPr>
      <w:r>
        <w:t>Contact</w:t>
      </w:r>
    </w:p>
    <w:p>
      <w:r>
        <w:t>Insert legal notice and support contact details.</w:t>
      </w:r>
    </w:p>
    <w:p>
      <w:r>
        <w:t xml:space="preserve">Drafting note: This draft should be aligned with the final privacy policy, commercial terms, payment flows, and actual service design reviewed in the repositories, including auth, billing, and API functionality. </w:t>
      </w:r>
      <w:hyperlink r:id="rId9">
        <w:r>
          <w:rPr>
            <w:color w:val="20808D"/>
            <w:u w:val="single"/>
          </w:rPr>
          <w:t>Auth routes reference</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eadyMe/Heady-pre-production-9f2f0642/blob/main/src/auth/auth-route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