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Heady Data Retention Schedule</w:t>
      </w:r>
    </w:p>
    <w:p>
      <w:r>
        <w:t>Operational draft. Replace sample periods with actual approved retention periods and legal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Data Category</w:t>
            </w:r>
          </w:p>
        </w:tc>
        <w:tc>
          <w:tcPr>
            <w:tcW w:type="dxa" w:w="1872"/>
          </w:tcPr>
          <w:p>
            <w:r>
              <w:t>Example Data</w:t>
            </w:r>
          </w:p>
        </w:tc>
        <w:tc>
          <w:tcPr>
            <w:tcW w:type="dxa" w:w="1872"/>
          </w:tcPr>
          <w:p>
            <w:r>
              <w:t>Purpose</w:t>
            </w:r>
          </w:p>
        </w:tc>
        <w:tc>
          <w:tcPr>
            <w:tcW w:type="dxa" w:w="1872"/>
          </w:tcPr>
          <w:p>
            <w:r>
              <w:t>Retention Period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Account records</w:t>
            </w:r>
          </w:p>
        </w:tc>
        <w:tc>
          <w:tcPr>
            <w:tcW w:type="dxa" w:w="1872"/>
          </w:tcPr>
          <w:p>
            <w:r>
              <w:t>User ID, email, username, profile fields</w:t>
            </w:r>
          </w:p>
        </w:tc>
        <w:tc>
          <w:tcPr>
            <w:tcW w:type="dxa" w:w="1872"/>
          </w:tcPr>
          <w:p>
            <w:r>
              <w:t>Account management and security</w:t>
            </w:r>
          </w:p>
        </w:tc>
        <w:tc>
          <w:tcPr>
            <w:tcW w:type="dxa" w:w="1872"/>
          </w:tcPr>
          <w:p>
            <w:r>
              <w:t>Account life + 30-90 days after closure unless longer required</w:t>
            </w:r>
          </w:p>
        </w:tc>
        <w:tc>
          <w:tcPr>
            <w:tcW w:type="dxa" w:w="1872"/>
          </w:tcPr>
          <w:p>
            <w:r>
              <w:t>Preserve where needed for fraud prevention, disputes, or legal holds</w:t>
            </w:r>
          </w:p>
        </w:tc>
      </w:tr>
      <w:tr>
        <w:tc>
          <w:tcPr>
            <w:tcW w:type="dxa" w:w="1872"/>
          </w:tcPr>
          <w:p>
            <w:r>
              <w:t>Authentication and session logs</w:t>
            </w:r>
          </w:p>
        </w:tc>
        <w:tc>
          <w:tcPr>
            <w:tcW w:type="dxa" w:w="1872"/>
          </w:tcPr>
          <w:p>
            <w:r>
              <w:t>Login attempts, token events, MFA events, IP/device signals</w:t>
            </w:r>
          </w:p>
        </w:tc>
        <w:tc>
          <w:tcPr>
            <w:tcW w:type="dxa" w:w="1872"/>
          </w:tcPr>
          <w:p>
            <w:r>
              <w:t>Security, abuse prevention, investigations</w:t>
            </w:r>
          </w:p>
        </w:tc>
        <w:tc>
          <w:tcPr>
            <w:tcW w:type="dxa" w:w="1872"/>
          </w:tcPr>
          <w:p>
            <w:r>
              <w:t>30-180 days depending on risk and tooling</w:t>
            </w:r>
          </w:p>
        </w:tc>
        <w:tc>
          <w:tcPr>
            <w:tcW w:type="dxa" w:w="1872"/>
          </w:tcPr>
          <w:p>
            <w:r>
              <w:t>Minimize fields and restrict access</w:t>
            </w:r>
          </w:p>
        </w:tc>
      </w:tr>
      <w:tr>
        <w:tc>
          <w:tcPr>
            <w:tcW w:type="dxa" w:w="1872"/>
          </w:tcPr>
          <w:p>
            <w:r>
              <w:t>Application logs and diagnostics</w:t>
            </w:r>
          </w:p>
        </w:tc>
        <w:tc>
          <w:tcPr>
            <w:tcW w:type="dxa" w:w="1872"/>
          </w:tcPr>
          <w:p>
            <w:r>
              <w:t>Errors, service telemetry, request metadata</w:t>
            </w:r>
          </w:p>
        </w:tc>
        <w:tc>
          <w:tcPr>
            <w:tcW w:type="dxa" w:w="1872"/>
          </w:tcPr>
          <w:p>
            <w:r>
              <w:t>Operations and incident response</w:t>
            </w:r>
          </w:p>
        </w:tc>
        <w:tc>
          <w:tcPr>
            <w:tcW w:type="dxa" w:w="1872"/>
          </w:tcPr>
          <w:p>
            <w:r>
              <w:t>30-90 days standard; longer for investigations</w:t>
            </w:r>
          </w:p>
        </w:tc>
        <w:tc>
          <w:tcPr>
            <w:tcW w:type="dxa" w:w="1872"/>
          </w:tcPr>
          <w:p>
            <w:r>
              <w:t>Avoid storing full personal content where unnecessary</w:t>
            </w:r>
          </w:p>
        </w:tc>
      </w:tr>
      <w:tr>
        <w:tc>
          <w:tcPr>
            <w:tcW w:type="dxa" w:w="1872"/>
          </w:tcPr>
          <w:p>
            <w:r>
              <w:t>Support communications</w:t>
            </w:r>
          </w:p>
        </w:tc>
        <w:tc>
          <w:tcPr>
            <w:tcW w:type="dxa" w:w="1872"/>
          </w:tcPr>
          <w:p>
            <w:r>
              <w:t>Tickets, emails, attachments</w:t>
            </w:r>
          </w:p>
        </w:tc>
        <w:tc>
          <w:tcPr>
            <w:tcW w:type="dxa" w:w="1872"/>
          </w:tcPr>
          <w:p>
            <w:r>
              <w:t>Customer support and dispute handling</w:t>
            </w:r>
          </w:p>
        </w:tc>
        <w:tc>
          <w:tcPr>
            <w:tcW w:type="dxa" w:w="1872"/>
          </w:tcPr>
          <w:p>
            <w:r>
              <w:t>24 months after closure</w:t>
            </w:r>
          </w:p>
        </w:tc>
        <w:tc>
          <w:tcPr>
            <w:tcW w:type="dxa" w:w="1872"/>
          </w:tcPr>
          <w:p>
            <w:r>
              <w:t>Redact sensitive content where feasible</w:t>
            </w:r>
          </w:p>
        </w:tc>
      </w:tr>
      <w:tr>
        <w:tc>
          <w:tcPr>
            <w:tcW w:type="dxa" w:w="1872"/>
          </w:tcPr>
          <w:p>
            <w:r>
              <w:t>Billing and transaction records</w:t>
            </w:r>
          </w:p>
        </w:tc>
        <w:tc>
          <w:tcPr>
            <w:tcW w:type="dxa" w:w="1872"/>
          </w:tcPr>
          <w:p>
            <w:r>
              <w:t>Invoices, Stripe identifiers, payment status</w:t>
            </w:r>
          </w:p>
        </w:tc>
        <w:tc>
          <w:tcPr>
            <w:tcW w:type="dxa" w:w="1872"/>
          </w:tcPr>
          <w:p>
            <w:r>
              <w:t>Accounting, tax, disputes</w:t>
            </w:r>
          </w:p>
        </w:tc>
        <w:tc>
          <w:tcPr>
            <w:tcW w:type="dxa" w:w="1872"/>
          </w:tcPr>
          <w:p>
            <w:r>
              <w:t>7 years or required statutory period</w:t>
            </w:r>
          </w:p>
        </w:tc>
        <w:tc>
          <w:tcPr>
            <w:tcW w:type="dxa" w:w="1872"/>
          </w:tcPr>
          <w:p>
            <w:r>
              <w:t>Do not retain full payment card data</w:t>
            </w:r>
          </w:p>
        </w:tc>
      </w:tr>
      <w:tr>
        <w:tc>
          <w:tcPr>
            <w:tcW w:type="dxa" w:w="1872"/>
          </w:tcPr>
          <w:p>
            <w:r>
              <w:t>User-submitted content</w:t>
            </w:r>
          </w:p>
        </w:tc>
        <w:tc>
          <w:tcPr>
            <w:tcW w:type="dxa" w:w="1872"/>
          </w:tcPr>
          <w:p>
            <w:r>
              <w:t>Prompts, files, outputs, messages</w:t>
            </w:r>
          </w:p>
        </w:tc>
        <w:tc>
          <w:tcPr>
            <w:tcW w:type="dxa" w:w="1872"/>
          </w:tcPr>
          <w:p>
            <w:r>
              <w:t>Provide requested service features</w:t>
            </w:r>
          </w:p>
        </w:tc>
        <w:tc>
          <w:tcPr>
            <w:tcW w:type="dxa" w:w="1872"/>
          </w:tcPr>
          <w:p>
            <w:r>
              <w:t>Define by product workflow and user controls</w:t>
            </w:r>
          </w:p>
        </w:tc>
        <w:tc>
          <w:tcPr>
            <w:tcW w:type="dxa" w:w="1872"/>
          </w:tcPr>
          <w:p>
            <w:r>
              <w:t>Clarify whether content is used for training or only service delivery</w:t>
            </w:r>
          </w:p>
        </w:tc>
      </w:tr>
      <w:tr>
        <w:tc>
          <w:tcPr>
            <w:tcW w:type="dxa" w:w="1872"/>
          </w:tcPr>
          <w:p>
            <w:r>
              <w:t>Security incidents and evidence</w:t>
            </w:r>
          </w:p>
        </w:tc>
        <w:tc>
          <w:tcPr>
            <w:tcW w:type="dxa" w:w="1872"/>
          </w:tcPr>
          <w:p>
            <w:r>
              <w:t>Incident reports, logs, forensic exports</w:t>
            </w:r>
          </w:p>
        </w:tc>
        <w:tc>
          <w:tcPr>
            <w:tcW w:type="dxa" w:w="1872"/>
          </w:tcPr>
          <w:p>
            <w:r>
              <w:t>Investigation and remediation</w:t>
            </w:r>
          </w:p>
        </w:tc>
        <w:tc>
          <w:tcPr>
            <w:tcW w:type="dxa" w:w="1872"/>
          </w:tcPr>
          <w:p>
            <w:r>
              <w:t>As needed for incident record + legal obligations</w:t>
            </w:r>
          </w:p>
        </w:tc>
        <w:tc>
          <w:tcPr>
            <w:tcW w:type="dxa" w:w="1872"/>
          </w:tcPr>
          <w:p>
            <w:r>
              <w:t>Subject to legal hold and restricted access</w:t>
            </w:r>
          </w:p>
        </w:tc>
      </w:tr>
    </w:tbl>
    <w:p>
      <w:r>
        <w:t xml:space="preserve">Legal baseline: GDPR Articles 13, 14, and 30 emphasize retention disclosures and processing records; California law requires notice of retention periods or criteria at or before collection. </w:t>
      </w:r>
      <w:hyperlink r:id="rId9">
        <w:r>
          <w:rPr>
            <w:color w:val="20808D"/>
            <w:u w:val="single"/>
          </w:rPr>
          <w:t>GDPR</w:t>
        </w:r>
      </w:hyperlink>
      <w:r>
        <w:t xml:space="preserve"> | </w:t>
      </w:r>
      <w:hyperlink r:id="rId10">
        <w:r>
          <w:rPr>
            <w:color w:val="20808D"/>
            <w:u w:val="single"/>
          </w:rPr>
          <w:t>California law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eli/reg/2016/679/oj/eng" TargetMode="External"/><Relationship Id="rId10" Type="http://schemas.openxmlformats.org/officeDocument/2006/relationships/hyperlink" Target="https://leginfo.legislature.ca.gov/faces/codes_displayText.xhtml?division=3.&amp;part=4.&amp;lawCode=CIV&amp;title=1.81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