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Heady DSAR / Consumer Rights Procedure</w:t>
      </w:r>
    </w:p>
    <w:p>
      <w:pPr>
        <w:pStyle w:val="Heading1"/>
      </w:pPr>
      <w:r>
        <w:t>1. Intake</w:t>
      </w:r>
    </w:p>
    <w:p>
      <w:r>
        <w:t>Receive requests through designated channels such as privacy email, web form, or support process. Log request date, identity information supplied, product/service involved, jurisdiction, and request type.</w:t>
      </w:r>
    </w:p>
    <w:p>
      <w:pPr>
        <w:pStyle w:val="Heading1"/>
      </w:pPr>
      <w:r>
        <w:t>2. Classify</w:t>
      </w:r>
    </w:p>
    <w:p>
      <w:r>
        <w:t>Determine whether the request is for access, deletion, correction, portability, restriction, objection, opt-out, or limitation of sensitive personal information use.</w:t>
      </w:r>
    </w:p>
    <w:p>
      <w:pPr>
        <w:pStyle w:val="Heading1"/>
      </w:pPr>
      <w:r>
        <w:t>3. Verify identity</w:t>
      </w:r>
    </w:p>
    <w:p>
      <w:r>
        <w:t>Apply reasonable verification proportionate to risk and sensitivity. Do not collect unnecessary new data solely for verification.</w:t>
      </w:r>
    </w:p>
    <w:p>
      <w:pPr>
        <w:pStyle w:val="Heading1"/>
      </w:pPr>
      <w:r>
        <w:t>4. Confirm scope and systems</w:t>
      </w:r>
    </w:p>
    <w:p>
      <w:r>
        <w:t>Identify the systems, vendors, logs, billing tools, support platforms, and repositories potentially containing the requester’s personal data.</w:t>
      </w:r>
    </w:p>
    <w:p>
      <w:pPr>
        <w:pStyle w:val="Heading1"/>
      </w:pPr>
      <w:r>
        <w:t>5. Review exemptions</w:t>
      </w:r>
    </w:p>
    <w:p>
      <w:r>
        <w:t>Check for legal retention requirements, security exceptions, fraud prevention, legal claims, or rights of others.</w:t>
      </w:r>
    </w:p>
    <w:p>
      <w:pPr>
        <w:pStyle w:val="Heading1"/>
      </w:pPr>
      <w:r>
        <w:t>6. Fulfill or explain</w:t>
      </w:r>
    </w:p>
    <w:p>
      <w:r>
        <w:t>Provide the requested data or action, or explain any full or partial denial with the applicable legal basis.</w:t>
      </w:r>
    </w:p>
    <w:p>
      <w:pPr>
        <w:pStyle w:val="Heading1"/>
      </w:pPr>
      <w:r>
        <w:t>7. Track deadlines</w:t>
      </w:r>
    </w:p>
    <w:p>
      <w:r>
        <w:t>GDPR generally requires response within one month; California and Colorado generally require 45 days with limited extensions; log extensions with reasons.</w:t>
      </w:r>
    </w:p>
    <w:p>
      <w:pPr>
        <w:pStyle w:val="Heading1"/>
      </w:pPr>
      <w:r>
        <w:t>8. Close and retain record</w:t>
      </w:r>
    </w:p>
    <w:p>
      <w:r>
        <w:t>Retain an internal record of the request, verification, action taken, dates, and communications.</w:t>
      </w:r>
    </w:p>
    <w:p>
      <w:r>
        <w:t xml:space="preserve">Authorities: </w:t>
      </w:r>
      <w:hyperlink r:id="rId9">
        <w:r>
          <w:rPr>
            <w:color w:val="20808D"/>
            <w:u w:val="single"/>
          </w:rPr>
          <w:t>GDPR Articles 12 and 15-21</w:t>
        </w:r>
      </w:hyperlink>
      <w:r>
        <w:t xml:space="preserve">; </w:t>
      </w:r>
      <w:hyperlink r:id="rId10">
        <w:r>
          <w:rPr>
            <w:color w:val="20808D"/>
            <w:u w:val="single"/>
          </w:rPr>
          <w:t>California consumer rights provisions</w:t>
        </w:r>
      </w:hyperlink>
      <w:r>
        <w:t xml:space="preserve">; </w:t>
      </w:r>
      <w:hyperlink r:id="rId11">
        <w:r>
          <w:rPr>
            <w:color w:val="20808D"/>
            <w:u w:val="single"/>
          </w:rPr>
          <w:t>Colorado Privacy Act overview</w:t>
        </w:r>
      </w:hyperlink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ur-lex.europa.eu/eli/reg/2016/679/oj/eng" TargetMode="External"/><Relationship Id="rId10" Type="http://schemas.openxmlformats.org/officeDocument/2006/relationships/hyperlink" Target="https://leginfo.legislature.ca.gov/faces/codes_displayText.xhtml?division=3.&amp;part=4.&amp;lawCode=CIV&amp;title=1.81.5" TargetMode="External"/><Relationship Id="rId11" Type="http://schemas.openxmlformats.org/officeDocument/2006/relationships/hyperlink" Target="https://coag.gov/resources/colorado-privacy-a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