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Heady Incident and Breach Response Runbook</w:t>
      </w:r>
    </w:p>
    <w:p>
      <w:r>
        <w:t>Operational runbook aligned to the NIST incident response lifecycle and privacy breach timing requirements.</w:t>
      </w:r>
    </w:p>
    <w:p>
      <w:pPr>
        <w:pStyle w:val="Heading1"/>
      </w:pPr>
      <w:r>
        <w:t>Preparation</w:t>
      </w:r>
    </w:p>
    <w:p>
      <w:r>
        <w:t>Define the incident response team, severity matrix, escalation paths, logging and evidence preservation standards, communications templates, and vendor contacts. Ensure access to logs, backups, cloud consoles, and legal/privacy leadership.</w:t>
      </w:r>
    </w:p>
    <w:p>
      <w:pPr>
        <w:pStyle w:val="Heading1"/>
      </w:pPr>
      <w:r>
        <w:t>Detection and analysis</w:t>
      </w:r>
    </w:p>
    <w:p>
      <w:r>
        <w:t>Triage indicators from logs, alerts, users, vendors, and monitoring systems. Confirm what happened, affected systems, data categories, users, and timeline. Preserve evidence and assess whether personal data is involved.</w:t>
      </w:r>
    </w:p>
    <w:p>
      <w:pPr>
        <w:pStyle w:val="Heading1"/>
      </w:pPr>
      <w:r>
        <w:t>Containment, eradication, and recovery</w:t>
      </w:r>
    </w:p>
    <w:p>
      <w:r>
        <w:t>Isolate affected systems, revoke compromised credentials, block malicious traffic, patch vulnerabilities, remove malicious artifacts, restore from clean backups, and monitor for recurrence before returning to normal operations.</w:t>
      </w:r>
    </w:p>
    <w:p>
      <w:pPr>
        <w:pStyle w:val="Heading1"/>
      </w:pPr>
      <w:r>
        <w:t>Post-incident activity</w:t>
      </w:r>
    </w:p>
    <w:p>
      <w:r>
        <w:t>Run a lessons-learned review, update controls, log root causes, retain a final report, and update documentation and training.</w:t>
      </w:r>
    </w:p>
    <w:p>
      <w:pPr>
        <w:pStyle w:val="Heading1"/>
      </w:pPr>
      <w:r>
        <w:t>Privacy breach overlay</w:t>
      </w:r>
    </w:p>
    <w:p>
      <w:r>
        <w:t>If personal data is involved, evaluate regulatory and contractual notification triggers immediately. GDPR may require supervisory authority notice within 72 hours of awareness and notice to affected individuals without undue delay when high risk applies. Maintain breach documentation regardless of reportability.</w:t>
      </w:r>
    </w:p>
    <w:p>
      <w:r>
        <w:t xml:space="preserve">Sources: </w:t>
      </w:r>
      <w:hyperlink r:id="rId9">
        <w:r>
          <w:rPr>
            <w:color w:val="20808D"/>
            <w:u w:val="single"/>
          </w:rPr>
          <w:t>NIST SP 800-61 Rev. 2</w:t>
        </w:r>
      </w:hyperlink>
      <w:r>
        <w:t xml:space="preserve"> and </w:t>
      </w:r>
      <w:hyperlink r:id="rId10">
        <w:r>
          <w:rPr>
            <w:color w:val="20808D"/>
            <w:u w:val="single"/>
          </w:rPr>
          <w:t>GDPR Articles 33 and 34</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vlpubs.nist.gov/nistpubs/SpecialPublications/NIST.SP.800-61r2.pdf" TargetMode="External"/><Relationship Id="rId10" Type="http://schemas.openxmlformats.org/officeDocument/2006/relationships/hyperlink" Target="https://eur-lex.europa.eu/eli/reg/2016/679/oj/e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