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0F2557"/>
          <w:sz w:val="60"/>
          <w:szCs w:val="60"/>
        </w:rPr>
        <w:t xml:space="preserve">HEADY PROJECT</w:t>
      </w:r>
    </w:p>
    <w:p>
      <w:pPr>
        <w:spacing w:after="60"/>
        <w:jc w:val="center"/>
      </w:pPr>
      <w:r>
        <w:rPr>
          <w:rFonts w:ascii="Arial" w:cs="Arial" w:eastAsia="Arial" w:hAnsi="Arial"/>
          <w:color w:val="1B5E9E"/>
          <w:sz w:val="36"/>
          <w:szCs w:val="36"/>
        </w:rPr>
        <w:t xml:space="preserve">Definitive Master Task List</w:t>
      </w:r>
    </w:p>
    <w:p>
      <w:pPr>
        <w:spacing w:after="60"/>
        <w:jc w:val="center"/>
      </w:pPr>
      <w:r>
        <w:rPr>
          <w:rFonts w:ascii="Arial" w:cs="Arial" w:eastAsia="Arial" w:hAnsi="Arial"/>
          <w:color w:val="1B5E9E"/>
          <w:sz w:val="36"/>
          <w:szCs w:val="36"/>
        </w:rPr>
        <w:t xml:space="preserve">&amp; Operational Improvement Roadmap</w:t>
      </w:r>
    </w:p>
    <w:p>
      <w:pPr>
        <w:pBdr>
          <w:top w:val="single" w:color="1B5E9E" w:sz="6" w:space="16"/>
        </w:pBdr>
        <w:spacing w:after="100" w:before="400"/>
        <w:jc w:val="center"/>
      </w:pPr>
      <w:r>
        <w:rPr>
          <w:rFonts w:ascii="Arial" w:cs="Arial" w:eastAsia="Arial" w:hAnsi="Arial"/>
          <w:color w:val="666666"/>
          <w:sz w:val="20"/>
          <w:szCs w:val="20"/>
        </w:rPr>
        <w:t xml:space="preserve">Forensic Deep-Scan Analysis of HeadyMe / HeadySystems Repositories</w:t>
      </w:r>
    </w:p>
    <w:p>
      <w:pPr>
        <w:spacing w:after="60"/>
        <w:jc w:val="center"/>
      </w:pPr>
      <w:r>
        <w:rPr>
          <w:rFonts w:ascii="Arial" w:cs="Arial" w:eastAsia="Arial" w:hAnsi="Arial"/>
          <w:b/>
          <w:bCs/>
          <w:color w:val="B71C1C"/>
          <w:sz w:val="22"/>
          <w:szCs w:val="22"/>
        </w:rPr>
        <w:t xml:space="preserve">250+ Detailed Tasks • 15 Domains • All ASAP Implementation</w:t>
      </w:r>
    </w:p>
    <w:p>
      <w:pPr>
        <w:spacing w:after="60"/>
        <w:jc w:val="center"/>
      </w:pPr>
      <w:r>
        <w:rPr>
          <w:rFonts w:ascii="Arial" w:cs="Arial" w:eastAsia="Arial" w:hAnsi="Arial"/>
          <w:color w:val="888888"/>
          <w:sz w:val="20"/>
          <w:szCs w:val="20"/>
        </w:rPr>
        <w:t xml:space="preserve">March 11, 2026</w:t>
      </w:r>
    </w:p>
    <w:p>
      <w:pPr>
        <w:spacing w:before="400"/>
        <w:jc w:val="center"/>
      </w:pPr>
      <w:r>
        <w:rPr>
          <w:rFonts w:ascii="Arial" w:cs="Arial" w:eastAsia="Arial" w:hAnsi="Arial"/>
          <w:i/>
          <w:iCs/>
          <w:color w:val="666666"/>
          <w:sz w:val="20"/>
          <w:szCs w:val="20"/>
        </w:rPr>
        <w:t xml:space="preserve">Prepared for: HeadyBuddy (Lead Integration Developer)</w:t>
      </w:r>
    </w:p>
    <w:p>
      <w:pPr>
        <w:spacing w:before="100"/>
        <w:jc w:val="center"/>
      </w:pPr>
      <w:r>
        <w:rPr>
          <w:rFonts w:ascii="Arial" w:cs="Arial" w:eastAsia="Arial" w:hAnsi="Arial"/>
          <w:color w:val="999999"/>
          <w:sz w:val="18"/>
          <w:szCs w:val="18"/>
        </w:rPr>
        <w:t xml:space="preserve">© 2026 HeadySystems Inc. — Eric Haywood, Founder — 51 Provisional Patents</w:t>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0F2557"/>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0F2557"/>
          <w:sz w:val="28"/>
          <w:szCs w:val="28"/>
        </w:rPr>
        <w:t xml:space="preserve">1. Executive Overview</w:t>
      </w:r>
    </w:p>
    <w:p>
      <w:pPr>
        <w:spacing w:after="90"/>
      </w:pPr>
      <w:r>
        <w:rPr>
          <w:rFonts w:ascii="Arial" w:cs="Arial" w:eastAsia="Arial" w:hAnsi="Arial"/>
          <w:color w:val="333333"/>
          <w:sz w:val="19"/>
          <w:szCs w:val="19"/>
        </w:rPr>
        <w:t xml:space="preserve">This document constitutes the definitive master task list for the HeadyMe/HeadySystems ecosystem, synthesized from forensic repository deep-scan analysis, six comprehensive architectural documents, and two rounds of advanced research covering 14 technical domains with 2025-2026 sources. Every task is assigned ASAP implementation priority. The document covers: critical security remediation, architecture refactoring, CI/CD maturation, infrastructure hardening, multi-agent Sacred Geometry orchestration, Model Context Protocol integration, MIDI 2.0 UMP transport, Human-in-the-Loop cryptographic bus, Apex Trader Funding compliance engine, deep reinforcement learning training pipeline, UI/UX and admin dashboard, HeadyCoin token economics, governance and compliance, and commercial deployment.</w:t>
      </w:r>
    </w:p>
    <w:p>
      <w:pPr>
        <w:spacing w:after="90"/>
      </w:pPr>
      <w:r>
        <w:rPr>
          <w:rFonts w:ascii="Arial" w:cs="Arial" w:eastAsia="Arial" w:hAnsi="Arial"/>
          <w:color w:val="333333"/>
          <w:sz w:val="19"/>
          <w:szCs w:val="19"/>
        </w:rPr>
        <w:t xml:space="preserve">Total: 250+ discrete actionable tasks across 15 sections. Priority classifications: CRITICAL (existential risk, blocks all work), HIGH (blocks production), MEDIUM (significant improvement), LOW (optimization and long-term value). All tasks carry an ASAP implementation directive with no phased deferrals.</w:t>
      </w:r>
    </w:p>
    <w:p>
      <w:r>
        <w:br w:type="page"/>
      </w:r>
    </w:p>
    <w:p>
      <w:pPr>
        <w:pStyle w:val="Heading1"/>
        <w:spacing w:after="160" w:before="320"/>
      </w:pPr>
      <w:r>
        <w:rPr>
          <w:rFonts w:ascii="Arial" w:cs="Arial" w:eastAsia="Arial" w:hAnsi="Arial"/>
          <w:b/>
          <w:bCs/>
          <w:color w:val="0F2557"/>
          <w:sz w:val="28"/>
          <w:szCs w:val="28"/>
        </w:rPr>
        <w:t xml:space="preserve">2. Critical Security Remediation</w:t>
      </w:r>
    </w:p>
    <w:p>
      <w:pPr>
        <w:spacing w:after="90"/>
      </w:pPr>
      <w:r>
        <w:rPr>
          <w:rFonts w:ascii="Arial" w:cs="Arial" w:eastAsia="Arial" w:hAnsi="Arial"/>
          <w:color w:val="333333"/>
          <w:sz w:val="19"/>
          <w:szCs w:val="19"/>
        </w:rPr>
        <w:t xml:space="preserve">No development, testing, deployment, or capital allocation may proceed until every CRITICAL item in this section is resolved. The repository contains existential security vulnerabilities including plaintext database credentials committed to public Git history, exposed operational metadata, and backup files containing full application logic.</w:t>
      </w:r>
    </w:p>
    <w:p>
      <w:pPr>
        <w:pStyle w:val="Heading2"/>
        <w:spacing w:after="120" w:before="240"/>
      </w:pPr>
      <w:r>
        <w:rPr>
          <w:rFonts w:ascii="Arial" w:cs="Arial" w:eastAsia="Arial" w:hAnsi="Arial"/>
          <w:b/>
          <w:bCs/>
          <w:color w:val="1B5E9E"/>
          <w:sz w:val="24"/>
          <w:szCs w:val="24"/>
        </w:rPr>
        <w:t xml:space="preserve">2.1 Credential Purge and Secret Eradication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2.1.1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PURGE .env.hybrid FROM ENTIRE GIT HISTORY. This file was committed to the public repository containing DATABASE_URL=postgresql://heady:heady_secret@... in plaintext, granting any unauthorized actor complete access to the PostgreSQL database storing proprietary alpha signals, backtesting weights, and live execution logs. Use git filter-repo (recommended by Git project) or BFG Repo-Cleaner v1.15.0 on a --mirror clone. Execute: git filter-repo --invert-paths --path .env.hybrid across ALL branches. Force-push and require all collaborators to re-clone. Simple deletion in a new commit is insufficient as the file remains fully recoverable from the historical ledger.</w:t>
            </w:r>
          </w:p>
        </w:tc>
        <w:tc>
          <w:tcPr>
            <w:tcW w:type="dxa" w:w="2100"/>
            <w:tcBorders>
              <w:top w:val="single" w:color="BBBBBB" w:sz="1"/>
              <w:left w:val="single" w:color="BBBBBB" w:sz="1"/>
              <w:bottom w:val="single" w:color="BBBBBB" w:sz="1"/>
              <w:right w:val="single" w:color="BBBBBB"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2.1.2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ROTATE ALL EXPOSED DATABASE CREDENTIALS immediately on the PostgreSQL server. Generate new cryptographically random password of minimum 32 characters using openssl rand -base64 48. Update all application connection strings to reference credentials exclusively via HashiCorp Vault, AWS Secrets Manager, or Doppler runtime injection. Audit database access logs to determine whether unauthorized access occurred during the exposure window. Change all related service account passwords.</w:t>
            </w:r>
          </w:p>
        </w:tc>
        <w:tc>
          <w:tcPr>
            <w:tcW w:type="dxa" w:w="2100"/>
            <w:tcBorders>
              <w:top w:val="single" w:color="BBBBBB" w:sz="1"/>
              <w:left w:val="single" w:color="BBBBBB" w:sz="1"/>
              <w:bottom w:val="single" w:color="BBBBBB" w:sz="1"/>
              <w:right w:val="single" w:color="BBBBBB"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2.1.3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REMOVE server.pid FROM VERSION CONTROL. Add to .gitignore permanently. This file exposes internal process identifiers of the host machine, enabling targeted process-injection attacks against the trading system runtime. Execute: git rm --cached server.pid &amp;&amp; echo 'server.pid' &gt;&gt; .gitignore</w:t>
            </w:r>
          </w:p>
        </w:tc>
        <w:tc>
          <w:tcPr>
            <w:tcW w:type="dxa" w:w="2100"/>
            <w:tcBorders>
              <w:top w:val="single" w:color="BBBBBB" w:sz="1"/>
              <w:left w:val="single" w:color="BBBBBB" w:sz="1"/>
              <w:bottom w:val="single" w:color="BBBBBB" w:sz="1"/>
              <w:right w:val="single" w:color="BBBBBB"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2.1.4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REMOVE audit_logs.jsonl AND .heady_deploy_log.jsonl from version control. These files expose deployment frequencies, error states, internal event logs, build identifiers, environment configurations, and deployment outcomes that map the system architecture for adversarial actors. Migrate all operational logging to cloud-native services (Grafana Loki, Datadog, CloudWatch) that never touch the repository.</w:t>
            </w:r>
          </w:p>
        </w:tc>
        <w:tc>
          <w:tcPr>
            <w:tcW w:type="dxa" w:w="2100"/>
            <w:tcBorders>
              <w:top w:val="single" w:color="BBBBBB" w:sz="1"/>
              <w:left w:val="single" w:color="BBBBBB" w:sz="1"/>
              <w:bottom w:val="single" w:color="BBBBBB" w:sz="1"/>
              <w:right w:val="single" w:color="BBBBBB"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2.1.5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DELETE heady-manager.js.bak (71KB) from the repository. This backup file contains full application logic from a previous version with potentially deprecated, insecure code paths, hardcoded credentials, or vulnerable dependencies. Execute: git filter-repo --invert-paths --path heady-manager.js.bak to purge from all history.</w:t>
            </w:r>
          </w:p>
        </w:tc>
        <w:tc>
          <w:tcPr>
            <w:tcW w:type="dxa" w:w="2100"/>
            <w:tcBorders>
              <w:top w:val="single" w:color="BBBBBB" w:sz="1"/>
              <w:left w:val="single" w:color="BBBBBB" w:sz="1"/>
              <w:bottom w:val="single" w:color="BBBBBB" w:sz="1"/>
              <w:right w:val="single" w:color="BBBBBB"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2.1.6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ENABLE GITHUB ADVANCED SECURITY: activate secret scanning alerts and push protection. Configure as mandatory branch protection rule that blocks any commit containing API keys, private RSA keys, database passwords, JWT secrets, AWS credentials, or other sensitive tokens. Enable for all branches including feature branches.</w:t>
            </w:r>
          </w:p>
        </w:tc>
        <w:tc>
          <w:tcPr>
            <w:tcW w:type="dxa" w:w="2100"/>
            <w:tcBorders>
              <w:top w:val="single" w:color="BBBBBB" w:sz="1"/>
              <w:left w:val="single" w:color="BBBBBB" w:sz="1"/>
              <w:bottom w:val="single" w:color="BBBBBB" w:sz="1"/>
              <w:right w:val="single" w:color="BBBBBB"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2.1.7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COMPREHENSIVE .gitignore covering: .env*, *.pid, *.bak, *.old, *.log, *.key, *.pem, audit_logs*, deploy_log*, node_modules/, __pycache__/, .pytest_cache/, *.pyc, dist/, build/, coverage/, .DS_Store, Thumbs.db, *.swp, *.swo, .idea/, .vscode/settings.json, and any IDE-specific configuration containing local paths.</w:t>
            </w:r>
          </w:p>
        </w:tc>
        <w:tc>
          <w:tcPr>
            <w:tcW w:type="dxa" w:w="2100"/>
            <w:tcBorders>
              <w:top w:val="single" w:color="BBBBBB" w:sz="1"/>
              <w:left w:val="single" w:color="BBBBBB" w:sz="1"/>
              <w:bottom w:val="single" w:color="BBBBBB" w:sz="1"/>
              <w:right w:val="single" w:color="BBBBBB"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2.1.8</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DEPLOY ENTERPRISE SECRETS MANAGEMENT using HashiCorp Vault v1.18+ with dynamic secrets and TTL-based auto-rotation. Configure database secret engine with default_ttl=1h max_ttl=24h for trading credentials. For faster time-to-value alternative, deploy Doppler with doppler run -- python trading_bot.py for runtime secret injection. No secrets may exist in any file, configuration, or source code.</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2.1.9</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PRE-COMMIT SECRET SCANNING using TruffleHog v3.88+ (800+ credential detectors with active API verification) as a pre-commit hook. Add gitleaks v8.24.2 as secondary scanner with custom .gitleaks.toml rules for financial API key patterns. Configure both to run on every git commit and reject commits containing high-entropy strings or known credential patterns.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2.1.10</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AUDIT COMPLETE GIT HISTORY across all branches and tags for any additional credential leaks. Run: trufflehog git file://. --results=verified,unknown --only-verified=false. Document all findings, rotate all discovered credentials, and create a remediation report.</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2.1.11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FIX VERSION DESYNCHRONIZATION. Currently package.json says v2.1.0, .env.hybrid says v2.0.0, .env.example says v3.0.0, and documentation says v3.0.0+. Unify to single source of truth via packageManager field in package.json and enforce via pre-commit hooks using standard-version or semantic-release.</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2.1.12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JUST-IN-TIME CREDENTIAL PROVISIONING for all agent services. Each AI agent (Alpha, Risk, Execution, Sentinel, Compliance) receives scoped, short-lived credentials with minimum necessary privileges. Use Vault's AppRole auth method with role_id + secret_id bound to specific agent containers.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2"/>
        <w:spacing w:after="120" w:before="240"/>
      </w:pPr>
      <w:r>
        <w:rPr>
          <w:rFonts w:ascii="Arial" w:cs="Arial" w:eastAsia="Arial" w:hAnsi="Arial"/>
          <w:b/>
          <w:bCs/>
          <w:color w:val="1B5E9E"/>
          <w:sz w:val="24"/>
          <w:szCs w:val="24"/>
        </w:rPr>
        <w:t xml:space="preserve">2.2 Repository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2.2.1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AUDIT AND RESTRICT REPOSITORY VISIBILITY. If public while containing proprietary trading algorithms, patent-protected IP (51 provisional patents), or Sacred Geometry orchestration logic, convert to private immediately. Implement branch protection requiring minimum 2 code reviews for merges to main/production.</w:t>
            </w:r>
          </w:p>
        </w:tc>
        <w:tc>
          <w:tcPr>
            <w:tcW w:type="dxa" w:w="2100"/>
            <w:tcBorders>
              <w:top w:val="single" w:color="BBBBBB" w:sz="1"/>
              <w:left w:val="single" w:color="BBBBBB" w:sz="1"/>
              <w:bottom w:val="single" w:color="BBBBBB" w:sz="1"/>
              <w:right w:val="single" w:color="BBBBBB"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2.2.2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RBAC for repository access. Define tiers: read-only for observers, write for active developers, admin restricted to HeadyBuddy and designated security personnel. Enable CODEOWNERS file requiring specific reviewers for security-sensitive paths (/src/crypto/, /src/agents/, /config/).</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2.2.3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MANDATE 2FA for all repository contributors. Require FIDO2/WebAuthn hardware security keys for accounts with write access to production branches. Configure GitHub organization policy to enforce.</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2.2.4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ENABLE SIGNED COMMITS. Require GPG or SSH signing for all commits. Configure branch protection to reject unsigned commits. Establish verified chain of authorship for audit trail compliance.</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2.2.5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CONFIGURE DEPENDABOT for all package ecosystems (npm, pip, cargo). Auto-create PRs for critical/high CVEs with 24-hour SLA. Enable Dependabot security updates and version updates on weekly schedule.</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2.2.6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GENERATE SOFTWARE BILL OF MATERIALS using Syft in CycloneDX format on every CI build. Archive SBOMs alongside releases. Target SLSA Level 2 provenance using slsa-github-generator GitHub Actions.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1"/>
        <w:spacing w:after="160" w:before="320"/>
      </w:pPr>
      <w:r>
        <w:rPr>
          <w:rFonts w:ascii="Arial" w:cs="Arial" w:eastAsia="Arial" w:hAnsi="Arial"/>
          <w:b/>
          <w:bCs/>
          <w:color w:val="0F2557"/>
          <w:sz w:val="28"/>
          <w:szCs w:val="28"/>
        </w:rPr>
        <w:t xml:space="preserve">3. Architecture and Code Quality Refactoring</w:t>
      </w:r>
    </w:p>
    <w:p>
      <w:pPr>
        <w:spacing w:after="90"/>
      </w:pPr>
      <w:r>
        <w:rPr>
          <w:rFonts w:ascii="Arial" w:cs="Arial" w:eastAsia="Arial" w:hAnsi="Arial"/>
          <w:color w:val="333333"/>
          <w:sz w:val="19"/>
          <w:szCs w:val="19"/>
        </w:rPr>
        <w:t xml:space="preserve">The repository houses 90+ files in root directory, contains God class anti-patterns (heady-manager.js at 90KB, site-generator.js at 91KB), four duplicate build scripts, mixed language boundaries, dual package managers, scattered test files, and duplicate config directories. Every structural deficiency must be resolved.</w:t>
      </w:r>
    </w:p>
    <w:p>
      <w:pPr>
        <w:pStyle w:val="Heading2"/>
        <w:spacing w:after="120" w:before="240"/>
      </w:pPr>
      <w:r>
        <w:rPr>
          <w:rFonts w:ascii="Arial" w:cs="Arial" w:eastAsia="Arial" w:hAnsi="Arial"/>
          <w:b/>
          <w:bCs/>
          <w:color w:val="1B5E9E"/>
          <w:sz w:val="24"/>
          <w:szCs w:val="24"/>
        </w:rPr>
        <w:t xml:space="preserve">3.1 Monolith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3.1.1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REFACTOR heady-manager.js (90KB God class) using the Strangler Fig pattern. Create facade delegating all calls to original, then extract one responsibility at a time: /src/orchestrator/ (multi-agent coordination), /src/middleware/ (auth, logging, rate limiting), /src/routing/ (HTTP and WebSocket routes), /src/agents/ (agent class definitions), /src/health/ (health check endpoints). Each module gets its own unit test file. Never rewrite from scratch; never stop delivery.</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3.1.2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REFACTOR site-generator.js (91KB God class) into framework-based frontend using Vite 7 or Next.js. Split by: template type, site section, component responsibility. Separate data fetching, template rendering, style generation, and asset management into distinct modules.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3.1.3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CONSOLIDATE FOUR DUPLICATE BUILD SCRIPTS (hcautobuild.ps1 21KB, hc_autobuild.ps1 36KB, hcautobuild_enhanced.ps1 21KB, hcautobuild_optimizer.ps1 20KB) into single parameterized deployment script. Accept environment flags for local development, backtesting, staging, and live execution contexts.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3.1.4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ESTABLISH LANGUAGE BOUNDARIES. Move Python files (src/__init__.py, all .py) to /src/python/ and JavaScript to /src/node/. Each runtime gets own dependency management, test config, and build pipeline. Cross-language IPC via well-defined network socket interfaces only.</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3.1.5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CONSOLIDATE config/ AND configs/ directories into single /config with subdirectories: development/, staging/, production/, backtesting/. Implement configuration loader that validates all required keys at startup with clear error messages for missing values.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3.1.6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STANDARDIZE ON pnpm v9 for Node.js (strict dependency isolation, content-addressable storage, 3x faster than npm) and uv v0.10+ for Python (Rust-based, 10-100x faster than pip). Delete package-lock.json. Enforce via packageManager field and .npmrc with engine-strict=true.</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3.1.7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MOVE ALL TEST FILES from root directory to /tests/unit/, /tests/integration/, /tests/e2e/ mirroring /src structure. Update Jest and pytest configuration to reference new locations.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3.1.8</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CREATE PROJECT DIRECTORY HIERARCHY: /src, /tests, /config, /scripts, /docs, /deploy, /agents, /contracts, /models, /data. Extract all inline configuration values and magic numbers into centralized config files.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3.1.9</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MODULAR PLUGIN ARCHITECTURE for MCP server integrations. Each connector (Hummingbot, MetaTrader 5, Alpaca, AlphaVantage, Bright Data, Rithmic, Tradovate) as independent hot-swappable module loadable without restarting orchestration engine.</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3.1.10</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ADOPT MONOREPO MANAGEMENT using Turborepo 2.7+ (Composable Configuration, ~20 lines config, 3x faster builds). Configure pnpm workspaces for packages: @heady/core, @heady/agents, @heady/trading, @heady/crypto, @heady/ui.</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2"/>
        <w:spacing w:after="120" w:before="240"/>
      </w:pPr>
      <w:r>
        <w:rPr>
          <w:rFonts w:ascii="Arial" w:cs="Arial" w:eastAsia="Arial" w:hAnsi="Arial"/>
          <w:b/>
          <w:bCs/>
          <w:color w:val="1B5E9E"/>
          <w:sz w:val="24"/>
          <w:szCs w:val="24"/>
        </w:rPr>
        <w:t xml:space="preserve">3.2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SAST using CodeQL or Semgrep in CI. Cover: SQL injection, XSS, command injection, path traversal, insecure deserialization, cryptographic misuse. Fail build on high-severity findings.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ADD DEPENDENCY AUDITING as required CI check. Run pnpm audit and pip-audit on every PR. Critical vulns block merge; high-severity generate mandatory review tickets within 24h SLA.</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ENFORCE SEMANTIC VERSIONING via pre-commit hooks using semantic-release or standard-version. Single source of truth for version number. Block commits that modify version without following semver.</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END-TO-END INTEGRATION TESTS for complete multi-agent workflow: Alpha signal generation, Risk Agent veto, Execution Agent routing, HITL escalation, hash chain commitment. Run against simulated market in CI.</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ADD CODE COVERAGE minimum 80% threshold. Block merges below threshold. Generate coverage reports as CI artifacts using Istanbul/nyc (Node.js) and coverage.py (Python).</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CREATE UNIFIED CI/CD PIPELINE supporting local dev (hot reload), backtesting (historical replay), staging (paper trading integration), production (live with circuit breakers). Use GitHub Actions with environment-specific deployment workflows.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DAST by running OWASP ZAP automated scans against staging after each deployment. Test all API endpoints, WebSocket connections, authentication flows.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3.2.8</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LICENSE COMPLIANCE scanning. Flag copyleft dependencies (GPL, AGPL) that could impose disclosure requirements on proprietary trading algorithms.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3.2.9</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BLUE-GREEN DEPLOYMENTS for production using Argo Rollouts v1.8.0. Maintain two identical environments. Deploy to inactive, run smoke tests, switch traffic only after health checks pass. Instant rollback on failure.</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3.2.10</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REGRESSION TEST SUITE replaying historical market scenarios after every deployment. Any deviation from expected trading outputs blocks deployment immediately.</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3.2.11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CONTAINER IMAGE SCANNING using Trivy v0.69+ in CI. Scan all Docker images for OS vulns, misconfigs, embedded secrets. Block deployment of images with CVSS &gt;= 7.0.</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3.2.12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SIGN ALL CONTAINER IMAGES with Cosign keyless signatures via Sigstore. Enforce signature verification at Kubernetes admission using Kyverno ClusterPolicies.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2"/>
        <w:spacing w:after="120" w:before="240"/>
      </w:pPr>
      <w:r>
        <w:rPr>
          <w:rFonts w:ascii="Arial" w:cs="Arial" w:eastAsia="Arial" w:hAnsi="Arial"/>
          <w:b/>
          <w:bCs/>
          <w:color w:val="1B5E9E"/>
          <w:sz w:val="24"/>
          <w:szCs w:val="24"/>
        </w:rPr>
        <w:t xml:space="preserve">3.3 Documentation and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3.3.1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CREATE CONTRIBUTING.md with code style standards, branch naming (feature/, bugfix/, hotfix/), Conventional Commits format, PR templates, review requirements. Add CODEOWNERS for security-critical paths.</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3.3.2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AUTO-FORMATTING: Prettier for JS/TS, Ruff v0.15+ for Python (10-100x faster than Black/Flake8 combined, replaces 5 tools). Configure as pre-commit hooks. ESLint v9+ with flat config for TypeScript linting.</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3.3.3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CREATE ARCHITECTURE DECISION RECORDS for: balanced ternary logic selection, Sacred Geometry topology rationale, MIDI 2.0 transport choice, MCP protocol selection, HITL cryptographic design, HeadyCoin tokenomics. Store in /docs/adr/.</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3.3.4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GENERATE API DOCUMENTATION: OpenAPI/Swagger for REST, AsyncAPI for WebSockets, JSDoc/Sphinx for libraries. Auto-publish in CI.</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3.3.5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CREATE RUNBOOKS for: startup sequence, graceful shutdown, emergency stop, credential rotation, database backup/restore, agent restart, circuit breaker activation, incident response, market close procedure. Store in /docs/runbooks/.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1"/>
        <w:spacing w:after="160" w:before="320"/>
      </w:pPr>
      <w:r>
        <w:rPr>
          <w:rFonts w:ascii="Arial" w:cs="Arial" w:eastAsia="Arial" w:hAnsi="Arial"/>
          <w:b/>
          <w:bCs/>
          <w:color w:val="0F2557"/>
          <w:sz w:val="28"/>
          <w:szCs w:val="28"/>
        </w:rPr>
        <w:t xml:space="preserve">4. Infrastructure Hardening</w:t>
      </w:r>
    </w:p>
    <w:p>
      <w:pPr>
        <w:spacing w:after="90"/>
      </w:pPr>
      <w:r>
        <w:rPr>
          <w:rFonts w:ascii="Arial" w:cs="Arial" w:eastAsia="Arial" w:hAnsi="Arial"/>
          <w:color w:val="333333"/>
          <w:sz w:val="19"/>
          <w:szCs w:val="19"/>
        </w:rPr>
        <w:t xml:space="preserve">Production-grade infrastructure must support sub-millisecond internal communication, graceful degradation under failure, zero-downtime deployments, and comprehensive observability across the multi-agent architecture.</w:t>
      </w:r>
    </w:p>
    <w:p>
      <w:pPr>
        <w:pStyle w:val="Heading2"/>
        <w:spacing w:after="120" w:before="240"/>
      </w:pPr>
      <w:r>
        <w:rPr>
          <w:rFonts w:ascii="Arial" w:cs="Arial" w:eastAsia="Arial" w:hAnsi="Arial"/>
          <w:b/>
          <w:bCs/>
          <w:color w:val="1B5E9E"/>
          <w:sz w:val="24"/>
          <w:szCs w:val="24"/>
        </w:rPr>
        <w:t xml:space="preserve">4.1 Containerization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4.1.1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CONTAINERIZE ALL AGENTS as isolated Docker microservices using multi-stage builds with Google distroless final images (2 MiB, &lt;2% of Debian, 98% smaller attack surface). Each agent gets independent restart policy, CPU/memory limits, liveness probe, readiness probe. Alpha Agent crash must not impact Risk Agent.</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4.1.2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DEPLOY KUBERNETES with StatefulSets for trading engines (podManagementPolicy: OrderedReady), PodDisruptionBudgets (maxUnavailable: 1), HPA with custom metrics (order queue depth, not just CPU), pod anti-affinity across availability zones. Separate namespaces per environment.</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4.1.3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DEPLOY ON QUANTVPS Pro ($99.99/mo, Chicago data center, &lt;0.52ms to CME, AMD Ryzen 7950X3D with DDR5) for production trading. GPU plans with NVIDIA A16 available for DRL inference. Containerized stack: Python execution, Node MCP servers, Tradovate API bridges.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4.1.4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INIT CONTAINERS for dependency verification. Before any agent starts, verify connectivity to PostgreSQL, Redis, all MCP servers, and exchange APIs. Block startup until all dependencies confirmed healthy.</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4.1.5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CONFIGURE CONTAINER RUNTIME SECURITY using Falco. Monitor for anomalous syscalls, unexpected network connections, privilege escalation attempts, filesystem modifications. Alert immediately on suspicious activity.</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4.1.6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NETWORK POLICIES preventing cross-namespace communication except through defined service mesh routes. Trading engine namespace isolated from admin UI namespace.</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2"/>
        <w:spacing w:after="120" w:before="240"/>
      </w:pPr>
      <w:r>
        <w:rPr>
          <w:rFonts w:ascii="Arial" w:cs="Arial" w:eastAsia="Arial" w:hAnsi="Arial"/>
          <w:b/>
          <w:bCs/>
          <w:color w:val="1B5E9E"/>
          <w:sz w:val="24"/>
          <w:szCs w:val="24"/>
        </w:rPr>
        <w:t xml:space="preserve">4.2 Database and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4.2.1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REDIS CONNECTION POOLING using ioredis v5.4+ (Node.js, enableAutoPipelining: true for command batching) and redis-py v7.1+ (Python, max_connections=50, health_check_interval=30, retry_on_timeout=True). Without pooling, each operation adds 1-10ms overhead and TCP port exhaustion occurs under load.</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4.2.2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DEPLOY REDIS SENTINEL (minimum 3 nodes) or Redis Cluster for HA. Single Redis instance is catastrophic SPOF for entire agent communication bus. Configure automatic failover and data replication.</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4.2.3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DEPLOY QUESTDB 9.0 for tick-level time-series data. QuestDB averages 25ms for OHLCV bar calculation from raw ticks (4.4x faster than kdb+, 40x faster than TimescaleDB). Ingests 4-11.4M rows/second. Use LATEST ON and SAMPLE BY for real-time queries plus incremental materialized views.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4.2.4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POSTGRESQL connection pooling via PgBouncer. Automated backup schedule with point-in-time recovery. Encrypted at rest, geographically separate storage, weekly restore testing.</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4.2.5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DEPLOY VECTOR DATABASE (Redis Vector Search or Pinecone) for RAG/Memory Context Fabric. Pattern Weaver agents need high-performance embedding-indexed historical context across sessions.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4.2.6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DATA PARTITIONING for trading data. Partition tick data, order book snapshots, and execution logs by date and instrument. Maintain query performance as data volume grows across years.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2"/>
        <w:spacing w:after="120" w:before="240"/>
      </w:pPr>
      <w:r>
        <w:rPr>
          <w:rFonts w:ascii="Arial" w:cs="Arial" w:eastAsia="Arial" w:hAnsi="Arial"/>
          <w:b/>
          <w:bCs/>
          <w:color w:val="1B5E9E"/>
          <w:sz w:val="24"/>
          <w:szCs w:val="24"/>
        </w:rPr>
        <w:t xml:space="preserve">4.3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4.3.1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REPLACE ALL console.log WITH STRUCTURED LOGGING: Pino v9 for Node.js (10x faster than Winston), structlog v24 for Python. JSON output with: timestamp (UTC ISO 8601), service_name, agent_id, trace_id, span_id, log_level, message, context. Redact API keys and tokens. Stream to Grafana Loki.</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4.3.2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OPENTELEMETRY GenAI Semantic Conventions v1.40+ across all services. Capture every LLM call, MCP tool invocation, database query, MIDI packet as spans. Use gen_ai.agent.name, gen_ai.tool.call.id attributes. CLIENT span kind for remote agents, INTERNAL for in-process.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4.3.3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THREE-TIER HEALTH CHECKS: /startup (allows 5 min for data loading), /healthz (lightweight process check, never check dependencies), /readiness (checks DB, Redis, price feed, MCP servers - failure removes pod from Service endpoints).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4.3.4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DEPLOY GRAFANA DASHBOARDS: agent CPU/memory, Redis pool saturation, MCP latency (p50/p95/p99), order execution latency, open positions, drawdown % vs Apex limits, MIDI throughput, LLM token rate, QuestDB ingestion rate.</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4.3.5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REAL-TIME ALERTING: drawdown &gt;80% of Apex limit, agent restart &gt;3 in 5min, MCP response &gt;500ms, Redis memory &gt;80%, DB pool exhaustion, any unhandled exception in Execution Agent. Route to Telegram/Slack with one-tap emergency stop.</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4.3.6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SET UP LOG RETENTION: 90 days application logs, 7 years trade execution and audit trails (SEC/MiFID II compliance), 30 days debug-level agent traces. Use WORM storage for regulatory logs.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4.3.7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DISTRIBUTED CORRELATION. Every request, signal, and action tagged with unique correlation ID propagating across all service boundaries for end-to-end tracing.</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4.3.8</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DEPLOY SYNTHETIC MONITORING sending test transactions through paper trading environment continuously. Alert if latency exceeds baseline by &gt;2 standard deviations.</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2"/>
        <w:spacing w:after="120" w:before="240"/>
      </w:pPr>
      <w:r>
        <w:rPr>
          <w:rFonts w:ascii="Arial" w:cs="Arial" w:eastAsia="Arial" w:hAnsi="Arial"/>
          <w:b/>
          <w:bCs/>
          <w:color w:val="1B5E9E"/>
          <w:sz w:val="24"/>
          <w:szCs w:val="24"/>
        </w:rPr>
        <w:t xml:space="preserve">4.4 Network and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4.4.1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DEPLOY REVERSE PROXY (Envoy or Nginx) with TLS 1.3 termination, rate limiting, request size limits, DDoS protection, request buffering for slow-client protection.</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4.4.2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WEBSOCKET MANAGEMENT with auto-reconnect (exponential backoff with jitter: delay=min(1000*2^attempt+random()*1000,30000)), heartbeat every 20-30s, dead connection cleanup. Exchange feeds must reconnect within 5 seconds.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4.4.3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DEPLOY MESSAGE QUEUE (Apache Kafka 3.8+ KRaft mode for audit trails at 500K-1M msg/s, or NATS JetStream for sub-ms price notifications). Replace synchronous inter-agent REST calls with event-driven pub/sub.</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4.4.4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CIRCUIT BREAKERS using opossum v9.0.0 (Node.js) or cockatiel v3.2.1. Configure SamplingBreaker threshold=0.2 duration=30000ms for exchange APIs. If MCP server becomes unresponsive, trip breaker, flatten positions, alert operator.</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4.4.5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NODE.JS EVENT LOOP MONITORING. Track lag with toobusy-js. Alert &gt;100ms. Offload CPU-heavy risk calculations to Worker Threads. Use PM2 cluster mode for multi-core utilization.</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4.4.6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PYTHON ASYNC OPTIMIZATION with uvloop v0.22.1 (2-4x faster than default asyncio, ~22% faster than Node.js for I/O). Install and activate: import uvloop; uvloop.run(main()).</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4.4.7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HTTP/2 MULTIPLEXING and connection keepalive for all outbound API connections to exchanges, data providers, MCP servers. Eliminate TCP handshake overhead.</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4.4.8</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CONDUCT BUNDLE OPTIMIZATION AUDIT of all 14 production dependencies. Tree-shake unused exports with esbuild. Evaluate necessity of each dependency. Minimize attack surface and memory footprint.</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1"/>
        <w:spacing w:after="160" w:before="320"/>
      </w:pPr>
      <w:r>
        <w:rPr>
          <w:rFonts w:ascii="Arial" w:cs="Arial" w:eastAsia="Arial" w:hAnsi="Arial"/>
          <w:b/>
          <w:bCs/>
          <w:color w:val="0F2557"/>
          <w:sz w:val="28"/>
          <w:szCs w:val="28"/>
        </w:rPr>
        <w:t xml:space="preserve">5. Multi-Agent Sacred Geometry Orchestration</w:t>
      </w:r>
    </w:p>
    <w:p>
      <w:pPr>
        <w:spacing w:after="90"/>
      </w:pPr>
      <w:r>
        <w:rPr>
          <w:rFonts w:ascii="Arial" w:cs="Arial" w:eastAsia="Arial" w:hAnsi="Arial"/>
          <w:color w:val="333333"/>
          <w:sz w:val="19"/>
          <w:szCs w:val="19"/>
        </w:rPr>
        <w:t xml:space="preserve">The Sacred Geometry framework organizes agent interactions into topological structures using the Seven Sacred Arcs with 87 foundation glyphs as core nodes. Implementation requires specialized agents, balanced ternary logic, deterministic communication, and production-grade orchestration using LangGraph v1.0 for stateful workflows.</w:t>
      </w:r>
    </w:p>
    <w:p>
      <w:pPr>
        <w:pStyle w:val="Heading2"/>
        <w:spacing w:after="120" w:before="240"/>
      </w:pPr>
      <w:r>
        <w:rPr>
          <w:rFonts w:ascii="Arial" w:cs="Arial" w:eastAsia="Arial" w:hAnsi="Arial"/>
          <w:b/>
          <w:bCs/>
          <w:color w:val="1B5E9E"/>
          <w:sz w:val="24"/>
          <w:szCs w:val="24"/>
        </w:rPr>
        <w:t xml:space="preserve">5.1 Agent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5.1.1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ALPHA AGENT: dedicated service for continuous ingestion of technical price action, order book depth (Level 2), and fundamental data streams. Maintains internal state machine, receives data through dedicated MIDI virtual channels, outputs trading signals as structured events. Integrate FinBERT for sentiment analysis on news feeds.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5.1.2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RISK AGENT with ultimate veto power over entire network. Continuously monitors margin usage, open equity, unrealized P&amp;L. Tracks Apex trailing drawdown tick-by-tick. Capable of forcefully flattening all positions within 100ms of breach detection. Highest priority in message queue.</w:t>
            </w:r>
          </w:p>
        </w:tc>
        <w:tc>
          <w:tcPr>
            <w:tcW w:type="dxa" w:w="2100"/>
            <w:tcBorders>
              <w:top w:val="single" w:color="BBBBBB" w:sz="1"/>
              <w:left w:val="single" w:color="BBBBBB" w:sz="1"/>
              <w:bottom w:val="single" w:color="BBBBBB" w:sz="1"/>
              <w:right w:val="single" w:color="BBBBBB"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5.1.3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EXECUTION AGENT: latency-optimized, zero analytical overhead. Order routing, slippage minimization, direct exchange API interaction via Rithmic/Tradovate. Supports market, limit, stop, OCO orders. Sub-millisecond execution path.</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5.1.4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SENTINEL AGENT (NIDS) based on Heady et al. (1990) heuristics. Passively monitors all MIDI transaction streams. Detects: unusual frequency, unrecognized patterns, generative AI alerts. Halts autonomous processing and routes to HITL escalation queue on anomaly detection.</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5.1.5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COMPLIANCE AGENT for dynamic screening per patent US10693658B2. Checks counterparty identity against LDAP directory, screens sanctions lists (OFAC SDN, EU Consolidated, UN Security Council), enforces KYC/AML rules before any transfer executes.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5.1.6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DATA AGENT for real-time web scraping via Bright Data MCP (60+ tools, 195-country proxy network, 5000 free requests/month). Feed sentiment intelligence to Alpha Agent. Integrate FinBERT (0.969 accuracy on PhraseBank) for financial text classification.</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5.1.7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VIEW AGENT (Renderer) for all A2UI JSON blueprint generation. Takes raw verified data from analytical agents, translates to optimal output format. Ensures consistent branding via Shadcn UI with OKLCH-based theming.</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5.1.8</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BRIDGE BUILDER AGENT (API Gateway) for connecting disparate systems, resolving type conflicts, managing API mismatches between internal services and external MCP integrations.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5.1.9</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AGENT LIFECYCLE: dependency-aware startup sequencing, graceful shutdown (flush to hash chain), health monitoring (detect hallucinating/stuck agents), automatic restart with state recovery from last checkpoint.</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5.1.10</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AGENT HOT-SWAP: version individual agents independently, deploy via canary pattern (new version gets small traffic %), rollback on degraded metrics. Use LangGraph checkpointing for seamless state transfer.</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2"/>
        <w:spacing w:after="120" w:before="240"/>
      </w:pPr>
      <w:r>
        <w:rPr>
          <w:rFonts w:ascii="Arial" w:cs="Arial" w:eastAsia="Arial" w:hAnsi="Arial"/>
          <w:b/>
          <w:bCs/>
          <w:color w:val="1B5E9E"/>
          <w:sz w:val="24"/>
          <w:szCs w:val="24"/>
        </w:rPr>
        <w:t xml:space="preserve">5.2 Ternary Logic and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5.2.1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BALANCED TERNARY ENGINE ({-1, 0, +1}). +1 = Attract (execute), -1 = Repel (reject), 0 = Epistemic Hold (active verification window). This is NOT a passive null state; it triggers mandatory multi-agent verification before capital commitment.</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5.2.2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EPISTEMIC HOLD as time-bounded verification window. During Hold: Risk Agent evaluates drawdown, Execution Agent queries order book liquidity, Data Agent scrapes breaking news, Sentinel checks for manipulation patterns. Configurable min/max duration, early-release on unanimous +1, forced-reject on any -1 or timeout.</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5.2.3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SPARSE COMPUTATION: skip -1 positions during tensor calculations to reduce computational overhead in agent negotiations. Ternary weight quantization: +alpha if w &gt; delta, 0 if |w| &lt;= delta, -alpha if w &lt; -delta.</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5.2.4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STANDARDIZED MESSAGE ENVELOPES: source_agent_id, target_agent_id, message_type, correlation_id, timestamp, ternary_state, payload, cryptographic_signature. All messages cryptographically signed.</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5.2.5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EVENT-DRIVEN PUB/SUB using Kafka or Redis Pub/Sub. Eliminates O(n^2) connection complexity. Each agent publishes to topic channels, consumes only relevant notifications. Dead letter queues for failed messages.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5.2.6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AGENT PRIORITY QUEUING: Risk Agent veto signals and emergency flatten commands always processed before Alpha signals or Data enrichments. Priority levels enforced at message queue level.</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5.2.7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MESSAGE DEDUPLICATION using idempotency keys (correlation_id + timestamp hash) to prevent duplicate signal processing from network retries or restart recovery.</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5.2.8</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AEMA EVALUATION FRAMEWORK (arXiv 2601.11903): Planning Agent, Prompt-Refinement Agent, Scoring Agent, Reporting Agent. Aggregates evaluations across heterogeneous network for institutional accountability and auditable traces.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1"/>
        <w:spacing w:after="160" w:before="320"/>
      </w:pPr>
      <w:r>
        <w:rPr>
          <w:rFonts w:ascii="Arial" w:cs="Arial" w:eastAsia="Arial" w:hAnsi="Arial"/>
          <w:b/>
          <w:bCs/>
          <w:color w:val="0F2557"/>
          <w:sz w:val="28"/>
          <w:szCs w:val="28"/>
        </w:rPr>
        <w:t xml:space="preserve">6. Model Context Protocol Integration</w:t>
      </w:r>
    </w:p>
    <w:p>
      <w:pPr>
        <w:spacing w:after="90"/>
      </w:pPr>
      <w:r>
        <w:rPr>
          <w:rFonts w:ascii="Arial" w:cs="Arial" w:eastAsia="Arial" w:hAnsi="Arial"/>
          <w:color w:val="333333"/>
          <w:sz w:val="19"/>
          <w:szCs w:val="19"/>
        </w:rPr>
        <w:t xml:space="preserve">MCP (v2025-11-25, donated to Agentic AI Foundation under Linux Foundation, 97M+ monthly SDK downloads) is the agent-to-tool connectivity layer. Heady requires gateway deployment, OAuth 2.1 security, and integration with six financial MCP servers.</w:t>
      </w:r>
    </w:p>
    <w:p>
      <w:pPr>
        <w:pStyle w:val="Heading2"/>
        <w:spacing w:after="120" w:before="240"/>
      </w:pPr>
      <w:r>
        <w:rPr>
          <w:rFonts w:ascii="Arial" w:cs="Arial" w:eastAsia="Arial" w:hAnsi="Arial"/>
          <w:b/>
          <w:bCs/>
          <w:color w:val="1B5E9E"/>
          <w:sz w:val="24"/>
          <w:szCs w:val="24"/>
        </w:rPr>
        <w:t xml:space="preserve">6.1 Gateway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6.1.1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DEPLOY MCP GATEWAY using Envoy AI Gateway (MCP server multiplexing, tool filtering via regex, OAuth auth, ~160-390ms overhead) or Solo.io Agent Gateway (Rust-based, purpose-built for MCP+A2A, Cedar policy engine). Gateway translates incoming UMP binary streams to JSON-RPC 2.0 tool calls.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6.1.2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OAUTH 2.1 AUTHORIZATION per MCP spec. PKCE with S256 mandatory. Clients generate code_verifier, compute code_challenge via SHA-256, include resource parameter (RFC 8707) binding tokens to specific MCP server URI. Tokens &lt;1 hour TTL with rotation enforced. Use external IdP (Keycloak or Auth0).</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6.1.3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MIGRATE TO STREAMABLE HTTP TRANSPORT (replaces SSE). Single endpoint supporting both POST and GET. Server dynamically chooses JSON or SSE stream response. Session via Mcp-Session-Id headers. Standard Bearer auth and HTTP middleware compatibility.</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6.1.4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DEFINE ALL TOOLS as strictly typed JSON Schemas with progressive tool discovery. Use Speakeasy/Gram semantic search pattern (search_tools, describe_tools, execute_tool) for 96% token reduction. Mark idempotent vs mutating tools. Never blindly retry tools/call.</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6.1.5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MCP HEALTH MONITORING. Ping every MCP server continuously. If any critical server (Tradovate, Rithmic) exceeds latency threshold, immediately halt trading, flatten positions, alert operator.</w:t>
            </w:r>
          </w:p>
        </w:tc>
        <w:tc>
          <w:tcPr>
            <w:tcW w:type="dxa" w:w="2100"/>
            <w:tcBorders>
              <w:top w:val="single" w:color="BBBBBB" w:sz="1"/>
              <w:left w:val="single" w:color="BBBBBB" w:sz="1"/>
              <w:bottom w:val="single" w:color="BBBBBB" w:sz="1"/>
              <w:right w:val="single" w:color="BBBBBB"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6.1.6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PER-AGENT TOOL ACCESS CONTROL. Risk Agent cannot access order execution tools. Execution Agent cannot modify risk parameters. Compliance Agent has read-only access to trade data. Enforce via OAuth scopes per agent identity.</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6.1.7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LOG EVERY MCP TOOL CALL: input parameters, execution duration, response status, output payload. Essential for debugging, auditing, and training improved agent policies. Route logs to immutable audit store.</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2"/>
        <w:spacing w:after="120" w:before="240"/>
      </w:pPr>
      <w:r>
        <w:rPr>
          <w:rFonts w:ascii="Arial" w:cs="Arial" w:eastAsia="Arial" w:hAnsi="Arial"/>
          <w:b/>
          <w:bCs/>
          <w:color w:val="1B5E9E"/>
          <w:sz w:val="24"/>
          <w:szCs w:val="24"/>
        </w:rPr>
        <w:t xml:space="preserve">6.2 Financial MCP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6.2.1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INTEGRATE HUMMINGBOT MCP (hummingbot/mcp): interface to 140+ exchanges. Portfolio balances, order management, strategy deployment, cross-asset swaps. Install via uv run main.py or Docker.</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6.2.2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INTEGRATE ALPACA OFFICIAL MCP (alpacahq/alpaca-mcp-server): stocks, ETFs, options, crypto. Natural language operations, options Greeks analysis, paper trading mode. Supports Streamable HTTP and Docker.</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6.2.3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INTEGRATE ALPHAVANTAGE REMOTE MCP: hosted at https://mcp.alphavantage.co/mcp. No local install needed. 50+ technical indicators, fundamental data, earnings. Uses progressive TOOL_LIST/TOOL_CALL wrapper pattern.</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6.2.4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INTEGRATE METATRADER 5 MCP: multiple implementations available (ariadng/metatrader-mcp-server at 79 stars, Cloudmeru with built-in TA and rate limiting --rate-limit 30, PyPI mcp-metatrader5-server v0.1.7). Requires MT5 terminal on Windows/Wine.</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6.2.5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INTEGRATE BRIGHT DATA MCP (@brightdata/mcp): 60+ tools, CAPTCHA bypass, 195-country proxy network. Configure custom rate limiting RATE_LIMIT=100/1h. Free tier 5000 requests/month. PRO mode for full scraping toolkit.</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6.2.6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CUSTOM MCP SERVER for Rithmic API (direct market data feed within Apex ecosystem). Expose Level 2 order book and tick-by-tick data as MCP Resources with subscription support.</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6.2.7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CUSTOM MCP SERVER for Tradovate API. Expose order placement, balance queries, position management, margin monitoring as MCP Tools. WebSocket data feed as MCP Resource subscription.</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6.2.8</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INTEGRATE mcp-trader for technical analysis: analyze-stock, detect-patterns, calculate RSI/MACD/Bollinger/VWAP/OBV. Offload mathematical calculations from LLM context.</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6.2.9</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INTEGRATE GITHUB MCP SERVER for repository operations, PR management, issue tracking. Use --dynamic-toolsets flag for efficient tool discovery.</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1"/>
        <w:spacing w:after="160" w:before="320"/>
      </w:pPr>
      <w:r>
        <w:rPr>
          <w:rFonts w:ascii="Arial" w:cs="Arial" w:eastAsia="Arial" w:hAnsi="Arial"/>
          <w:b/>
          <w:bCs/>
          <w:color w:val="0F2557"/>
          <w:sz w:val="28"/>
          <w:szCs w:val="28"/>
        </w:rPr>
        <w:t xml:space="preserve">7. MIDI 2.0 UMP Transport Layer</w:t>
      </w:r>
    </w:p>
    <w:p>
      <w:pPr>
        <w:spacing w:after="90"/>
      </w:pPr>
      <w:r>
        <w:rPr>
          <w:rFonts w:ascii="Arial" w:cs="Arial" w:eastAsia="Arial" w:hAnsi="Arial"/>
          <w:color w:val="333333"/>
          <w:sz w:val="19"/>
          <w:szCs w:val="19"/>
        </w:rPr>
        <w:t xml:space="preserve">MIDI 2.0 Universal MIDI Packet (v1.1.2, Oct 2023) serves as steganographic ultra-low-latency data transport. 32-bit aligned packets, sub-millisecond latency over Ethernet, 256 addressable channels with Stream ID multiplexing. No Python MIDI 2.0 library exists; custom implementation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7.1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CUSTOM PYTHON UMP LIBRARY using struct module for packet construction. Implement all four sizes: 32-bit (utility/system), 64-bit (MIDI 2.0 voice, 32-bit payload = 4.2B discrete steps), 96-bit (extended), 128-bit (SysEx8/Mixed Data Set, 13 bytes payload per packet). Use memoryview for zero-copy slicing and asyncio.DatagramProtocol for non-blocking UDP I/O.</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7.2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MESSAGE TYPE 0x5 (Mixed Data Set): supports up to 65,535 chunks of 65,535 bytes each (~4GB per data set). Build numbered-chunk random-access mechanism: START (total count), CONTINUE (sequence index), END (closure). Handle out-of-order packets via 8-bit Stream ID.</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7.3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SYSEX8 with full 8-bit data bytes (14% throughput increase over legacy 7-bit). Support 256 concurrent SysEx8 conversations per Group via Stream IDs.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7.4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DEPLOY UDP LISTENERS for Network MIDI 2.0 (ratified Nov 2024). Use mDNS/DNS-SD with _midi2._udp service type for auto-discovery. Session management via client/host UDP messages. Forward error correction (each packet includes 2 most recent UMP Data Commands).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7.5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JR TIMESTAMPS for ~31.25 microsecond resolution temporal reconstruction. Application-level timestamp management for trading signal ordering.</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7.6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DTLS ENCRYPTION over Network MIDI 2.0 UDP (v1.0 has no built-in encryption). Use python3-dtls v1.3.0 (OpenSSL DTLS wrapper). Mandatory for all trading data transport.</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7.7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HEXADECIMAL STATE VECTOR ENCODING: repurpose MIDI 3-byte arrays as cryptographic state vectors (byte 1: transaction class, byte 2: compliance risk score, byte 3: encrypted memory buffer pointer).</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7.8</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CAPABILITY INQUIRY PROPERTY EXCHANGE for dynamic UI generation. MCP server broadcasts AI's current cognitive Profile as JSON schema; frontend renders control surface in real-time. UI morphs when LLM transitions states.</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7.9</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TELEMETRY DECIMATION at edge servers. Down-sample high-resolution UMP streams; dispatch to LLM only on significant threshold crossings or finalized user intent velocity. Prevents context token exhaustion and API rate limiting.</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7.10</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INTEGRATE cmidi2 C LIBRARY (atsushieno, MIT, header-only, ~10k compiled) via cffi bindings for performance-critical paths. Provides allocation-free UMP construction.</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1"/>
        <w:spacing w:after="160" w:before="320"/>
      </w:pPr>
      <w:r>
        <w:rPr>
          <w:rFonts w:ascii="Arial" w:cs="Arial" w:eastAsia="Arial" w:hAnsi="Arial"/>
          <w:b/>
          <w:bCs/>
          <w:color w:val="0F2557"/>
          <w:sz w:val="28"/>
          <w:szCs w:val="28"/>
        </w:rPr>
        <w:t xml:space="preserve">8. Human-in-the-Loop Cryptographic Bus</w:t>
      </w:r>
    </w:p>
    <w:p>
      <w:pPr>
        <w:spacing w:after="90"/>
      </w:pPr>
      <w:r>
        <w:rPr>
          <w:rFonts w:ascii="Arial" w:cs="Arial" w:eastAsia="Arial" w:hAnsi="Arial"/>
          <w:color w:val="333333"/>
          <w:sz w:val="19"/>
          <w:szCs w:val="19"/>
        </w:rPr>
        <w:t xml:space="preserve">The HITL bus ensures no high-risk transaction proceeds without verifiable human authorization. Architecture spans: NIDS trigger, proxy re-encryption, transaction simulation, biometric signing, and immutable audit chain. Aligns with GDPR Article 22, EU AI Act Article 14, and SEC 2025 examination priorities.</w:t>
      </w:r>
    </w:p>
    <w:p>
      <w:pPr>
        <w:pStyle w:val="Heading2"/>
        <w:spacing w:after="120" w:before="240"/>
      </w:pPr>
      <w:r>
        <w:rPr>
          <w:rFonts w:ascii="Arial" w:cs="Arial" w:eastAsia="Arial" w:hAnsi="Arial"/>
          <w:b/>
          <w:bCs/>
          <w:color w:val="1B5E9E"/>
          <w:sz w:val="24"/>
          <w:szCs w:val="24"/>
        </w:rPr>
        <w:t xml:space="preserve">8.1 Simulation and Interface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8.1.1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SEMANTIC TRANSACTION SIMULATION ENGINE. Intercept flagged payloads from MIDI bus, fork blockchain state via RPC simulation endpoint, execute without broadcast, capture state deltas (token movements, approval changes, balance shifts), generate human-readable summary.</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8.1.2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ABI-TO-HUMAN-READABLE TRANSLATION (ERC-7730). Replace hex like 0x095ea7b3 with: 'You are granting Uniswap permission to spend up to 100 USDC on your behalf.' Every contract interaction needs semantic template.</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8.1.3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ENFORCE eslint-plugin-no-unsanitized across ALL frontend rendering. Ban innerHTML, outerHTML, insertAdjacentHTML, document.write, eval at compilation level. Guarantee text-only rendering in compliance interfaces.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8.1.4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PROGRESSIVE DISCLOSURE: top layer shows plain-language summary and net balance change. Expandable sections reveal decoded parameters, key-address mappings, raw hex, gas estimation. Each layer independently sanitized.</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8.1.5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CONTEXTUAL SECURITY WARNINGS: 'This address never interacted with your institution,' 'AI Risk Score: 92/100,' 'Value exceeds 95th percentile of historical transactions.' Dynamic, not generic.</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2"/>
        <w:spacing w:after="120" w:before="240"/>
      </w:pPr>
      <w:r>
        <w:rPr>
          <w:rFonts w:ascii="Arial" w:cs="Arial" w:eastAsia="Arial" w:hAnsi="Arial"/>
          <w:b/>
          <w:bCs/>
          <w:color w:val="1B5E9E"/>
          <w:sz w:val="24"/>
          <w:szCs w:val="24"/>
        </w:rPr>
        <w:t xml:space="preserve">8.2 Cryptographic Signing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8.2.1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ADAPTIVE CHOSEN-MESSAGE RESISTANT SIGNING per patent US5432852A. Dynamic hash function selection from collision-resistant space. Sigma = Sign(K_priv)(H_r(M || N)) where N is server nonce. Ultra-fast for thousands of micro-transaction approvals.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8.2.2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POST-QUANTUM CRYPTOGRAPHY: hybrid ML-KEM-768 + X25519 for key exchange, ML-DSA-65 for signatures (FIPS 203/204, August 2024). Use liboqs v0.15.0 with liboqs-python bindings. HQC selected March 2025 as backup KEM.</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8.2.3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PROXY RE-ENCRYPTION using pyUmbral v0.3.0 (NuCypher Umbral). System encrypts with its key, proxy nodes re-encrypt for specific compliance officer using threshold M-of-N kfrags. Proxy never learns plaintext.</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8.2.4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LDAP/X.509 VALIDATION per patent US20070118732A1. Operator credentials compressed/encrypted for transmission, validated against authentication server, PKCS#7/CMS envelopment for form signing.</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8.2.5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IMMUTABLE HASH CHAIN per patent US20220200787A1. Every action cryptographically hashed and appended: automated initiation, NIDS flag, proxy re-encryption, LDAP auth, human PKCS#7 signature. Time-stamped, tamper-evident. Store cryptographic inclusion proofs via Rekor v2 (Trillian Tessera backend).</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8.2.6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MULTI-MODAL KEY-ADDRESS MAPPING per patent US9830593B2. Bind LDAP/X.509 directories to blockchain public keys. Display validated institution names instead of raw addresses. High-severity warning for unmapped addresses.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8.2.7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WEBAUTHN/FIDO2 for trade approval. Use py_webauthn v2.7.0 (Python) and SimpleWebAuthn v13.3.0 (JS). Generate authentication challenge containing trade parameter hash. Hardware-bound credentials provide possession + biometric factors.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2"/>
        <w:spacing w:after="120" w:before="240"/>
      </w:pPr>
      <w:r>
        <w:rPr>
          <w:rFonts w:ascii="Arial" w:cs="Arial" w:eastAsia="Arial" w:hAnsi="Arial"/>
          <w:b/>
          <w:bCs/>
          <w:color w:val="1B5E9E"/>
          <w:sz w:val="24"/>
          <w:szCs w:val="24"/>
        </w:rPr>
        <w:t xml:space="preserve">8.3 WYSIWYS Mobile and Nuke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8.3.1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WYSIWYS MOBILE SANDBOX (React Native). Receives proxy-encrypted payloads out-of-band, renders AST-sanitized simulation via toffee engine, captures native biometrics (FaceID/TouchID). Hash of rendered content included in signature payload per WYSIWYS architecture. Approval NEVER occurs in same web DOM as transaction initiation.</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8.3.2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OUT-OF-BAND NOTIFICATION via imap-simple async module. Push to operator's dedicated mobile device completely outside web application context. Include one-tap approve/reject buttons in notification.</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8.3.3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NUKE SWITCH CIRCUIT BREAKER. AI agent operates in air-gapped execution environment: can propose but lacks signing keys. Every AI command intercepted on rtmidi bus by NIDS. Hash chain consensus per patent US20220200787A1 physically rejects any block with AI high-risk transaction unless it contains biometric WYSIWYS signature.</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8.3.4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EXIT-HOOK for fault-tolerant state preservation. On server crash during mid-review, exit-hook catches SIGINT/SIGTERM, flushes MIDI port buffers, saves pending PKCS#7 requests to hash chain. Zero cryptographic corruption on reboot.</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1"/>
        <w:spacing w:after="160" w:before="320"/>
      </w:pPr>
      <w:r>
        <w:rPr>
          <w:rFonts w:ascii="Arial" w:cs="Arial" w:eastAsia="Arial" w:hAnsi="Arial"/>
          <w:b/>
          <w:bCs/>
          <w:color w:val="0F2557"/>
          <w:sz w:val="28"/>
          <w:szCs w:val="28"/>
        </w:rPr>
        <w:t xml:space="preserve">9. Apex Trader Funding Compliance Engine</w:t>
      </w:r>
    </w:p>
    <w:p>
      <w:pPr>
        <w:spacing w:after="90"/>
      </w:pPr>
      <w:r>
        <w:rPr>
          <w:rFonts w:ascii="Arial" w:cs="Arial" w:eastAsia="Arial" w:hAnsi="Arial"/>
          <w:color w:val="333333"/>
          <w:sz w:val="19"/>
          <w:szCs w:val="19"/>
        </w:rPr>
        <w:t xml:space="preserve">Apex rules are absolute: a single programmatic error immediately liquidates the account. Every constraint must be hardcoded at the deepest level of the Risk Agent's core logic. Note: Apex prohibits fully automated trading - the HITL approval layer (Section 8) satisfies this requirement by routing all signals through human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HARDCODE INTRADAY TRAILING DRAWDOWN as Risk Agent's highest-priority function. Tracks highest unrealized peak balance tick-by-tick. $50K account: $2,500 threshold, starting at $47,500. If equity touches $51,000 unrealized, threshold immediately trails to $48,500. If equity drops to $48,400, account permanently cancelled. Dynamically adjust hard stop-losses on exchange server sub-second. On Rithmic: trail stops at profit target; on Tradovate: continues trailing during evaluation.</w:t>
            </w:r>
          </w:p>
        </w:tc>
        <w:tc>
          <w:tcPr>
            <w:tcW w:type="dxa" w:w="2100"/>
            <w:tcBorders>
              <w:top w:val="single" w:color="BBBBBB" w:sz="1"/>
              <w:left w:val="single" w:color="BBBBBB" w:sz="1"/>
              <w:bottom w:val="single" w:color="BBBBBB" w:sz="1"/>
              <w:right w:val="single" w:color="BBBBBB"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30% CONSISTENCY RULE: no single trading day &gt;30% of total profit at payout request. If outsized win breaches ratio, auto-schedule dilution micro-trades across subsequent days to mathematically pull below 30%. Rule lifts after 6th payout. Also enforce 30% MAE rule (unrealized loss cannot exceed 30% of start-of-day profit balance).</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CONTRACT SCALING LIMITER. Half of maximum contracts until trailing threshold unlock (EOD balance &gt;= Starting Balance + Trailing Threshold + $100). $50K account: max 40 micros (4 minis) until balance closes &gt;=$52,600, then unlock full 80 micros (8 minis). Excess profits from violations are removed.</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PAYOUT SAFETY NET. First 3 payouts: balance must stay above Starting Balance + Trailing Threshold + $100 after withdrawal. $50K: if balance $53,100, only $500 withdrawable (safety net = $52,600). First $2,600 is permanent non-withdrawable buffer.</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7-DAY ACTIVE TRADING TRACKER. Evaluation requires minimum 7 unique trading days. Track days with at least one executed trade. Prevent premature completion attempts.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ENFORCE ONE-DIRECTION POSITIONS. System strictly prohibited from holding simultaneous long/short. Execution Agent must reject any order creating hedge or straddle position.</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8-DAY PAYOUT CYCLE TRACKER. Funded accounts require exactly 8 active trading days between withdrawals. Countdown display and prevention of premature withdrawal attempts.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9.8</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PROFIT SHARE CALCULATOR. 100% of profits from first $25,000 in withdrawals. Subsequent: 90/10 split (90% trader, 10% Apex). Accurate calculation and display of net withdrawal amounts.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9.9</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INTEGRATE EXECUTION PLATFORMS: build adapters for Rithmic, Tradovate, and WealthCharts APIs. Each has specific data format and order management protocol.</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9.10</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INTEGRATE TRADERSPOST or PICKMYTRADE ($50/mo, sub-ms execution, authorized Tradovate vendor) for multi-account routing. Single signal simultaneously routed to multiple Apex accounts while respecting individual drawdown rules and contract limits.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9.11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MANDATORY STOP-LOSS for every order. No position opened without attached stop-loss preventing trailing drawdown breach under any market condition. Stop loss cannot exceed 5x profit target.</w:t>
            </w:r>
          </w:p>
        </w:tc>
        <w:tc>
          <w:tcPr>
            <w:tcW w:type="dxa" w:w="2100"/>
            <w:tcBorders>
              <w:top w:val="single" w:color="BBBBBB" w:sz="1"/>
              <w:left w:val="single" w:color="BBBBBB" w:sz="1"/>
              <w:bottom w:val="single" w:color="BBBBBB" w:sz="1"/>
              <w:right w:val="single" w:color="BBBBBB"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9.12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PRE-TRADE RISK CALCULATOR: simulate worst-case impact on trailing drawdown, consistency ratio, contract limits, MAE before order submission. Reject trades within configurable safety margin of any hard limit.</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9.13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4:59 PM ET AUTO-CLOSE. All positions must be closed by end of trading session. Risk Agent sends force-flatten at 4:58 PM ET as safety margin.</w:t>
            </w:r>
          </w:p>
        </w:tc>
        <w:tc>
          <w:tcPr>
            <w:tcW w:type="dxa" w:w="2100"/>
            <w:tcBorders>
              <w:top w:val="single" w:color="BBBBBB" w:sz="1"/>
              <w:left w:val="single" w:color="BBBBBB" w:sz="1"/>
              <w:bottom w:val="single" w:color="BBBBBB" w:sz="1"/>
              <w:right w:val="single" w:color="BBBBBB"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9.14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EMERGENCY FLATTEN PROCEDURE. If Risk Agent detects any metric at 90% of any Apex limit: close all positions at market, cancel pending orders, suspend automated trading until human review and re-enable.</w:t>
            </w:r>
          </w:p>
        </w:tc>
        <w:tc>
          <w:tcPr>
            <w:tcW w:type="dxa" w:w="2100"/>
            <w:tcBorders>
              <w:top w:val="single" w:color="BBBBBB" w:sz="1"/>
              <w:left w:val="single" w:color="BBBBBB" w:sz="1"/>
              <w:bottom w:val="single" w:color="BBBBBB" w:sz="1"/>
              <w:right w:val="single" w:color="BBBBBB" w:sz="1"/>
            </w:tcBorders>
            <w:shd w:fill="B71C1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9.15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REAL-TIME APEX COMPLIANCE DASHBOARD: trailing threshold level, distance to breach, today's peak equity, largest trade as % of total profit, day count, contract utilization vs limit, payout countdown, MAE status.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1"/>
        <w:spacing w:after="160" w:before="320"/>
      </w:pPr>
      <w:r>
        <w:rPr>
          <w:rFonts w:ascii="Arial" w:cs="Arial" w:eastAsia="Arial" w:hAnsi="Arial"/>
          <w:b/>
          <w:bCs/>
          <w:color w:val="0F2557"/>
          <w:sz w:val="28"/>
          <w:szCs w:val="28"/>
        </w:rPr>
        <w:t xml:space="preserve">10. Deep Reinforcement Learning Pipeline</w:t>
      </w:r>
    </w:p>
    <w:p>
      <w:pPr>
        <w:spacing w:after="90"/>
      </w:pPr>
      <w:r>
        <w:rPr>
          <w:rFonts w:ascii="Arial" w:cs="Arial" w:eastAsia="Arial" w:hAnsi="Arial"/>
          <w:color w:val="333333"/>
          <w:sz w:val="19"/>
          <w:szCs w:val="19"/>
        </w:rPr>
        <w:t xml:space="preserve">Continuous profitability requires RL models trained with drawdown-penalized reward functions. SAC and PPO lead performance benchmarks. Implementation via Stable-Baselines3 v2.7.1 and FinRL. Data quality via Cleanlab v2.9. Backtesting via VectorBT with walk-forward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SAC (Soft Actor-Critic) as primary algorithm via Stable-Baselines3 v2.7.1 (Python 3.10+, PyTorch). SAC achieves Sharpe 1.21-1.38 and saved 2x vs benchmark in 2022 bear market (Stevens Institute). Entropy regularization encourages diverse strategy exploration.</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PPO (Proximal Policy Optimization) as stability-focused alternative. PPO achieved Sharpe 1.45 with 23.10% cumulative return in PrimoRL 2025 benchmarks. Conservative policy updates prevent catastrophic destruction from single crash event.</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DDPG for continuous position sizing. Outputs exact granular sizes (3.4 standard lots) vs binary buy/sell. Actor-critic with separate target networks and soft update parameters.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TD3 (Twin Delayed DDPG) addressing overestimation bias. Clipped double Q-learning, delayed policy updates, target policy smoothing for stable value estimates.</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HER (Hindsight Experience Replay). Reframes stop-loss events in replay buffer to learn reversal contours. Maximizes data efficiency from every losing trade.</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DESIGN REWARD FUNCTION: R = lambda_ret * sharpe_return - lambda_vol * volatility - lambda_dd * (max_drawdown)^2 - lambda_apex * max(0, single_trade_pct - 0.25). Squared drawdown penalty prioritizes survival. Secondary penalty for approaching 30% consistency violation at 25% safety margin.</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RA-DRL FRAMEWORK (Springer 2025): train 3 separate PPO agents on log return, differential Sharpe ratio, and max drawdown minimization. Fuse actions via CNN for risk-adjusted allocation.</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10.8</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INTEGRATE CLEANLAB v2.9.0 for training data quality. Detect label errors, outliers, near-duplicates. Critical for resolving ontological class overlap (breakout vs false breakout). Run: Datalab(data=dataset, label='signal').find_issues(). Iterate: improved model -&gt; better detection -&gt; cleaner data.</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10.9</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BACKTESTING PIPELINE: VectorBT for rapid parameter optimization (vectorized NumPy/Numba, 1000x+ faster), validate with NautilusTrader (Rust core, nanosecond resolution, native futures). Walk-forward optimization with Walk Forward Efficiency &gt;50-60% threshold.</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10.10</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PAPER TRADING VALIDATION. Minimum 30-day paper period demonstrating: positive Sharpe &gt;1.5, max drawdown &lt;60% of Apex limit, consistency compliance, zero rule violations. Required before any live deployment.</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10.11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STATE SPACE: OHLCV at multiple timeframes, order book depth (bid/ask levels + volumes), technical indicators (RSI, MACD, Bollinger, VWAP, ATR), current position, unrealized P&amp;L, distance to drawdown limit, ternary agent consensus, market regime classification.</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10.12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SET UP RAY RLLIB for distributed training. Configure with PyTorch backend for multi-agent RL. Consider SBX (JAX variant) for up to 20x faster training via DroQ and CrossQ.</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10.13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MODEL VERSIONING REGISTRY. Every trained model versioned with hyperparameters, evaluation metrics (Sharpe, max drawdown, win rate, profit factor), linked to exact training dataset. Comparison dashboards.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10.14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REAL-TIME DATA INGESTION: Level 2 order book from Rithmic/Tradovate, tick-by-tick storage with nanosecond timestamps in QuestDB, order flow imbalance calculation, WebSocket heartbeat at 20s intervals with exponential backoff reconnection.</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10.15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MARKET REGIME DETECTION: classify trending/ranging/volatile/low-volume conditions. Feed classification to RL model as contextual feature. Agent adapts strategy per regime.</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10.16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DATA QUALITY MONITORING. Validate incoming data for gaps, stale prices, outliers, feed disconnections. Alert on degradation. Halt trading if integrity unverifiable.</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1"/>
        <w:spacing w:after="160" w:before="320"/>
      </w:pPr>
      <w:r>
        <w:rPr>
          <w:rFonts w:ascii="Arial" w:cs="Arial" w:eastAsia="Arial" w:hAnsi="Arial"/>
          <w:b/>
          <w:bCs/>
          <w:color w:val="0F2557"/>
          <w:sz w:val="28"/>
          <w:szCs w:val="28"/>
        </w:rPr>
        <w:t xml:space="preserve">11. UI/UX and Admin Dashboard</w:t>
      </w:r>
    </w:p>
    <w:p>
      <w:pPr>
        <w:pStyle w:val="Heading2"/>
        <w:spacing w:after="120" w:before="240"/>
      </w:pPr>
      <w:r>
        <w:rPr>
          <w:rFonts w:ascii="Arial" w:cs="Arial" w:eastAsia="Arial" w:hAnsi="Arial"/>
          <w:b/>
          <w:bCs/>
          <w:color w:val="1B5E9E"/>
          <w:sz w:val="24"/>
          <w:szCs w:val="24"/>
        </w:rPr>
        <w:t xml:space="preserve">11.1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11.1.1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AGENT TOPOLOGY MAP using React Flow v12 (@xyflow/react) with custom AgentNode types showing real-time status (ternary color-coded), communication channels, message throughput. Auto-layout via ELK algorithm. WebSocket-driven live updates.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11.1.2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MCP TOOL REGISTRY with kill-switch. One-click revocation for every external integration. If agent hallucinates destructive path, admin severs access instantly.</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11.1.3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PROMPT LABORATORY: side-by-side versioning, A/B testing against historical data, instant rollback to any previous version. Integrated with LangGraph state management.</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11.1.4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SESSION REPLAY using PostHog (native LLM analytics). Replay agent reasoning paths: initial plan, intermediate steps, tool calls, decisions. Link session replays to OTel traces via posthog-session-id.</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11.1.5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PERSISTENT CONFIG: DB values override .env files. ENABLE_PERSISTENT_CONFIG=true for live changes persisting across restarts. RESET_CONFIG_ON_START=true as recovery flag.</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11.1.6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CONFIGURATION SIDECAR: HashiCorp Vault for secrets (metadata only in UI, never actual keys). Feature flags via LaunchDarkly or Redis toggles for mode switching (Sequential/Event-Driven/Hierarchical) without redeployment.</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11.1.7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GUARDRAILS UI: visual input/output guardrail configuration, fail-safe behavior definition, prompt injection defense controls. Per-agent tool access toggling.</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11.1.8</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APEX COMPLIANCE PANEL: live trailing threshold, distance to breach (absolute + %), today's peak, largest trade %, day count, contract utilization, payout countdown. Telegram/Slack integration with one-tap emergency stop.</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2"/>
        <w:spacing w:after="120" w:before="240"/>
      </w:pPr>
      <w:r>
        <w:rPr>
          <w:rFonts w:ascii="Arial" w:cs="Arial" w:eastAsia="Arial" w:hAnsi="Arial"/>
          <w:b/>
          <w:bCs/>
          <w:color w:val="1B5E9E"/>
          <w:sz w:val="24"/>
          <w:szCs w:val="24"/>
        </w:rPr>
        <w:t xml:space="preserve">11.2 Trader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11.2.1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FLOATING TRADER WIDGET on charting interface. Display ternary logic as colored band beneath price: distinct colors for +1 (Buy), -1 (Sell), 0 (Epistemic Hold). Small dots above bars matching current regime.</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11.2.2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ADD SIGNAL CAP INDICATOR: display when Risk Agent suppresses Alpha signals for 30% consistency compliance. Show markers for detected-but-suppressed signals.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11.2.3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A2UI PROTOCOL (Google, Dec 2025 v0.8). Agents generate declarative JSON blueprints rendered as native widgets. Security-first: declarative data, not executable code. Supports JSONL streaming for progressive rendering.</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11.2.4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PROGRESSIVE AUTONOMY: HITL mode (pause + approval card for sensitive actions) vs HOTL mode (passive notification stream with interrupt button for routine tasks). Use LangGraph interrupt nodes.</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11.2.5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DYNAMIC THEMING: Reflective mode (purple #8B5CF6, aurora effects, Sacred Geometry) vs Technical mode (cyan #06B6D4, circuit patterns). Shadcn UI with OKLCH color space for perceptual uniformity.</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11.2.6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BIDIRECTIONAL STREAMING (WebSockets/SSE). Agents stream reasoning continuously. Users pause/resume mid-workflow, inject approvals seamlessly.</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1"/>
        <w:spacing w:after="160" w:before="320"/>
      </w:pPr>
      <w:r>
        <w:rPr>
          <w:rFonts w:ascii="Arial" w:cs="Arial" w:eastAsia="Arial" w:hAnsi="Arial"/>
          <w:b/>
          <w:bCs/>
          <w:color w:val="0F2557"/>
          <w:sz w:val="28"/>
          <w:szCs w:val="28"/>
        </w:rPr>
        <w:t xml:space="preserve">12. HeadyCoin Token Economics</w:t>
      </w:r>
    </w:p>
    <w:p>
      <w:pPr>
        <w:spacing w:after="90"/>
      </w:pPr>
      <w:r>
        <w:rPr>
          <w:rFonts w:ascii="Arial" w:cs="Arial" w:eastAsia="Arial" w:hAnsi="Arial"/>
          <w:color w:val="333333"/>
          <w:sz w:val="19"/>
          <w:szCs w:val="19"/>
        </w:rPr>
        <w:t xml:space="preserve">HeadyCoin: utility token + equity proxy. Built on ERC-3643 (T-REX, $32B+ tokenized assets) with Chainlink Proof-of-Reserve, ERC-4337 account abstraction, and guardian-based social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DEVELOP MINING CLIENT with reward-partitioning per patent US11270298B2. Hardcode corporate treasury public key into mining logic. Automatic split between miner wallet and treasury on every block.</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PROTOCOL-LEVEL BLOCK REJECTION: reject any block without proper miner/treasury split according to specified ratio.</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WRAPPED EQUITY TOKENS via ERC-3643 T-REX (TokenySolutions/T-REX on GitHub, audited by Kaspersky/Hacken). Conditional transfer functions: transfers only proceed when ONCHAINID eligibility (ERC-734/735) and compliance rules satisfied. Deploy Identity Registry, Trusted Issuers Registry, Compliance Contract.</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INTEGRATE CHAINLINK PROOF-OF-RESERVE with Secure Mint. Oracle network monitors reserve addresses, creates cryptographic proofs, delivers on-chain verification via AggregatorV3Interface. Programmatically ensures new tokens minted only when fully backed ($8.5T+ transaction value, ~1.4M PoR updates since Oct 2020).</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ERC-4337 ACCOUNT ABSTRACTION (40M+ smart accounts deployed). UserOperation -&gt; Bundler -&gt; EntryPoint v0.7 -&gt; Smart Account. Paymasters for gasless transactions. Consider EIP-7702 (Pectra upgrade, May 2025) for EOA smart contract execution.</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GUARDIAN-BASED SOCIAL RECOVERY per Vitalik's design: single signing key + 3-of-5 guardian threshold. Guardians change keys, approve high-value txns, lock/unlock wallets. 36-hour delay for guardian changes. Use bip-utils v2.12.1 for BIP-32/44 HD wallet implementation.</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DEPLOY PEER-VERIFICATION LEDGER per patent US9830593B2. Map all participant public keys to verified identities via LDAP before mining/transfer. Reject unmapped/sanctioned addresses.</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12.8</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BLOCK EXPLORER showing transaction history, mining statistics, treasury flows, WET issuance, network health.</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1"/>
        <w:spacing w:after="160" w:before="320"/>
      </w:pPr>
      <w:r>
        <w:rPr>
          <w:rFonts w:ascii="Arial" w:cs="Arial" w:eastAsia="Arial" w:hAnsi="Arial"/>
          <w:b/>
          <w:bCs/>
          <w:color w:val="0F2557"/>
          <w:sz w:val="28"/>
          <w:szCs w:val="28"/>
        </w:rPr>
        <w:t xml:space="preserve">13. Governance, Security, and Compliance</w:t>
      </w:r>
    </w:p>
    <w:p>
      <w:pPr>
        <w:pStyle w:val="Heading2"/>
        <w:spacing w:after="120" w:before="240"/>
      </w:pPr>
      <w:r>
        <w:rPr>
          <w:rFonts w:ascii="Arial" w:cs="Arial" w:eastAsia="Arial" w:hAnsi="Arial"/>
          <w:b/>
          <w:bCs/>
          <w:color w:val="1B5E9E"/>
          <w:sz w:val="24"/>
          <w:szCs w:val="24"/>
        </w:rPr>
        <w:t xml:space="preserve">13.1 Agentic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13.1.1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DEPLOY NEMO GUARDRAILS (Colang 2.0, NemoGuard Jailbreak NIM, parallel rail execution) as primary middleware. Layer with LLM Guard (CPU-optimized, 2.5M+ downloads) and Lakera Guard (100K+ new attack datapoints/day).</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13.1.2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META'S RULE OF TWO: agents satisfy max 2 of 3 properties: (A) process untrusted inputs, (B) access sensitive data, (C) take external actions. Trading agents use [BC] config: access trading data + execute trades, but only process trusted author-lineage-filtered inputs.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13.1.3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DEPLOY MULTI-AGENT DEFENSE PIPELINE (arXiv 2509.14285): Coordinator -&gt; Domain LLM -&gt; Guard Agent with buffer stages and logging. Achieved 100% mitigation across 400 attack instances in controlled tests.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13.1.4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PII REDACTION using Microsoft Presidio v2.2.361 with custom financial recognizers for account numbers, routing numbers. Deploy in pipeline before any data reaches LLM.</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13.1.5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INTER-AGENT TLS 1.3 encryption for all agent-to-agent communication. No internal traffic in plaintext, even within same Kubernetes cluster.</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13.1.6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DEPLOY RBAC + OAuth 2.0 for MCP layer with scoped short-lived JWTs. Rate limiting per agent, per tool, per user. Prevent DoS from runaway agents.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13.1.7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MEMORY POISONING DEFENSES: cryptographic signing of memory entries at write time, architectural isolation by trust level, retrieval parameter hardening (limit top-k, increase relevance thresholds), anomaly detection for impossible toolchains.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2"/>
        <w:spacing w:after="120" w:before="240"/>
      </w:pPr>
      <w:r>
        <w:rPr>
          <w:rFonts w:ascii="Arial" w:cs="Arial" w:eastAsia="Arial" w:hAnsi="Arial"/>
          <w:b/>
          <w:bCs/>
          <w:color w:val="1B5E9E"/>
          <w:sz w:val="24"/>
          <w:szCs w:val="24"/>
        </w:rPr>
        <w:t xml:space="preserve">13.2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13.2.1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GDPR ARTICLE 22 COMPLIANCE. Pause algorithmic execution capability, route to human operator, record authorization via non-repudiable digital signature. Maintain records of processing activities. DPIA before deployment.</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13.2.2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PREPARE FOR EU AI ACT HIGH-RISK DEADLINE (August 2, 2026). Financial sector AI must comply with: Risk Management System (Art 9), Data Governance (Art 10), Technical Documentation (Art 11), Record-Keeping (Art 12), Transparency (Art 13), Human Oversight (Art 14), Accuracy/Robustness/Cybersecurity (Art 15). Penalties: 35M EUR or 7% global turnover.</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13.2.3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ADDRESS SEC 2025-2026 PRIORITIES: comprehensive time-stamped trails of ALL AI-driven market activities including decision chain, data inputs, signal weighting, human overrides. Large AI orders (&gt;0.5% average daily volume) require detailed explanations. Avoid 'AI-washing' claims.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13.2.4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KYC/AML STACK: Sumsub (220+ countries, biometric liveness), Chainalysis KYT (10,000+ digital assets, 1B+ mapped addresses), Notabene Travel Rule (automate FATF data exchange between VASPs).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13.2.5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SET DATA RETENTION: 7 years across all regimes (SEC Rule 17a-3/17a-4, MiFID II, SOC 2). WORM storage for regulatory logs. Trade blotters, communications, audit trails.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13.2.6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REGULATORY REPORTING: automated trade execution records, risk management actions, HITL interventions, compliance screening results, audit trail summaries. Export in required formats.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13.2.7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BEGIN SOC 2 TYPE II preparation. Scope: Security + Availability + Processing Integrity + Confidentiality. Deploy compliance automation (Vanta/Drata). AICPA 2025 update added AI governance emphasis. Budget $20K-$80K for Type II audit.</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2"/>
        <w:spacing w:after="120" w:before="240"/>
      </w:pPr>
      <w:r>
        <w:rPr>
          <w:rFonts w:ascii="Arial" w:cs="Arial" w:eastAsia="Arial" w:hAnsi="Arial"/>
          <w:b/>
          <w:bCs/>
          <w:color w:val="1B5E9E"/>
          <w:sz w:val="24"/>
          <w:szCs w:val="24"/>
        </w:rPr>
        <w:t xml:space="preserve">13.3 Resilience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13.3.1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CHAOS ENGINEERING using Gremlin (recommended for finance, 65% MTTR reduction) or LitmusChaos (K8s-native). Inject: UDP packet loss, MCP tampering, MIDI floods, exchange API timeouts, Redis failures, DB drops. Test agent state coherence.</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13.3.2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SAGA ORCHESTRATION with Temporal (Python SDK temporalio). Multi-step trading: validate order -&gt; reserve funds -&gt; execute trade. Auto-compensating transactions on failure. Retry: initial_interval=1s, backoff=2.0, max_attempts=5.</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13.3.3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DEFINE GRACEFUL DEGRADATION: exchange API down (flatten + halt), Redis down (local state + halt trading), MCP down (disable tools + alert), LLM down (manual mode). Document in runbooks.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13.3.4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DISASTER RECOVERY: system rebuild from backup, DB point-in-time recovery, agent state reconstruction from hash chain, credential rotation after incident. Test monthly.</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13.3.5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CIRCUIT BREAKER THRESHOLDS for all external dependencies. Exchange API fails &gt;N in M minutes -&gt; trip breaker -&gt; flatten positions -&gt; alert operator.</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1"/>
        <w:spacing w:after="160" w:before="320"/>
      </w:pPr>
      <w:r>
        <w:rPr>
          <w:rFonts w:ascii="Arial" w:cs="Arial" w:eastAsia="Arial" w:hAnsi="Arial"/>
          <w:b/>
          <w:bCs/>
          <w:color w:val="0F2557"/>
          <w:sz w:val="28"/>
          <w:szCs w:val="28"/>
        </w:rPr>
        <w:t xml:space="preserve">14. Commercial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14.1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NUKE SWITCH API WRAPPER as first commercial product. REST/WebSocket proxy in front of LLM agents. Intercepts execution commands, routes to HITL approval via rtmidi bus and imap-simple alert. Target: prop trading firms using AI agents.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14.2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PACKAGE CUSTODY-AS-A-SERVICE platform: HITL bus + proxy encryption + fast-signing for institutional DeFi custody market.</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14.3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KYC IDENTITY ORACLE API: sell key-address mapping lookups (patent US9830593B2) to TradFi for AML/KYC compliance.</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14.4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PACKAGE DAO CIRCUIT BREAKER PLUGIN: NIDS + HITL escalation for smart contract integration. Routine proposals auto-pass; hostile takeover triggers guardian review.</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14.5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ONBOARD FIRST PILOT CUSTOMER. Define success metrics, SLA terms, pilot duration. Validate HITL circuit breaker in live environment.</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14.6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API DOCUMENTATION, SDKs (Python, JS, Go), integration guides, sandbox environments, quickstart tutorials for all commercial products.</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14.7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DEPLOY MULTI-REGION with 99.95% uptime SLA. Geographic load balancing, cross-region failover, DR with RPO 5min/RTO 30min.</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p>
      <w:r>
        <w:br w:type="page"/>
      </w:r>
    </w:p>
    <w:p>
      <w:pPr>
        <w:pStyle w:val="Heading1"/>
        <w:spacing w:after="160" w:before="320"/>
      </w:pPr>
      <w:r>
        <w:rPr>
          <w:rFonts w:ascii="Arial" w:cs="Arial" w:eastAsia="Arial" w:hAnsi="Arial"/>
          <w:b/>
          <w:bCs/>
          <w:color w:val="0F2557"/>
          <w:sz w:val="28"/>
          <w:szCs w:val="28"/>
        </w:rPr>
        <w:t xml:space="preserve">15. Operational Excellence</w:t>
      </w:r>
    </w:p>
    <w:p>
      <w:pPr>
        <w:spacing w:after="90"/>
      </w:pPr>
      <w:r>
        <w:rPr>
          <w:rFonts w:ascii="Arial" w:cs="Arial" w:eastAsia="Arial" w:hAnsi="Arial"/>
          <w:color w:val="333333"/>
          <w:sz w:val="19"/>
          <w:szCs w:val="19"/>
        </w:rPr>
        <w:t xml:space="preserve">Continuous fault-free operation requires strict operational rhythms leveraging open-source primitive speed while maintaining patent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20"/>
        <w:gridCol w:w="2100"/>
        <w:gridCol w:w="2100"/>
      </w:tblGrid>
      <w:tr>
        <w:tc>
          <w:tcPr>
            <w:tcW w:type="dxa" w:w="54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2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Description</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100"/>
            <w:tcBorders>
              <w:top w:val="single" w:color="BBBBBB" w:sz="1"/>
              <w:left w:val="single" w:color="BBBBBB" w:sz="1"/>
              <w:bottom w:val="single" w:color="BBBBBB" w:sz="1"/>
              <w:right w:val="single" w:color="BBBBBB" w:sz="1"/>
            </w:tcBorders>
            <w:shd w:fill="0F2557"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ESTABLISH MIDI/RTMIDI NERVOUS SYSTEM. All operational data encoded into MIDI hexadecimal arrays for ultra-low latency routing. Process millions of background requests while pausing only for predefined human interventions.</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15.2</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ASYNC ESCALATION RHYTHMS. NIDS flags anomaly -&gt; specific channel pauses on MIDI bus -&gt; imap-simple routes proxy-encrypted payload to on-call operator -&gt; rest of business continues. Never freeze entire network for single escalation.</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15.3</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FAULT-TOLERANT STATE PRESERVATION. exit-hook on all Node.js services catches SIGINT/SIGTERM, flushes MIDI ports, saves pending PKCS#7 requests to hash chain. Zero corruption on crash.</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15.4</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AUTOMATED DAILY PRE-MARKET CHECKS: exchange connectivity, data feed integrity, Risk Agent drawdown accuracy, Execution Agent latency, all MCP server health, Redis/PostgreSQL connectivity, certificate expiration dates. Block trading if any check fails.</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15.5</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POST-MARKET RECONCILIATION. Compare all executed trades against hash chain audit log. Verify every trade properly authorized. Flag any discrepancy for immediate investigation.</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15.6</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AUTOMATED CREDENTIAL ROTATION. DB passwords, API keys, JWT secrets, exchange tokens rotated on schedule (minimum quarterly, critical monthly). Zero-downtime rotation.</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15.7</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MARKET CLOSE PROCEDURE: flatten all positions by 4:58 PM ET, cancel pending orders, reconcile execution records, export compliance reports, verify hash chain integrity, backup databases, generate daily performance summary.</w:t>
            </w:r>
          </w:p>
        </w:tc>
        <w:tc>
          <w:tcPr>
            <w:tcW w:type="dxa" w:w="2100"/>
            <w:tcBorders>
              <w:top w:val="single" w:color="BBBBBB" w:sz="1"/>
              <w:left w:val="single" w:color="BBBBBB" w:sz="1"/>
              <w:bottom w:val="single" w:color="BBBBBB" w:sz="1"/>
              <w:right w:val="single" w:color="BBBBBB" w:sz="1"/>
            </w:tcBorders>
            <w:shd w:fill="BF360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15.8</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INNER/OUTER ADAPTIVE CONTROL LOOPS. Inner: high-speed UI telemetry via 64-bit UMP packets at edge. Outer: Buddy AI consumes aggregated historical data via 128-bit Mixed Data Sets, sends parameter adjustments tuning inner loop.</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15.9</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CAPACITY PLANNING DASHBOARD. Track resource utilization trends. Predictive alerts when growth will exhaust capacity within 30 days.</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15.10</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IMPLEMENT AUTOMATED DEPENDENCY UPDATES. Weekly check for new versions. Auto-PR for patch/minor updates passing all tests. Flag major versions for manual review.</w:t>
            </w:r>
          </w:p>
        </w:tc>
        <w:tc>
          <w:tcPr>
            <w:tcW w:type="dxa" w:w="21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r>
        <w:tc>
          <w:tcPr>
            <w:tcW w:type="dxa" w:w="54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15.11</w:t>
            </w:r>
          </w:p>
        </w:tc>
        <w:tc>
          <w:tcPr>
            <w:tcW w:type="dxa" w:w="46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BUILD INCIDENT RESPONSE AUTOMATION. On critical alert: capture system state (thread/heap dumps, network traces), create ticket, notify on-call via multiple channels, begin preliminary diagnostics automatically.</w:t>
            </w:r>
          </w:p>
        </w:tc>
        <w:tc>
          <w:tcPr>
            <w:tcW w:type="dxa" w:w="2100"/>
            <w:tcBorders>
              <w:top w:val="single" w:color="BBBBBB" w:sz="1"/>
              <w:left w:val="single" w:color="BBBBBB" w:sz="1"/>
              <w:bottom w:val="single" w:color="BBBBBB" w:sz="1"/>
              <w:right w:val="single" w:color="BBBBBB"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1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ASAP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tabs>
        <w:tab w:val="right" w:pos="9026"/>
      </w:tabs>
    </w:pPr>
    <w:r>
      <w:rPr>
        <w:rFonts w:ascii="Arial" w:cs="Arial" w:eastAsia="Arial" w:hAnsi="Arial"/>
        <w:color w:val="999999"/>
        <w:sz w:val="13"/>
        <w:szCs w:val="13"/>
      </w:rPr>
      <w:t xml:space="preserve">HeadyMe / HeadySystems — CONFIDENTIAL</w:t>
    </w:r>
    <w:r>
      <w:rPr>
        <w:rFonts w:ascii="Arial" w:cs="Arial" w:eastAsia="Arial" w:hAnsi="Arial"/>
        <w:color w:val="999999"/>
        <w:sz w:val="13"/>
        <w:szCs w:val="13"/>
      </w:rPr>
      <w:t xml:space="preserve">	Page </w:t>
    </w:r>
    <w:r>
      <w:rPr>
        <w:rFonts w:ascii="Arial" w:cs="Arial" w:eastAsia="Arial" w:hAnsi="Arial"/>
        <w:color w:val="99999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9E" w:sz="3" w:space="4"/>
      </w:pBdr>
      <w:tabs>
        <w:tab w:val="right" w:pos="9026"/>
      </w:tabs>
    </w:pPr>
    <w:r>
      <w:rPr>
        <w:rFonts w:ascii="Arial" w:cs="Arial" w:eastAsia="Arial" w:hAnsi="Arial"/>
        <w:i/>
        <w:iCs/>
        <w:color w:val="999999"/>
        <w:sz w:val="15"/>
        <w:szCs w:val="15"/>
      </w:rPr>
      <w:t xml:space="preserve">Heady Project — Definitive Master Task List</w:t>
    </w:r>
    <w:r>
      <w:rPr>
        <w:rFonts w:ascii="Arial" w:cs="Arial" w:eastAsia="Arial" w:hAnsi="Arial"/>
        <w:b/>
        <w:bCs/>
        <w:color w:val="B71C1C"/>
        <w:sz w:val="15"/>
        <w:szCs w:val="15"/>
      </w:rPr>
      <w:t xml:space="preserve">	ALL TASKS: IMPLEMENT ASAP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2557"/>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B5E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2026-03-12T00:43:18.022Z</dcterms:created>
  <dcterms:modified xsi:type="dcterms:W3CDTF">2026-03-12T00:43:18.071Z</dcterms:modified>
</cp:coreProperties>
</file>

<file path=docProps/custom.xml><?xml version="1.0" encoding="utf-8"?>
<Properties xmlns="http://schemas.openxmlformats.org/officeDocument/2006/custom-properties" xmlns:vt="http://schemas.openxmlformats.org/officeDocument/2006/docPropsVTypes"/>
</file>