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 w:line="276"/>
      </w:pPr>
      <w:r>
        <w:rPr>
          <w:rFonts w:ascii="Arial" w:cs="Arial" w:eastAsia="Arial" w:hAnsi="Arial"/>
          <w:b/>
          <w:bCs/>
          <w:color w:val="13343B"/>
          <w:sz w:val="34"/>
          <w:szCs w:val="34"/>
        </w:rPr>
        <w:t xml:space="preserve">Heady Competitive Analysis Playbook</w:t>
      </w:r>
    </w:p>
    <w:p>
      <w:pPr>
        <w:spacing w:after="2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reusable system for battlecards, messaging matrices, content gap maps, and positioning work using the competitive-analysis skill.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playbook distills the practical frameworks behind competitor messaging analysis, battlecards, and content-gap work into a Heady-ready operating method.</w:t>
      </w:r>
    </w:p>
    <w:p>
      <w:pPr>
        <w:pStyle w:val="Heading1"/>
      </w:pPr>
      <w:r>
        <w:rPr>
          <w:rFonts w:ascii="Arial" w:cs="Arial" w:eastAsia="Arial" w:hAnsi="Arial"/>
        </w:rPr>
        <w:t xml:space="preserve">How to use this kit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with the workbook to capture raw facts, side-by-side comparisons, and scoring.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prompt pack to generate or refine each deliverable quickly.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Turn the strongest findings into a battlecard, messaging matrix, content gap map, and positioning recommendation.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the same workbook regularly so the kit becomes a living intelligence system rather than a one-off document.</w:t>
      </w:r>
    </w:p>
    <w:p>
      <w:pPr>
        <w:pStyle w:val="Heading1"/>
      </w:pPr>
      <w:r>
        <w:rPr>
          <w:rFonts w:ascii="Arial" w:cs="Arial" w:eastAsia="Arial" w:hAnsi="Arial"/>
        </w:rPr>
        <w:t xml:space="preserve">What the source frameworks say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Competitor messaging analysis works best when you collect messaging from pages, collateral, emails, and releases, then compare each competitor in a shared hierarchy and maintain it as a living document. </w:t>
      </w:r>
      <w:hyperlink w:history="1" r:id="rIdjpacdvisyhk8jznphfwys">
        <w:r>
          <w:rPr>
            <w:rStyle w:val="Hyperlink"/>
          </w:rPr>
          <w:t xml:space="preserve">Crayon guide</w:t>
        </w:r>
      </w:hyperlink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 strong messaging hierarchy usually includes proof points, key messaging, value proposition, positioning statement, and brand promise, with side-by-side notes for silver bullets and cautions. </w:t>
      </w:r>
      <w:hyperlink w:history="1" r:id="rIdr_cp2dtwiknrvi0zzzkiq">
        <w:r>
          <w:rPr>
            <w:rStyle w:val="Hyperlink"/>
          </w:rPr>
          <w:t xml:space="preserve">Crayon guide</w:t>
        </w:r>
      </w:hyperlink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Battlecards are strongest when they move from comparison into action, so each competitor fact leads to a response, discovery question, redirect, or objection-handling move. </w:t>
      </w:r>
      <w:hyperlink w:history="1" r:id="rIdggdj5ahiicqb7qgdrf9ld">
        <w:r>
          <w:rPr>
            <w:rStyle w:val="Hyperlink"/>
          </w:rPr>
          <w:t xml:space="preserve">Klue COMP-ACT</w:t>
        </w:r>
      </w:hyperlink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Useful battlecards stay concise and cover competitor strengths, weaknesses, buyer objections, talk tracks, and seller actions. </w:t>
      </w:r>
      <w:hyperlink w:history="1" r:id="rIdtlds0tc5tl4bmauv-6tu1">
        <w:r>
          <w:rPr>
            <w:rStyle w:val="Hyperlink"/>
          </w:rPr>
          <w:t xml:space="preserve">Klue battlecards guide</w:t>
        </w:r>
      </w:hyperlink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Modern battlecards are moving away from static one-offs toward simple, skimmable systems focused on why you win, how to answer objections, and which landmines to plant early. </w:t>
      </w:r>
      <w:hyperlink w:history="1" r:id="rIdvgr2towhxhuhzsr3jo6o1">
        <w:r>
          <w:rPr>
            <w:rStyle w:val="Hyperlink"/>
          </w:rPr>
          <w:t xml:space="preserve">Crayon blueprint</w:t>
        </w:r>
      </w:hyperlink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Content gap analysis should identify the topics and keywords competitors rank for that you do not, plus missing AI-search visibility and places where existing content can be improved. </w:t>
      </w:r>
      <w:hyperlink w:history="1" r:id="rIdtzfg00xbpezsihvv8k2kn">
        <w:r>
          <w:rPr>
            <w:rStyle w:val="Hyperlink"/>
          </w:rPr>
          <w:t xml:space="preserve">Semrush guide</w:t>
        </w:r>
      </w:hyperlink>
    </w:p>
    <w:p>
      <w:pPr>
        <w:pStyle w:val="Heading1"/>
      </w:pPr>
      <w:r>
        <w:rPr>
          <w:rFonts w:ascii="Arial" w:cs="Arial" w:eastAsia="Arial" w:hAnsi="Arial"/>
        </w:rPr>
        <w:t xml:space="preserve">Heady workflow</w:t>
      </w:r>
    </w:p>
    <w:p>
      <w:pPr>
        <w:pStyle w:val="Heading2"/>
      </w:pPr>
      <w:r>
        <w:rPr>
          <w:rFonts w:ascii="Arial" w:cs="Arial" w:eastAsia="Arial" w:hAnsi="Arial"/>
        </w:rPr>
        <w:t xml:space="preserve">Phase 1: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3-6 competitors unless you need a single deep dive or a broad landscape.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 the decision this analysis should support: messaging rewrite, sales enablement, content plan, or category strategy.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Pick the output set: battlecard, messaging matrix, content gap map, positioning map, or all four.</w:t>
      </w:r>
    </w:p>
    <w:p>
      <w:pPr>
        <w:pStyle w:val="Heading2"/>
      </w:pPr>
      <w:r>
        <w:rPr>
          <w:rFonts w:ascii="Arial" w:cs="Arial" w:eastAsia="Arial" w:hAnsi="Arial"/>
        </w:rPr>
        <w:t xml:space="preserve">Phase 2: Collect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Capture homepage headline, subhead, CTA, audience, proof points, pricing posture, use cases, integrations, and recent launches.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review themes, job-posting signals, and any notable strategic moves when 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Date-stamp each entry so changes are trackable over time.</w:t>
      </w:r>
    </w:p>
    <w:p>
      <w:pPr>
        <w:pStyle w:val="Heading2"/>
      </w:pPr>
      <w:r>
        <w:rPr>
          <w:rFonts w:ascii="Arial" w:cs="Arial" w:eastAsia="Arial" w:hAnsi="Arial"/>
        </w:rPr>
        <w:t xml:space="preserve">Phase 3: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workbook tabs to normalize facts into the same fields for every competitor.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 clarity, differentiation, proof strength, and enterprise readiness separately.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Separate hard evidence from interpretation.</w:t>
      </w:r>
    </w:p>
    <w:p>
      <w:pPr>
        <w:pStyle w:val="Heading2"/>
      </w:pPr>
      <w:r>
        <w:rPr>
          <w:rFonts w:ascii="Arial" w:cs="Arial" w:eastAsia="Arial" w:hAnsi="Arial"/>
        </w:rPr>
        <w:t xml:space="preserve">Phase 4: Synthesize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Turn facts into contrasts: what they claim, what that means, and where Heady can win.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Translate every useful contrast into either a message angle, a sales talk track, or a content priority.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one positioning recommendation that narrows the market lens instead of broadening it.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Deliverable recipes</w:t>
      </w:r>
    </w:p>
    <w:p>
      <w:pPr>
        <w:pStyle w:val="Heading2"/>
      </w:pPr>
      <w:r>
        <w:rPr>
          <w:rFonts w:ascii="Arial" w:cs="Arial" w:eastAsia="Arial" w:hAnsi="Arial"/>
        </w:rPr>
        <w:t xml:space="preserve">Battlecard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 with a one-sentence summary of the competitor and their likely buyer.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 their real strengths honestly.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the 3-5 Heady differentiators that matter most to the same buyer.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Translate those differentiators into objection handling and trap-setting questions.</w:t>
      </w:r>
    </w:p>
    <w:p>
      <w:pPr>
        <w:pStyle w:val="Heading2"/>
      </w:pPr>
      <w:r>
        <w:rPr>
          <w:rFonts w:ascii="Arial" w:cs="Arial" w:eastAsia="Arial" w:hAnsi="Arial"/>
        </w:rPr>
        <w:t xml:space="preserve">Messaging matrix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Compare headline, value proposition, audience, differentiator claim, proof, tone, and 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 which messages feel generic, credible, or strategically dangerous.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the whitespace where Heady can sound distinct.</w:t>
      </w:r>
    </w:p>
    <w:p>
      <w:pPr>
        <w:pStyle w:val="Heading2"/>
      </w:pPr>
      <w:r>
        <w:rPr>
          <w:rFonts w:ascii="Arial" w:cs="Arial" w:eastAsia="Arial" w:hAnsi="Arial"/>
        </w:rPr>
        <w:t xml:space="preserve">Content gap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 themes, search intent, stage of journey, format, and owner.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Highlight topics competitors own that Heady should answer better.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Also highlight topics where competitors are absent and Heady can define the conversation.</w:t>
      </w:r>
    </w:p>
    <w:p>
      <w:pPr>
        <w:pStyle w:val="Heading2"/>
      </w:pPr>
      <w:r>
        <w:rPr>
          <w:rFonts w:ascii="Arial" w:cs="Arial" w:eastAsia="Arial" w:hAnsi="Arial"/>
        </w:rPr>
        <w:t xml:space="preserve">Positioning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two axes that actually matter in the market such as platform vs point solution or flexibility vs simplicity.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Place competitors conservatively, then write the narrative of the open space rather than just plotting dots.</w:t>
      </w:r>
    </w:p>
    <w:p>
      <w:pPr>
        <w:pStyle w:val="Heading1"/>
      </w:pPr>
      <w:r>
        <w:rPr>
          <w:rFonts w:ascii="Arial" w:cs="Arial" w:eastAsia="Arial" w:hAnsi="Arial"/>
        </w:rPr>
        <w:t xml:space="preserve">Heady-specific angles to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Sovereign AI and user-controlled architecture versus closed black-box dependency.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Dynamic multi-agent orchestration versus single-assistant framing.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Memory, continuity, and explainability versus throwaway session utility.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Operational depth for builders and organizations versus lightweight chat utility.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Control-plane and ecosystem architecture versus isolated feature tools.</w:t>
      </w:r>
    </w:p>
    <w:p>
      <w:pPr>
        <w:pStyle w:val="Heading1"/>
      </w:pPr>
      <w:r>
        <w:rPr>
          <w:rFonts w:ascii="Arial" w:cs="Arial" w:eastAsia="Arial" w:hAnsi="Arial"/>
        </w:rPr>
        <w:t xml:space="preserve">Recommended cadence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Weekly: update launches, pricing changes, new pages, and major messaging shifts.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Monthly: refresh scoring, content gaps, and position on the map.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Quarterly: rebuild battlecards and rewrite your strongest narrative claims.</w:t>
      </w:r>
    </w:p>
    <w:p>
      <w:pPr>
        <w:pStyle w:val="Heading1"/>
      </w:pPr>
      <w:r>
        <w:rPr>
          <w:rFonts w:ascii="Arial" w:cs="Arial" w:eastAsia="Arial" w:hAnsi="Arial"/>
        </w:rPr>
        <w:t xml:space="preserve">Included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CompetitiveAnalysisWorkbook.xlsx for structured capture and prioritization.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PromptPack.md for reusable prompts and workflows.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playbook for the operating model and synthesis rules.</w:t>
      </w:r>
    </w:p>
    <w:p>
      <w:pPr>
        <w:pStyle w:val="Heading1"/>
      </w:pPr>
      <w:r>
        <w:rPr>
          <w:rFonts w:ascii="Arial" w:cs="Arial" w:eastAsia="Arial" w:hAnsi="Arial"/>
        </w:rPr>
        <w:t xml:space="preserve">Source notes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battlecard, messaging, and content-gap methods in this playbook were adapted from Crayon, Klue, and Semrush guidance and converted into a reusable Heady workflow.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Crayon competitor messaging analysis guide: </w:t>
      </w:r>
      <w:hyperlink w:history="1" r:id="rIdn03-yruyjpoquzwgpn4tq">
        <w:r>
          <w:rPr>
            <w:rStyle w:val="Hyperlink"/>
          </w:rPr>
          <w:t xml:space="preserve">https://www.crayon.co/blog/how-to-do-a-competitor-messaging-analysis</w:t>
        </w:r>
      </w:hyperlink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Klue COMP-ACT framework guide: </w:t>
      </w:r>
      <w:hyperlink w:history="1" r:id="rIddah222_yfgmy-jn27fzbb">
        <w:r>
          <w:rPr>
            <w:rStyle w:val="Hyperlink"/>
          </w:rPr>
          <w:t xml:space="preserve">https://klue.com/blog/battlecard-framework</w:t>
        </w:r>
      </w:hyperlink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Klue sales battlecards guide: </w:t>
      </w:r>
      <w:hyperlink w:history="1" r:id="rIdtmx4egz-ilhlatrrly444">
        <w:r>
          <w:rPr>
            <w:rStyle w:val="Hyperlink"/>
          </w:rPr>
          <w:t xml:space="preserve">https://klue.com/blog/competitive-battlecards-101</w:t>
        </w:r>
      </w:hyperlink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Crayon modern battlecard blueprint: </w:t>
      </w:r>
      <w:hyperlink w:history="1" r:id="rIdzn6xaijoxkfw5s0_s1-mt">
        <w:r>
          <w:rPr>
            <w:rStyle w:val="Hyperlink"/>
          </w:rPr>
          <w:t xml:space="preserve">https://www.crayon.co/blog/modern-battlecard-blueprint</w:t>
        </w:r>
      </w:hyperlink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Semrush content gap analysis guide: </w:t>
      </w:r>
      <w:hyperlink w:history="1" r:id="rIdus9qljh7c3pprgvykhglk">
        <w:r>
          <w:rPr>
            <w:rStyle w:val="Hyperlink"/>
          </w:rPr>
          <w:t xml:space="preserve">https://www.semrush.com/blog/content-gap-analysis/</w:t>
        </w:r>
      </w:hyperlink>
    </w:p>
    <w:sectPr>
      <w:headerReference w:type="default" r:id="rId7"/>
      <w:footerReference w:type="default" r:id="rId8"/>
      <w:pgSz w:w="12240" w:h="15840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2E565D"/>
        <w:sz w:val="18"/>
        <w:szCs w:val="18"/>
      </w:rPr>
      <w:t xml:space="preserve">Heady Competitive Analysis 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3343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0808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pacdvisyhk8jznphfwys" Type="http://schemas.openxmlformats.org/officeDocument/2006/relationships/hyperlink" Target="https://www.crayon.co/blog/how-to-do-a-competitor-messaging-analysis" TargetMode="External"/><Relationship Id="rIdr_cp2dtwiknrvi0zzzkiq" Type="http://schemas.openxmlformats.org/officeDocument/2006/relationships/hyperlink" Target="https://www.crayon.co/blog/how-to-do-a-competitor-messaging-analysis" TargetMode="External"/><Relationship Id="rIdggdj5ahiicqb7qgdrf9ld" Type="http://schemas.openxmlformats.org/officeDocument/2006/relationships/hyperlink" Target="https://klue.com/blog/battlecard-framework" TargetMode="External"/><Relationship Id="rIdtlds0tc5tl4bmauv-6tu1" Type="http://schemas.openxmlformats.org/officeDocument/2006/relationships/hyperlink" Target="https://klue.com/blog/competitive-battlecards-101" TargetMode="External"/><Relationship Id="rIdvgr2towhxhuhzsr3jo6o1" Type="http://schemas.openxmlformats.org/officeDocument/2006/relationships/hyperlink" Target="https://www.crayon.co/blog/modern-battlecard-blueprint" TargetMode="External"/><Relationship Id="rIdtzfg00xbpezsihvv8k2kn" Type="http://schemas.openxmlformats.org/officeDocument/2006/relationships/hyperlink" Target="https://www.semrush.com/blog/content-gap-analysis/" TargetMode="External"/><Relationship Id="rIdn03-yruyjpoquzwgpn4tq" Type="http://schemas.openxmlformats.org/officeDocument/2006/relationships/hyperlink" Target="https://www.crayon.co/blog/how-to-do-a-competitor-messaging-analysis" TargetMode="External"/><Relationship Id="rIddah222_yfgmy-jn27fzbb" Type="http://schemas.openxmlformats.org/officeDocument/2006/relationships/hyperlink" Target="https://klue.com/blog/battlecard-framework" TargetMode="External"/><Relationship Id="rIdtmx4egz-ilhlatrrly444" Type="http://schemas.openxmlformats.org/officeDocument/2006/relationships/hyperlink" Target="https://klue.com/blog/competitive-battlecards-101" TargetMode="External"/><Relationship Id="rIdzn6xaijoxkfw5s0_s1-mt" Type="http://schemas.openxmlformats.org/officeDocument/2006/relationships/hyperlink" Target="https://www.crayon.co/blog/modern-battlecard-blueprint" TargetMode="External"/><Relationship Id="rIdus9qljh7c3pprgvykhglk" Type="http://schemas.openxmlformats.org/officeDocument/2006/relationships/hyperlink" Target="https://www.semrush.com/blog/content-gap-analysis/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Heady Competitive Analysis Playbook</dc:title>
  <dc:creator>Perplexity Computer</dc:creator>
  <dc:description>Playbook for using the marketing competitive analysis skill</dc:description>
  <cp:lastModifiedBy>Un-named</cp:lastModifiedBy>
  <cp:revision>1</cp:revision>
  <dcterms:created xsi:type="dcterms:W3CDTF">2026-03-07T06:50:31.474Z</dcterms:created>
  <dcterms:modified xsi:type="dcterms:W3CDTF">2026-03-07T06:50:31.474Z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