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ga-mark"/>
        <w:bidi w:val="0"/>
        <w:spacing w:before="2" w:after="120"/>
        <w:jc w:val="right"/>
        <w:rPr/>
      </w:pPr>
      <w:r>
        <w:rPr/>
        <w:t>Draft for the Trust’s comments – 24 September 2026</w:t>
      </w:r>
    </w:p>
    <w:p>
      <w:pPr>
        <w:pStyle w:val="BodyTextga-title"/>
        <w:bidi w:val="0"/>
        <w:rPr/>
      </w:pPr>
      <w:r>
        <w:rPr/>
        <w:t>GRANT AGREEMENT</w:t>
      </w:r>
    </w:p>
    <w:p>
      <w:pPr>
        <w:pStyle w:val="BodyTextga-sub"/>
        <w:bidi w:val="0"/>
        <w:rPr/>
      </w:pPr>
      <w:r>
        <w:rPr/>
        <w:t>The Marsh Lane Youth Centre evening programme</w:t>
      </w:r>
    </w:p>
    <w:p>
      <w:pPr>
        <w:pStyle w:val="BodyTextga-date"/>
        <w:bidi w:val="0"/>
        <w:rPr/>
      </w:pPr>
      <w:r>
        <w:rPr/>
        <w:t>Dated ____________________ 2026</w:t>
      </w:r>
    </w:p>
    <w:p>
      <w:pPr>
        <w:pStyle w:val="BodyTextga-head"/>
        <w:bidi w:val="0"/>
        <w:jc w:val="left"/>
        <w:rPr/>
      </w:pPr>
      <w:r>
        <w:rPr/>
        <w:t>Parties</w:t>
      </w:r>
    </w:p>
    <w:p>
      <w:pPr>
        <w:pStyle w:val="BodyTextparty"/>
        <w:bidi w:val="0"/>
        <w:rPr/>
      </w:pPr>
      <w:r>
        <w:rPr>
          <w:b/>
        </w:rPr>
        <w:t>(1)</w:t>
      </w:r>
      <w:r>
        <w:rPr/>
        <w:t>    </w:t>
      </w:r>
      <w:r>
        <w:rPr>
          <w:b/>
        </w:rPr>
        <w:t>THE WEXMOOR FOUNDATION</w:t>
      </w:r>
      <w:r>
        <w:rPr/>
        <w:t xml:space="preserve">, a charity (charity number to be inserted) whose office is at Wexmoor House, 8 Abbey Green, Marlbridge WX1 7AG (the </w:t>
      </w:r>
      <w:r>
        <w:rPr>
          <w:b/>
        </w:rPr>
        <w:t>Foundation</w:t>
      </w:r>
      <w:r>
        <w:rPr/>
        <w:t>); and</w:t>
      </w:r>
    </w:p>
    <w:p>
      <w:pPr>
        <w:pStyle w:val="BodyTextparty"/>
        <w:bidi w:val="0"/>
        <w:rPr/>
      </w:pPr>
      <w:r>
        <w:rPr>
          <w:b/>
        </w:rPr>
        <w:t>(2)</w:t>
      </w:r>
      <w:r>
        <w:rPr/>
        <w:t>    </w:t>
      </w:r>
      <w:r>
        <w:rPr>
          <w:b/>
        </w:rPr>
        <w:t>MARSH LANE COMMUNITY TRUST</w:t>
      </w:r>
      <w:r>
        <w:rPr/>
        <w:t xml:space="preserve">, a charity (charity number to be inserted) whose address is Marsh Lane Youth Centre, 1 Marsh Lane, Marlbridge WX3 9MT (the </w:t>
      </w:r>
      <w:r>
        <w:rPr>
          <w:b/>
        </w:rPr>
        <w:t>Trust</w:t>
      </w:r>
      <w:r>
        <w:rPr/>
        <w:t>).</w:t>
      </w:r>
    </w:p>
    <w:p>
      <w:pPr>
        <w:pStyle w:val="BodyTextga-head"/>
        <w:bidi w:val="0"/>
        <w:jc w:val="left"/>
        <w:rPr/>
      </w:pPr>
      <w:r>
        <w:rPr/>
        <w:t>Background</w:t>
      </w:r>
    </w:p>
    <w:p>
      <w:pPr>
        <w:pStyle w:val="BodyTextparty"/>
        <w:bidi w:val="0"/>
        <w:rPr/>
      </w:pPr>
      <w:r>
        <w:rPr>
          <w:b/>
        </w:rPr>
        <w:t>(A)</w:t>
      </w:r>
      <w:r>
        <w:rPr/>
        <w:t xml:space="preserve">    The Trust runs the Marsh Lane Youth Centre (the </w:t>
      </w:r>
      <w:r>
        <w:rPr>
          <w:b/>
        </w:rPr>
        <w:t>Centre</w:t>
      </w:r>
      <w:r>
        <w:rPr/>
        <w:t>), which offers young people in Marlbridge a place to meet, play sport and learn.</w:t>
      </w:r>
    </w:p>
    <w:p>
      <w:pPr>
        <w:pStyle w:val="BodyTextparty"/>
        <w:bidi w:val="0"/>
        <w:rPr/>
      </w:pPr>
      <w:r>
        <w:rPr>
          <w:b/>
        </w:rPr>
        <w:t>(B)</w:t>
      </w:r>
      <w:r>
        <w:rPr/>
        <w:t>    The Foundation has agreed to give the Trust a grant towards the Centre’s evening programme, on the terms of this agreement.</w:t>
      </w:r>
    </w:p>
    <w:p>
      <w:pPr>
        <w:pStyle w:val="BodyTextga-head"/>
        <w:bidi w:val="0"/>
        <w:jc w:val="left"/>
        <w:rPr/>
      </w:pPr>
      <w:r>
        <w:rPr/>
        <w:t>Terms</w:t>
      </w:r>
    </w:p>
    <w:p>
      <w:pPr>
        <w:pStyle w:val="BodyTexthd"/>
        <w:bidi w:val="0"/>
        <w:jc w:val="left"/>
        <w:rPr/>
      </w:pPr>
      <w:r>
        <w:rPr/>
        <w:t>1.    Meanings</w:t>
      </w:r>
    </w:p>
    <w:p>
      <w:pPr>
        <w:pStyle w:val="BodyTextcl"/>
        <w:bidi w:val="0"/>
        <w:rPr/>
      </w:pPr>
      <w:r>
        <w:rPr/>
        <w:t xml:space="preserve">1.1    In this agreement: the </w:t>
      </w:r>
      <w:r>
        <w:rPr>
          <w:b/>
        </w:rPr>
        <w:t>Grant</w:t>
      </w:r>
      <w:r>
        <w:rPr/>
        <w:t xml:space="preserve"> is £90,000; the </w:t>
      </w:r>
      <w:r>
        <w:rPr>
          <w:b/>
        </w:rPr>
        <w:t>Grant Period</w:t>
      </w:r>
      <w:r>
        <w:rPr/>
        <w:t xml:space="preserve"> is the three years from 1 January 2027 to 31 December 2029; the </w:t>
      </w:r>
      <w:r>
        <w:rPr>
          <w:b/>
        </w:rPr>
        <w:t>Purpose</w:t>
      </w:r>
      <w:r>
        <w:rPr/>
        <w:t xml:space="preserve"> is the Centre’s evening programme for young people, as the Schedule describes it; and an </w:t>
      </w:r>
      <w:r>
        <w:rPr>
          <w:b/>
        </w:rPr>
        <w:t>Instalment</w:t>
      </w:r>
      <w:r>
        <w:rPr/>
        <w:t xml:space="preserve"> is each of the six payments in clause 2.</w:t>
      </w:r>
    </w:p>
    <w:p>
      <w:pPr>
        <w:pStyle w:val="BodyTexthd"/>
        <w:bidi w:val="0"/>
        <w:jc w:val="left"/>
        <w:rPr/>
      </w:pPr>
      <w:r>
        <w:rPr/>
        <w:t>2.    The Grant</w:t>
      </w:r>
    </w:p>
    <w:p>
      <w:pPr>
        <w:pStyle w:val="BodyTextcl"/>
        <w:bidi w:val="0"/>
        <w:rPr/>
      </w:pPr>
      <w:r>
        <w:rPr/>
        <w:t>2.1    The Foundation shall give the Trust the Grant, to be spent on the Purpose during the Grant Period.</w:t>
      </w:r>
    </w:p>
    <w:p>
      <w:pPr>
        <w:pStyle w:val="BodyTextcl"/>
        <w:bidi w:val="0"/>
        <w:rPr/>
      </w:pPr>
      <w:r>
        <w:rPr/>
        <w:t>2.2    The Foundation shall pay the Grant in six Instalments of £15,000, on 1 January and 1 July in each of 2027, 2028 and 2029.</w:t>
      </w:r>
    </w:p>
    <w:p>
      <w:pPr>
        <w:pStyle w:val="BodyTextcl"/>
        <w:bidi w:val="0"/>
        <w:rPr/>
      </w:pPr>
      <w:r>
        <w:rPr/>
        <w:t>2.3    The Foundation shall pay the first Instalment on 1 January 2027. It shall pay each later Instalment on its date only once it has accepted the Trust’s last progress report, which is the report due the month before (see clause 6.1). If it has not accepted that report by the date, it shall pay the Instalment within seven days after it does.</w:t>
      </w:r>
    </w:p>
    <w:p>
      <w:pPr>
        <w:pStyle w:val="BodyTextcl"/>
        <w:bidi w:val="0"/>
        <w:rPr/>
      </w:pPr>
      <w:r>
        <w:rPr/>
        <w:t>2.4    The Foundation shall accept a progress report, or tell the Trust in writing what is missing from it, within fourteen days of receiving it.</w:t>
      </w:r>
    </w:p>
    <w:p>
      <w:pPr>
        <w:pStyle w:val="BodyTexthd"/>
        <w:bidi w:val="0"/>
        <w:jc w:val="left"/>
        <w:rPr/>
      </w:pPr>
      <w:r>
        <w:rPr/>
        <w:t>3.    How the Trust spends the Grant</w:t>
      </w:r>
    </w:p>
    <w:p>
      <w:pPr>
        <w:pStyle w:val="BodyTextcl"/>
        <w:bidi w:val="0"/>
        <w:rPr/>
      </w:pPr>
      <w:r>
        <w:rPr/>
        <w:t>3.1    The Trust shall spend the Grant only on the Purpose, and shall keep a separate record of what it spends of the Grant.</w:t>
      </w:r>
    </w:p>
    <w:p>
      <w:pPr>
        <w:pStyle w:val="BodyTextcl"/>
        <w:bidi w:val="0"/>
        <w:rPr/>
      </w:pPr>
      <w:r>
        <w:rPr/>
        <w:t>3.2    The Trust may move up to ten per cent of a year’s budget in the Schedule from one line to another without asking. A larger move needs the Foundation’s written consent, which the Foundation shall not unreasonably withhold.</w:t>
      </w:r>
    </w:p>
    <w:p>
      <w:pPr>
        <w:pStyle w:val="BodyTextcl"/>
        <w:bidi w:val="0"/>
        <w:rPr/>
      </w:pPr>
      <w:r>
        <w:rPr/>
        <w:t>3.3    The Trust shall keep a safeguarding policy for the Centre that meets the law and good practice for work with young people, and shall make sure everyone who works with them at the Centre has been properly checked.</w:t>
      </w:r>
    </w:p>
    <w:p>
      <w:pPr>
        <w:pStyle w:val="BodyTexthd"/>
        <w:bidi w:val="0"/>
        <w:jc w:val="left"/>
        <w:rPr/>
      </w:pPr>
      <w:r>
        <w:rPr/>
        <w:t>4.    Match funding</w:t>
      </w:r>
    </w:p>
    <w:p>
      <w:pPr>
        <w:pStyle w:val="BodyTextcl"/>
        <w:bidi w:val="0"/>
        <w:rPr/>
      </w:pPr>
      <w:r>
        <w:rPr/>
        <w:t>4.1    The Trust shall find £10,000 in each year of the Grant Period from sources other than the Grant, and shall spend it on the Purpose as the Schedule shows.</w:t>
      </w:r>
    </w:p>
    <w:p>
      <w:pPr>
        <w:pStyle w:val="BodyTextcl"/>
        <w:bidi w:val="0"/>
        <w:rPr/>
      </w:pPr>
      <w:r>
        <w:rPr/>
        <w:t>4.2    If the Trust expects to find less than that in any year, it shall tell the Foundation as soon as it knows, and the parties shall talk about what to do.</w:t>
      </w:r>
    </w:p>
    <w:p>
      <w:pPr>
        <w:pStyle w:val="BodyTexthd"/>
        <w:bidi w:val="0"/>
        <w:jc w:val="left"/>
        <w:rPr/>
      </w:pPr>
      <w:r>
        <w:rPr/>
        <w:t>5.    Money not spent on the Purpose</w:t>
      </w:r>
    </w:p>
    <w:p>
      <w:pPr>
        <w:pStyle w:val="BodyTextcl"/>
        <w:bidi w:val="0"/>
        <w:rPr/>
      </w:pPr>
      <w:r>
        <w:rPr/>
        <w:t>5.1    If any part of the Grant has not been spent on the Purpose when the Grant Period ends, or when this agreement ends sooner, or has been spent on something else, the Trust shall repay that part within 28 days of the Foundation asking for it in writing.</w:t>
      </w:r>
    </w:p>
    <w:p>
      <w:pPr>
        <w:pStyle w:val="BodyTexthd"/>
        <w:bidi w:val="0"/>
        <w:jc w:val="left"/>
        <w:rPr/>
      </w:pPr>
      <w:r>
        <w:rPr/>
        <w:t>6.    Reports and accounts</w:t>
      </w:r>
    </w:p>
    <w:p>
      <w:pPr>
        <w:pStyle w:val="BodyTextcl"/>
        <w:bidi w:val="0"/>
        <w:rPr/>
      </w:pPr>
      <w:r>
        <w:rPr/>
        <w:t>6.1    The Trust shall send the Foundation a progress report on 1 June and 1 December in each year of the Grant Period, starting on 1 June 2027. The first report covers 1 January to 31 May 2027, and each later report covers the time since the one before. Each report shall say what the evening programme has done, how many young people have taken part, and what has been spent against the budget in the Schedule.</w:t>
      </w:r>
    </w:p>
    <w:p>
      <w:pPr>
        <w:pStyle w:val="BodyTextcl"/>
        <w:bidi w:val="0"/>
        <w:rPr/>
      </w:pPr>
      <w:r>
        <w:rPr/>
        <w:t>6.2    The Trust shall send the Foundation a final report on the whole Grant within two months after the Grant Period ends.</w:t>
      </w:r>
    </w:p>
    <w:p>
      <w:pPr>
        <w:pStyle w:val="BodyTextcl"/>
        <w:bidi w:val="0"/>
        <w:rPr/>
      </w:pPr>
      <w:r>
        <w:rPr/>
        <w:t>6.3    The Trust shall send the Foundation a copy of its annual accounts for each of its financial years during the Grant Period, within six months after the year ends.</w:t>
      </w:r>
    </w:p>
    <w:p>
      <w:pPr>
        <w:pStyle w:val="BodyTextcl"/>
        <w:bidi w:val="0"/>
        <w:rPr/>
      </w:pPr>
      <w:r>
        <w:rPr/>
        <w:t>6.4    The Foundation may visit the Centre, on reasonable notice, to see the evening programme.</w:t>
      </w:r>
    </w:p>
    <w:p>
      <w:pPr>
        <w:pStyle w:val="BodyTexthd"/>
        <w:bidi w:val="0"/>
        <w:jc w:val="left"/>
        <w:rPr/>
      </w:pPr>
      <w:r>
        <w:rPr/>
        <w:t>7.    Publicity</w:t>
      </w:r>
    </w:p>
    <w:p>
      <w:pPr>
        <w:pStyle w:val="BodyTextcl"/>
        <w:bidi w:val="0"/>
        <w:rPr/>
      </w:pPr>
      <w:r>
        <w:rPr/>
        <w:t>7.1    The Trust shall say, in its publicity for the evening programme and in its annual report, that the Foundation supports it. The Foundation may say that it has given the Grant. Each shall use the other’s name and logo only as the other has agreed.</w:t>
      </w:r>
    </w:p>
    <w:p>
      <w:pPr>
        <w:pStyle w:val="BodyTexthd"/>
        <w:bidi w:val="0"/>
        <w:jc w:val="left"/>
        <w:rPr/>
      </w:pPr>
      <w:r>
        <w:rPr/>
        <w:t>8.    Ending the grant</w:t>
      </w:r>
    </w:p>
    <w:p>
      <w:pPr>
        <w:pStyle w:val="BodyTextcl"/>
        <w:bidi w:val="0"/>
        <w:rPr/>
      </w:pPr>
      <w:r>
        <w:rPr/>
        <w:t>8.1    The Foundation may end this agreement by written notice, and pay no further Instalment, if:</w:t>
      </w:r>
    </w:p>
    <w:p>
      <w:pPr>
        <w:pStyle w:val="BodyTextsub2"/>
        <w:bidi w:val="0"/>
        <w:rPr/>
      </w:pPr>
      <w:r>
        <w:rPr/>
        <w:t>(a)    the Trust has seriously broken this agreement and has not put the breach right within 28 days of being told of it in writing;</w:t>
      </w:r>
    </w:p>
    <w:p>
      <w:pPr>
        <w:pStyle w:val="BodyTextsub2"/>
        <w:bidi w:val="0"/>
        <w:rPr/>
      </w:pPr>
      <w:r>
        <w:rPr/>
        <w:t>(b)    the Trust has spent the Grant on something other than the Purpose, or has given the Foundation information that it knew was false; or</w:t>
      </w:r>
    </w:p>
    <w:p>
      <w:pPr>
        <w:pStyle w:val="BodyTextsub2"/>
        <w:bidi w:val="0"/>
        <w:rPr/>
      </w:pPr>
      <w:r>
        <w:rPr/>
        <w:t>(c)    the Trust has stopped running the Centre, or cannot pay its debts as they fall due.</w:t>
      </w:r>
    </w:p>
    <w:p>
      <w:pPr>
        <w:pStyle w:val="BodyTextcl"/>
        <w:bidi w:val="0"/>
        <w:rPr/>
      </w:pPr>
      <w:r>
        <w:rPr/>
        <w:t>8.2    The Trust may end this agreement by giving the Foundation three months’ written notice, and shall then repay any part of the Grant it has not spent, as clause 5 says.</w:t>
      </w:r>
    </w:p>
    <w:p>
      <w:pPr>
        <w:pStyle w:val="BodyTexthd"/>
        <w:bidi w:val="0"/>
        <w:jc w:val="left"/>
        <w:rPr/>
      </w:pPr>
      <w:r>
        <w:rPr/>
        <w:t>9.    General</w:t>
      </w:r>
    </w:p>
    <w:p>
      <w:pPr>
        <w:pStyle w:val="BodyTextcl"/>
        <w:bidi w:val="0"/>
        <w:rPr/>
      </w:pPr>
      <w:r>
        <w:rPr/>
        <w:t>9.1    The Trust runs the Centre on its own account. The Foundation is not responsible for the Centre, its staff or the young people who use it.</w:t>
      </w:r>
    </w:p>
    <w:p>
      <w:pPr>
        <w:pStyle w:val="BodyTextcl"/>
        <w:bidi w:val="0"/>
        <w:rPr/>
      </w:pPr>
      <w:r>
        <w:rPr/>
        <w:t>9.2    A notice under this agreement must be in writing and sent by post or email to the other party at the address at the head of this agreement, or to another address it has given in writing.</w:t>
      </w:r>
    </w:p>
    <w:p>
      <w:pPr>
        <w:pStyle w:val="BodyTextcl"/>
        <w:bidi w:val="0"/>
        <w:rPr/>
      </w:pPr>
      <w:r>
        <w:rPr/>
        <w:t>9.3    This agreement is the whole agreement between the parties about the Grant. A change to it must be in writing and signed for both of them.</w:t>
      </w:r>
    </w:p>
    <w:p>
      <w:pPr>
        <w:pStyle w:val="BodyTextcl"/>
        <w:bidi w:val="0"/>
        <w:rPr/>
      </w:pPr>
      <w:r>
        <w:rPr/>
        <w:t>9.4    This agreement, and any dispute arising from it, is governed by English law, and the courts of England have exclusive jurisdiction.</w:t>
      </w:r>
    </w:p>
    <w:p>
      <w:pPr>
        <w:pStyle w:val="BodyTexthdpb"/>
        <w:bidi w:val="0"/>
        <w:jc w:val="left"/>
        <w:rPr/>
      </w:pPr>
      <w:r>
        <w:rPr/>
        <w:t>The Schedule – The Purpose and the budget</w:t>
      </w:r>
    </w:p>
    <w:p>
      <w:pPr>
        <w:pStyle w:val="BodyTextcl"/>
        <w:bidi w:val="0"/>
        <w:ind w:hanging="0" w:left="0" w:right="0"/>
        <w:rPr/>
      </w:pPr>
      <w:r>
        <w:rPr/>
        <w:t>The Purpose is to run the Centre’s evening programme for young people throughout the Grant Period. In each year of the Grant Period the Trust shall spend the following on it:</w:t>
      </w:r>
    </w:p>
    <w:tbl>
      <w:tblPr>
        <w:tblW w:w="5000" w:type="pct"/>
        <w:jc w:val="left"/>
        <w:tblInd w:w="60" w:type="dxa"/>
        <w:tblLayout w:type="fixed"/>
        <w:tblCellMar>
          <w:top w:w="60" w:type="dxa"/>
          <w:left w:w="60" w:type="dxa"/>
          <w:bottom w:w="60" w:type="dxa"/>
          <w:right w:w="60" w:type="dxa"/>
        </w:tblCellMar>
      </w:tblPr>
      <w:tblGrid>
        <w:gridCol w:w="6589"/>
        <w:gridCol w:w="2822"/>
      </w:tblGrid>
      <w:tr>
        <w:trPr/>
        <w:tc>
          <w:tcPr>
            <w:tcW w:w="6589" w:type="dxa"/>
            <w:tcBorders>
              <w:top w:val="single" w:sz="6" w:space="0" w:color="999999"/>
              <w:left w:val="single" w:sz="6" w:space="0" w:color="999999"/>
              <w:bottom w:val="single" w:sz="2" w:space="0" w:color="999999"/>
              <w:right w:val="single" w:sz="6" w:space="0" w:color="999999"/>
            </w:tcBorders>
            <w:shd w:fill="E8E8E8" w:val="clear"/>
            <w:vAlign w:val="center"/>
          </w:tcPr>
          <w:p>
            <w:pPr>
              <w:pStyle w:val="BodyTextcell"/>
              <w:bidi w:val="0"/>
              <w:spacing w:before="40" w:after="40"/>
              <w:jc w:val="left"/>
              <w:rPr>
                <w:b/>
              </w:rPr>
            </w:pPr>
            <w:r>
              <w:rPr>
                <w:b/>
              </w:rPr>
              <w:t>Item</w:t>
            </w:r>
          </w:p>
        </w:tc>
        <w:tc>
          <w:tcPr>
            <w:tcW w:w="2822" w:type="dxa"/>
            <w:tcBorders>
              <w:top w:val="single" w:sz="6" w:space="0" w:color="999999"/>
              <w:left w:val="single" w:sz="2" w:space="0" w:color="999999"/>
              <w:bottom w:val="single" w:sz="2" w:space="0" w:color="999999"/>
              <w:right w:val="single" w:sz="6" w:space="0" w:color="999999"/>
            </w:tcBorders>
            <w:shd w:fill="E8E8E8" w:val="clear"/>
            <w:vAlign w:val="center"/>
          </w:tcPr>
          <w:p>
            <w:pPr>
              <w:pStyle w:val="BodyTextcell"/>
              <w:bidi w:val="0"/>
              <w:spacing w:before="40" w:after="40"/>
              <w:ind w:hanging="0" w:left="0" w:right="0"/>
              <w:jc w:val="right"/>
              <w:rPr>
                <w:b/>
              </w:rPr>
            </w:pPr>
            <w:r>
              <w:rPr>
                <w:b/>
              </w:rPr>
              <w:t>Each year</w:t>
            </w:r>
          </w:p>
        </w:tc>
      </w:tr>
      <w:tr>
        <w:trPr/>
        <w:tc>
          <w:tcPr>
            <w:tcW w:w="658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A youth worker, three days a week</w:t>
            </w:r>
          </w:p>
        </w:tc>
        <w:tc>
          <w:tcPr>
            <w:tcW w:w="2822"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£21,000</w:t>
            </w:r>
          </w:p>
        </w:tc>
      </w:tr>
      <w:tr>
        <w:trPr/>
        <w:tc>
          <w:tcPr>
            <w:tcW w:w="658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Sessional workers</w:t>
            </w:r>
          </w:p>
        </w:tc>
        <w:tc>
          <w:tcPr>
            <w:tcW w:w="2822"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£6,000</w:t>
            </w:r>
          </w:p>
        </w:tc>
      </w:tr>
      <w:tr>
        <w:trPr/>
        <w:tc>
          <w:tcPr>
            <w:tcW w:w="658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Activities and trips</w:t>
            </w:r>
          </w:p>
        </w:tc>
        <w:tc>
          <w:tcPr>
            <w:tcW w:w="2822"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£3,000</w:t>
            </w:r>
          </w:p>
        </w:tc>
      </w:tr>
      <w:tr>
        <w:trPr/>
        <w:tc>
          <w:tcPr>
            <w:tcW w:w="6589" w:type="dxa"/>
            <w:tcBorders>
              <w:left w:val="single" w:sz="6" w:space="0" w:color="999999"/>
              <w:bottom w:val="single" w:sz="2" w:space="0" w:color="999999"/>
              <w:right w:val="single" w:sz="6" w:space="0" w:color="999999"/>
            </w:tcBorders>
            <w:vAlign w:val="center"/>
          </w:tcPr>
          <w:p>
            <w:pPr>
              <w:pStyle w:val="BodyTextcell"/>
              <w:bidi w:val="0"/>
              <w:spacing w:before="40" w:after="40"/>
              <w:jc w:val="left"/>
              <w:rPr>
                <w:b/>
              </w:rPr>
            </w:pPr>
            <w:r>
              <w:rPr>
                <w:b/>
              </w:rPr>
              <w:t>Paid for by the Grant</w:t>
            </w:r>
          </w:p>
        </w:tc>
        <w:tc>
          <w:tcPr>
            <w:tcW w:w="2822"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b/>
              </w:rPr>
            </w:pPr>
            <w:r>
              <w:rPr>
                <w:b/>
              </w:rPr>
              <w:t>£30,000</w:t>
            </w:r>
          </w:p>
        </w:tc>
      </w:tr>
      <w:tr>
        <w:trPr/>
        <w:tc>
          <w:tcPr>
            <w:tcW w:w="658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Match funding from the Trust, for the Centre’s running costs on evening sessions</w:t>
            </w:r>
          </w:p>
        </w:tc>
        <w:tc>
          <w:tcPr>
            <w:tcW w:w="2822" w:type="dxa"/>
            <w:tcBorders>
              <w:left w:val="single" w:sz="2" w:space="0" w:color="999999"/>
              <w:bottom w:val="single" w:sz="2" w:space="0" w:color="999999"/>
              <w:right w:val="single" w:sz="6" w:space="0" w:color="999999"/>
            </w:tcBorders>
            <w:vAlign w:val="center"/>
          </w:tcPr>
          <w:p>
            <w:pPr>
              <w:pStyle w:val="BodyTextcell"/>
              <w:bidi w:val="0"/>
              <w:spacing w:before="40" w:after="40"/>
              <w:ind w:hanging="0" w:left="0" w:right="0"/>
              <w:jc w:val="right"/>
              <w:rPr/>
            </w:pPr>
            <w:r>
              <w:rPr/>
              <w:t>£10,000</w:t>
            </w:r>
          </w:p>
        </w:tc>
      </w:tr>
      <w:tr>
        <w:trPr/>
        <w:tc>
          <w:tcPr>
            <w:tcW w:w="6589" w:type="dxa"/>
            <w:tcBorders>
              <w:left w:val="single" w:sz="6" w:space="0" w:color="999999"/>
              <w:bottom w:val="single" w:sz="6" w:space="0" w:color="999999"/>
              <w:right w:val="single" w:sz="6" w:space="0" w:color="999999"/>
            </w:tcBorders>
            <w:vAlign w:val="center"/>
          </w:tcPr>
          <w:p>
            <w:pPr>
              <w:pStyle w:val="BodyTextcell"/>
              <w:bidi w:val="0"/>
              <w:spacing w:before="40" w:after="40"/>
              <w:jc w:val="left"/>
              <w:rPr>
                <w:b/>
              </w:rPr>
            </w:pPr>
            <w:r>
              <w:rPr>
                <w:b/>
              </w:rPr>
              <w:t>Total cost of the evening programme</w:t>
            </w:r>
          </w:p>
        </w:tc>
        <w:tc>
          <w:tcPr>
            <w:tcW w:w="2822" w:type="dxa"/>
            <w:tcBorders>
              <w:left w:val="single" w:sz="2" w:space="0" w:color="999999"/>
              <w:bottom w:val="single" w:sz="6" w:space="0" w:color="999999"/>
              <w:right w:val="single" w:sz="6" w:space="0" w:color="999999"/>
            </w:tcBorders>
            <w:vAlign w:val="center"/>
          </w:tcPr>
          <w:p>
            <w:pPr>
              <w:pStyle w:val="BodyTextcell"/>
              <w:bidi w:val="0"/>
              <w:spacing w:before="40" w:after="40"/>
              <w:ind w:hanging="0" w:left="0" w:right="0"/>
              <w:jc w:val="right"/>
              <w:rPr>
                <w:b/>
              </w:rPr>
            </w:pPr>
            <w:r>
              <w:rPr>
                <w:b/>
              </w:rPr>
              <w:t>£40,000</w:t>
            </w:r>
          </w:p>
        </w:tc>
      </w:tr>
    </w:tbl>
    <w:p>
      <w:pPr>
        <w:pStyle w:val="BodyTextga-head"/>
        <w:bidi w:val="0"/>
        <w:spacing w:before="280" w:after="100"/>
        <w:ind w:hanging="0" w:left="0" w:right="0"/>
        <w:jc w:val="left"/>
        <w:rPr/>
      </w:pPr>
      <w:r>
        <w:rPr/>
        <w:t>Signed</w:t>
      </w:r>
    </w:p>
    <w:p>
      <w:pPr>
        <w:pStyle w:val="BodyText"/>
        <w:bidi w:val="0"/>
        <w:jc w:val="left"/>
        <w:rPr/>
      </w:pPr>
      <w:r>
        <w:rPr/>
        <w:t>This agreement has been signed for the Foundation and for the Trust on the date written at the start of it.</w:t>
      </w:r>
    </w:p>
    <w:tbl>
      <w:tblPr>
        <w:tblW w:w="5000" w:type="pct"/>
        <w:jc w:val="left"/>
        <w:tblInd w:w="60" w:type="dxa"/>
        <w:tblLayout w:type="fixed"/>
        <w:tblCellMar>
          <w:top w:w="60" w:type="dxa"/>
          <w:left w:w="60" w:type="dxa"/>
          <w:bottom w:w="60" w:type="dxa"/>
          <w:right w:w="60" w:type="dxa"/>
        </w:tblCellMar>
      </w:tblPr>
      <w:tblGrid>
        <w:gridCol w:w="4705"/>
        <w:gridCol w:w="4706"/>
      </w:tblGrid>
      <w:tr>
        <w:trPr/>
        <w:tc>
          <w:tcPr>
            <w:tcW w:w="4705" w:type="dxa"/>
            <w:tcBorders/>
          </w:tcPr>
          <w:p>
            <w:pPr>
              <w:pStyle w:val="BodyTextsigblock"/>
              <w:bidi w:val="0"/>
              <w:spacing w:lineRule="auto" w:line="312" w:before="2" w:after="40"/>
              <w:jc w:val="left"/>
              <w:rPr/>
            </w:pPr>
            <w:r>
              <w:rPr/>
              <w:t>Signed for and on behalf of</w:t>
              <w:br/>
            </w:r>
            <w:r>
              <w:rPr>
                <w:b/>
              </w:rPr>
              <w:t>The Wexmoor Foundation</w:t>
            </w:r>
          </w:p>
          <w:p>
            <w:pPr>
              <w:pStyle w:val="BodyTextsigline"/>
              <w:bidi w:val="0"/>
              <w:spacing w:before="440" w:after="40"/>
              <w:jc w:val="left"/>
              <w:rPr/>
            </w:pPr>
            <w:r>
              <w:rPr/>
              <w:t>______________________________</w:t>
            </w:r>
          </w:p>
          <w:p>
            <w:pPr>
              <w:pStyle w:val="BodyTextsigblock"/>
              <w:bidi w:val="0"/>
              <w:spacing w:lineRule="auto" w:line="312" w:before="2" w:after="40"/>
              <w:jc w:val="left"/>
              <w:rPr/>
            </w:pPr>
            <w:r>
              <w:rPr/>
              <w:t>Joanna Treadwell, Grants Manager</w:t>
              <w:br/>
              <w:t>Date: ______________</w:t>
            </w:r>
          </w:p>
        </w:tc>
        <w:tc>
          <w:tcPr>
            <w:tcW w:w="4706" w:type="dxa"/>
            <w:tcBorders/>
          </w:tcPr>
          <w:p>
            <w:pPr>
              <w:pStyle w:val="BodyTextsigblock"/>
              <w:bidi w:val="0"/>
              <w:spacing w:lineRule="auto" w:line="312" w:before="2" w:after="40"/>
              <w:jc w:val="left"/>
              <w:rPr/>
            </w:pPr>
            <w:r>
              <w:rPr/>
              <w:t>Signed for and on behalf of</w:t>
              <w:br/>
            </w:r>
            <w:r>
              <w:rPr>
                <w:b/>
              </w:rPr>
              <w:t>Marsh Lane Community Trust</w:t>
            </w:r>
          </w:p>
          <w:p>
            <w:pPr>
              <w:pStyle w:val="BodyTextsigline"/>
              <w:bidi w:val="0"/>
              <w:spacing w:before="440" w:after="40"/>
              <w:jc w:val="left"/>
              <w:rPr/>
            </w:pPr>
            <w:r>
              <w:rPr/>
              <w:t>______________________________</w:t>
            </w:r>
          </w:p>
          <w:p>
            <w:pPr>
              <w:pStyle w:val="BodyTextsigblock"/>
              <w:bidi w:val="0"/>
              <w:spacing w:lineRule="auto" w:line="312" w:before="2" w:after="40"/>
              <w:jc w:val="left"/>
              <w:rPr/>
            </w:pPr>
            <w:r>
              <w:rPr/>
              <w:t>Bernadette Kaye, Chair of Trustees</w:t>
              <w:br/>
              <w:t>Date: ______________</w:t>
            </w:r>
          </w:p>
        </w:tc>
      </w:tr>
    </w:tbl>
    <w:p>
      <w:pPr>
        <w:pStyle w:val="BodyText"/>
        <w:bidi w:val="0"/>
        <w:spacing w:before="0" w:after="100"/>
        <w:jc w:val="left"/>
        <w:rPr/>
      </w:pPr>
      <w:r>
        <w:rPr/>
      </w:r>
    </w:p>
    <w:sectPr>
      <w:footerReference w:type="default" r:id="rId2"/>
      <w:type w:val="nextPage"/>
      <w:pgSz w:w="11906" w:h="16838"/>
      <w:pgMar w:left="1247" w:right="1247" w:gutter="0" w:header="0" w:top="964" w:footer="964" w:bottom="121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ga-foot"/>
      <w:pBdr>
        <w:top w:val="single" w:sz="4" w:space="3" w:color="999999"/>
      </w:pBdr>
      <w:bidi w:val="0"/>
      <w:spacing w:before="2" w:after="2"/>
      <w:jc w:val="center"/>
      <w:rPr/>
    </w:pPr>
    <w:r>
      <w:rPr/>
      <w:t xml:space="preserve">Grant agreement – Wexmoor Foundation and Marsh Lane Community Trust – Draft for the Trust’s comments – 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 ARABIC </w:instrText>
    </w:r>
    <w:r>
      <w:rPr/>
      <w:fldChar w:fldCharType="separate"/>
    </w:r>
    <w:r>
      <w:rPr/>
      <w:t>3</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Arial" w:hAnsi="Arial" w:eastAsia="Arial" w:cs="Arial"/>
      <w:color w:val="000000"/>
      <w:sz w:val="20"/>
      <w:szCs w:val="20"/>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83" w:before="0" w:after="10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ga-foot">
    <w:name w:val="Body Text.ga-foot"/>
    <w:basedOn w:val="BodyText"/>
    <w:qFormat/>
    <w:pPr>
      <w:pBdr>
        <w:top w:val="single" w:sz="4" w:space="3" w:color="999999"/>
      </w:pBdr>
      <w:spacing w:before="2" w:after="2"/>
      <w:jc w:val="center"/>
    </w:pPr>
    <w:rPr>
      <w:rFonts w:ascii="Arial" w:hAnsi="Arial" w:eastAsia="Arial" w:cs="Arial"/>
      <w:color w:val="444444"/>
      <w:sz w:val="15"/>
      <w:szCs w:val="15"/>
    </w:rPr>
  </w:style>
  <w:style w:type="paragraph" w:styleId="BodyTextga-mark">
    <w:name w:val="Body Text.ga-mark"/>
    <w:basedOn w:val="BodyText"/>
    <w:qFormat/>
    <w:pPr>
      <w:spacing w:before="2" w:after="120"/>
      <w:jc w:val="right"/>
    </w:pPr>
    <w:rPr>
      <w:rFonts w:ascii="Arial" w:hAnsi="Arial" w:eastAsia="Arial" w:cs="Arial"/>
      <w:b/>
      <w:bCs/>
      <w:color w:val="7A1A1A"/>
      <w:sz w:val="18"/>
      <w:szCs w:val="18"/>
    </w:rPr>
  </w:style>
  <w:style w:type="paragraph" w:styleId="BodyTextga-title">
    <w:name w:val="Body Text.ga-title"/>
    <w:basedOn w:val="BodyText"/>
    <w:qFormat/>
    <w:pPr>
      <w:spacing w:before="160" w:after="80"/>
      <w:jc w:val="center"/>
    </w:pPr>
    <w:rPr>
      <w:rFonts w:ascii="Arial" w:hAnsi="Arial" w:eastAsia="Arial" w:cs="Arial"/>
      <w:b/>
      <w:bCs/>
      <w:sz w:val="40"/>
      <w:szCs w:val="40"/>
    </w:rPr>
  </w:style>
  <w:style w:type="paragraph" w:styleId="BodyTextga-sub">
    <w:name w:val="Body Text.ga-sub"/>
    <w:basedOn w:val="BodyText"/>
    <w:qFormat/>
    <w:pPr>
      <w:spacing w:before="2" w:after="80"/>
      <w:jc w:val="center"/>
    </w:pPr>
    <w:rPr>
      <w:rFonts w:ascii="Arial" w:hAnsi="Arial" w:eastAsia="Arial" w:cs="Arial"/>
      <w:sz w:val="22"/>
      <w:szCs w:val="22"/>
    </w:rPr>
  </w:style>
  <w:style w:type="paragraph" w:styleId="BodyTextga-date">
    <w:name w:val="Body Text.ga-date"/>
    <w:basedOn w:val="BodyText"/>
    <w:qFormat/>
    <w:pPr>
      <w:spacing w:before="2" w:after="240"/>
      <w:jc w:val="center"/>
    </w:pPr>
    <w:rPr>
      <w:rFonts w:ascii="Arial" w:hAnsi="Arial" w:eastAsia="Arial" w:cs="Arial"/>
      <w:sz w:val="22"/>
      <w:szCs w:val="22"/>
    </w:rPr>
  </w:style>
  <w:style w:type="paragraph" w:styleId="BodyTextga-head">
    <w:name w:val="Body Text.ga-head"/>
    <w:basedOn w:val="BodyText"/>
    <w:qFormat/>
    <w:pPr>
      <w:spacing w:before="200" w:after="60"/>
    </w:pPr>
    <w:rPr>
      <w:rFonts w:ascii="Arial" w:hAnsi="Arial" w:eastAsia="Arial" w:cs="Arial"/>
      <w:b/>
      <w:bCs/>
      <w:sz w:val="21"/>
      <w:szCs w:val="21"/>
    </w:rPr>
  </w:style>
  <w:style w:type="paragraph" w:styleId="BodyTextparty">
    <w:name w:val="Body Text.party"/>
    <w:basedOn w:val="BodyText"/>
    <w:qFormat/>
    <w:pPr>
      <w:ind w:hanging="567" w:left="567"/>
      <w:jc w:val="both"/>
    </w:pPr>
    <w:rPr/>
  </w:style>
  <w:style w:type="paragraph" w:styleId="BodyTexthd">
    <w:name w:val="Body Text.hd"/>
    <w:basedOn w:val="BodyText"/>
    <w:qFormat/>
    <w:pPr>
      <w:keepNext w:val="true"/>
      <w:spacing w:before="180" w:after="60"/>
      <w:ind w:hanging="624" w:left="624"/>
    </w:pPr>
    <w:rPr>
      <w:b/>
      <w:bCs/>
      <w:sz w:val="21"/>
      <w:szCs w:val="21"/>
    </w:rPr>
  </w:style>
  <w:style w:type="paragraph" w:styleId="BodyTextcl">
    <w:name w:val="Body Text.cl"/>
    <w:basedOn w:val="BodyText"/>
    <w:qFormat/>
    <w:pPr>
      <w:ind w:hanging="624" w:left="624"/>
      <w:jc w:val="both"/>
    </w:pPr>
    <w:rPr/>
  </w:style>
  <w:style w:type="paragraph" w:styleId="BodyTextsub2">
    <w:name w:val="Body Text.sub2"/>
    <w:basedOn w:val="BodyText"/>
    <w:qFormat/>
    <w:pPr>
      <w:ind w:hanging="454" w:left="1077"/>
      <w:jc w:val="both"/>
    </w:pPr>
    <w:rPr/>
  </w:style>
  <w:style w:type="paragraph" w:styleId="BodyTexthdpb">
    <w:name w:val="Body Text.hdpb"/>
    <w:basedOn w:val="BodyText"/>
    <w:qFormat/>
    <w:pPr>
      <w:pageBreakBefore/>
      <w:spacing w:before="2" w:after="60"/>
    </w:pPr>
    <w:rPr>
      <w:b/>
      <w:bCs/>
      <w:sz w:val="21"/>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cell">
    <w:name w:val="Body Text.cell"/>
    <w:basedOn w:val="TableContents"/>
    <w:qFormat/>
    <w:pPr>
      <w:spacing w:lineRule="auto" w:line="276" w:before="40" w:after="40"/>
    </w:pPr>
    <w:rPr>
      <w:sz w:val="19"/>
      <w:szCs w:val="19"/>
    </w:rPr>
  </w:style>
  <w:style w:type="paragraph" w:styleId="BodyTextsigblock">
    <w:name w:val="Body Text.sigblock"/>
    <w:basedOn w:val="TableContents"/>
    <w:qFormat/>
    <w:pPr>
      <w:spacing w:lineRule="auto" w:line="312" w:before="2" w:after="40"/>
    </w:pPr>
    <w:rPr/>
  </w:style>
  <w:style w:type="paragraph" w:styleId="BodyTextsigline">
    <w:name w:val="Body Text.sigline"/>
    <w:basedOn w:val="TableContents"/>
    <w:qFormat/>
    <w:pPr>
      <w:spacing w:before="440" w:after="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2026-09-22T10:30:00Z</dcterms:created>
  <dc:creator>Chris Doyle</dc:creator>
  <dc:description/>
  <cp:keywords>grant agreement Wexmoor Foundation Marsh Lane Community Trust</cp:keywords>
  <dc:language>en-US</dc:language>
  <cp:lastModifiedBy>Chris Doyle</cp:lastModifiedBy>
  <dcterms:modified xsi:type="dcterms:W3CDTF">2026-09-24T10:45:00Z</dcterms:modified>
  <cp:revision>0</cp:revision>
  <dc:subject/>
  <dc:title>Grant Agreement – Draft</dc:title>
</cp:coreProperties>
</file>

<file path=docProps/custom.xml><?xml version="1.0" encoding="utf-8"?>
<Properties xmlns="http://schemas.openxmlformats.org/officeDocument/2006/custom-properties" xmlns:vt="http://schemas.openxmlformats.org/officeDocument/2006/docPropsVTypes"/>
</file>