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cp-title"/>
        <w:bidi w:val="0"/>
        <w:spacing w:before="120" w:after="80"/>
        <w:rPr/>
      </w:pPr>
      <w:r>
        <w:rPr/>
        <w:t>VOYAGE CHARTERPARTY</w:t>
      </w:r>
    </w:p>
    <w:p>
      <w:pPr>
        <w:pStyle w:val="BodyTextcp-date"/>
        <w:bidi w:val="0"/>
        <w:rPr/>
      </w:pPr>
      <w:r>
        <w:rPr/>
        <w:t>MV Northern Star – Eastwick to Hartmouth</w:t>
        <w:br/>
        <w:t>Dated 12 March 2026</w:t>
      </w:r>
    </w:p>
    <w:p>
      <w:pPr>
        <w:pStyle w:val="BodyTextcp-head"/>
        <w:bidi w:val="0"/>
        <w:jc w:val="left"/>
        <w:rPr/>
      </w:pPr>
      <w:r>
        <w:rPr/>
        <w:t>Parties</w:t>
      </w:r>
    </w:p>
    <w:p>
      <w:pPr>
        <w:pStyle w:val="BodyTextclause"/>
        <w:bidi w:val="0"/>
        <w:jc w:val="left"/>
        <w:rPr/>
      </w:pPr>
      <w:r>
        <w:rPr/>
        <w:t>(1)   </w:t>
      </w:r>
      <w:r>
        <w:rPr>
          <w:b/>
        </w:rPr>
        <w:t>Kingsholm Tonnage Ltd</w:t>
      </w:r>
      <w:r>
        <w:rPr/>
        <w:t xml:space="preserve">, whose registered office is at Kingsholm House, 31 Fenner Street, Eastwick EW4 8HP (company number to be inserted) (the </w:t>
      </w:r>
      <w:r>
        <w:rPr>
          <w:b/>
        </w:rPr>
        <w:t>Owners</w:t>
      </w:r>
      <w:r>
        <w:rPr/>
        <w:t>); and</w:t>
      </w:r>
    </w:p>
    <w:p>
      <w:pPr>
        <w:pStyle w:val="BodyTextclause"/>
        <w:bidi w:val="0"/>
        <w:jc w:val="left"/>
        <w:rPr/>
      </w:pPr>
      <w:r>
        <w:rPr/>
        <w:t>(2)   </w:t>
      </w:r>
      <w:r>
        <w:rPr>
          <w:b/>
        </w:rPr>
        <w:t>Saltmarsh Shipping Ltd</w:t>
      </w:r>
      <w:r>
        <w:rPr/>
        <w:t xml:space="preserve">, whose registered office is at Saltmarsh House, 2 Wharf Road, Eastwick EW1 3SB (company number to be inserted) (the </w:t>
      </w:r>
      <w:r>
        <w:rPr>
          <w:b/>
        </w:rPr>
        <w:t>Charterers</w:t>
      </w:r>
      <w:r>
        <w:rPr/>
        <w:t>).</w:t>
      </w:r>
    </w:p>
    <w:p>
      <w:pPr>
        <w:pStyle w:val="BodyTextcp-head"/>
        <w:bidi w:val="0"/>
        <w:jc w:val="left"/>
        <w:rPr/>
      </w:pPr>
      <w:r>
        <w:rPr/>
        <w:t>Terms</w:t>
      </w:r>
    </w:p>
    <w:p>
      <w:pPr>
        <w:pStyle w:val="BodyTextclause"/>
        <w:bidi w:val="0"/>
        <w:jc w:val="left"/>
        <w:rPr/>
      </w:pPr>
      <w:r>
        <w:rPr>
          <w:b/>
        </w:rPr>
        <w:t>1.   The Vessel.</w:t>
      </w:r>
      <w:r>
        <w:rPr/>
        <w:t xml:space="preserve"> The Owners let, and the Charterers take, the MV Northern Star, a general cargo vessel of about 6,400 tonnes deadweight (the </w:t>
      </w:r>
      <w:r>
        <w:rPr>
          <w:b/>
        </w:rPr>
        <w:t>Vessel</w:t>
      </w:r>
      <w:r>
        <w:rPr/>
        <w:t>), for one voyage on these terms. The Owners confirm that she is in class, tight, staunch and fit to carry the Cargo.</w:t>
      </w:r>
    </w:p>
    <w:p>
      <w:pPr>
        <w:pStyle w:val="BodyTextclause"/>
        <w:bidi w:val="0"/>
        <w:jc w:val="left"/>
        <w:rPr/>
      </w:pPr>
      <w:r>
        <w:rPr>
          <w:b/>
        </w:rPr>
        <w:t>2.   The voyage.</w:t>
      </w:r>
      <w:r>
        <w:rPr/>
        <w:t xml:space="preserve"> The Vessel will sail from Eastwick to one safe berth at Hartmouth and will not call anywhere else except as clause 14 allows.</w:t>
      </w:r>
    </w:p>
    <w:p>
      <w:pPr>
        <w:pStyle w:val="BodyTextclause"/>
        <w:bidi w:val="0"/>
        <w:jc w:val="left"/>
        <w:rPr/>
      </w:pPr>
      <w:r>
        <w:rPr>
          <w:b/>
        </w:rPr>
        <w:t>3.   The Cargo.</w:t>
      </w:r>
      <w:r>
        <w:rPr/>
        <w:t xml:space="preserve"> The Charterers will supply, and the Vessel will carry, 5,200 tonnes of packaged sawn timber (the </w:t>
      </w:r>
      <w:r>
        <w:rPr>
          <w:b/>
        </w:rPr>
        <w:t>Cargo</w:t>
      </w:r>
      <w:r>
        <w:rPr/>
        <w:t>), loaded in one parcel.</w:t>
      </w:r>
    </w:p>
    <w:p>
      <w:pPr>
        <w:pStyle w:val="BodyTextclause"/>
        <w:bidi w:val="0"/>
        <w:jc w:val="left"/>
        <w:rPr/>
      </w:pPr>
      <w:r>
        <w:rPr>
          <w:b/>
        </w:rPr>
        <w:t>4.   Freight.</w:t>
      </w:r>
      <w:r>
        <w:rPr/>
        <w:t xml:space="preserve"> The Charterers will pay freight of USD 28.75 for each tonne of Cargo loaded, which on 5,200 tonnes is USD 149,500.00. Freight is earned when loading is completed and is payable within five banking days after that, in full and without deduction, to the account the Owners name in writing.</w:t>
      </w:r>
    </w:p>
    <w:p>
      <w:pPr>
        <w:pStyle w:val="BodyTextclause"/>
        <w:bidi w:val="0"/>
        <w:jc w:val="left"/>
        <w:rPr/>
      </w:pPr>
      <w:r>
        <w:rPr>
          <w:b/>
        </w:rPr>
        <w:t>5.   Loading.</w:t>
      </w:r>
      <w:r>
        <w:rPr/>
        <w:t xml:space="preserve"> The Charterers will load, stow and secure the Cargo at Eastwick at their own cost and risk, in the way the master reasonably directs. The Vessel will be ready to load when she arrives.</w:t>
      </w:r>
    </w:p>
    <w:p>
      <w:pPr>
        <w:pStyle w:val="BodyTextclause"/>
        <w:bidi w:val="0"/>
        <w:jc w:val="left"/>
        <w:rPr/>
      </w:pPr>
      <w:r>
        <w:rPr>
          <w:b/>
        </w:rPr>
        <w:t>6.   The berth at Hartmouth.</w:t>
      </w:r>
      <w:r>
        <w:rPr/>
        <w:t xml:space="preserve"> The Charterers will name one safe berth at Hartmouth, where the Vessel can lie safely afloat, and will tell the master which berth it is before she arrives. The Charterers are responsible for the berth being safe.</w:t>
      </w:r>
    </w:p>
    <w:p>
      <w:pPr>
        <w:pStyle w:val="BodyTextclause"/>
        <w:bidi w:val="0"/>
        <w:jc w:val="left"/>
        <w:rPr/>
      </w:pPr>
      <w:r>
        <w:rPr>
          <w:b/>
        </w:rPr>
        <w:t>7.   Notice of readiness.</w:t>
      </w:r>
      <w:r>
        <w:rPr/>
        <w:t xml:space="preserve"> When the Vessel has arrived at Hartmouth and is ready in every way to discharge, the master will give the Charterers or their agents written notice of readiness. The notice may be given by email at any hour of the day or night and takes effect when it is sent.</w:t>
      </w:r>
    </w:p>
    <w:p>
      <w:pPr>
        <w:pStyle w:val="BodyTextclause"/>
        <w:bidi w:val="0"/>
        <w:jc w:val="left"/>
        <w:rPr/>
      </w:pPr>
      <w:r>
        <w:rPr>
          <w:b/>
        </w:rPr>
        <w:t>8.   Discharge.</w:t>
      </w:r>
      <w:r>
        <w:rPr/>
        <w:t xml:space="preserve"> The Charterers will discharge the Cargo at their own cost and risk, as quickly as the berth and the weather allow, and will work day and night if the port permits. The master and crew will help with hatches and lashings as the Charterers reasonably ask.</w:t>
      </w:r>
    </w:p>
    <w:p>
      <w:pPr>
        <w:pStyle w:val="BodyTextclause"/>
        <w:bidi w:val="0"/>
        <w:jc w:val="left"/>
        <w:rPr>
          <w:b/>
        </w:rPr>
      </w:pPr>
      <w:r>
        <w:rPr>
          <w:b/>
        </w:rPr>
        <w:t>9.   Laytime.</w:t>
      </w:r>
    </w:p>
    <w:p>
      <w:pPr>
        <w:pStyle w:val="BodyTextclause2"/>
        <w:bidi w:val="0"/>
        <w:jc w:val="left"/>
        <w:rPr/>
      </w:pPr>
      <w:r>
        <w:rPr/>
        <w:t>9.1   The Charterers have six weather working days to discharge the Cargo (</w:t>
      </w:r>
      <w:r>
        <w:rPr>
          <w:b/>
        </w:rPr>
        <w:t>laytime</w:t>
      </w:r>
      <w:r>
        <w:rPr/>
        <w:t>), counted in days and parts of a day, a day being 24 consecutive hours.</w:t>
      </w:r>
    </w:p>
    <w:p>
      <w:pPr>
        <w:pStyle w:val="BodyTextclause2"/>
        <w:bidi w:val="0"/>
        <w:jc w:val="left"/>
        <w:rPr/>
      </w:pPr>
      <w:r>
        <w:rPr/>
        <w:t>9.2   Laytime starts at 08:00 on the working day after the master gives notice of readiness under clause 7.</w:t>
      </w:r>
    </w:p>
    <w:p>
      <w:pPr>
        <w:pStyle w:val="BodyTextclause2"/>
        <w:bidi w:val="0"/>
        <w:jc w:val="left"/>
        <w:rPr/>
      </w:pPr>
      <w:r>
        <w:rPr/>
        <w:t>9.3   Sundays and holidays at Hartmouth do not count as laytime unless the Charterers use them to discharge, and then only the time actually used counts.</w:t>
      </w:r>
    </w:p>
    <w:p>
      <w:pPr>
        <w:pStyle w:val="BodyTextclause2"/>
        <w:bidi w:val="0"/>
        <w:jc w:val="left"/>
        <w:rPr/>
      </w:pPr>
      <w:r>
        <w:rPr/>
        <w:t>9.4   No time counts as laytime while weather stops discharge, for as long as it does so.</w:t>
      </w:r>
    </w:p>
    <w:p>
      <w:pPr>
        <w:pStyle w:val="BodyTextclause2"/>
        <w:bidi w:val="0"/>
        <w:jc w:val="left"/>
        <w:rPr/>
      </w:pPr>
      <w:r>
        <w:rPr/>
        <w:t>9.5   Laytime ends when discharge is complete, or when it runs out, whichever comes first.</w:t>
      </w:r>
    </w:p>
    <w:p>
      <w:pPr>
        <w:pStyle w:val="BodyTextclause"/>
        <w:bidi w:val="0"/>
        <w:jc w:val="left"/>
        <w:rPr>
          <w:b/>
        </w:rPr>
      </w:pPr>
      <w:r>
        <w:rPr>
          <w:b/>
        </w:rPr>
        <w:t>10.   Demurrage.</w:t>
      </w:r>
    </w:p>
    <w:p>
      <w:pPr>
        <w:pStyle w:val="BodyTextclause2"/>
        <w:bidi w:val="0"/>
        <w:jc w:val="left"/>
        <w:rPr/>
      </w:pPr>
      <w:r>
        <w:rPr/>
        <w:t>10.1   If discharge is not complete when laytime runs out, the Charterers will pay the Owners demurrage of USD 18,000.00 for each day, and pro rata for part of a day, from the end of laytime until discharge is complete.</w:t>
      </w:r>
    </w:p>
    <w:p>
      <w:pPr>
        <w:pStyle w:val="BodyTextclause2"/>
        <w:bidi w:val="0"/>
        <w:jc w:val="left"/>
        <w:rPr/>
      </w:pPr>
      <w:r>
        <w:rPr/>
        <w:t>10.2   Once the Vessel is on demurrage every hour counts, including Sundays, holidays and time lost to weather.</w:t>
      </w:r>
    </w:p>
    <w:p>
      <w:pPr>
        <w:pStyle w:val="BodyTextclause2"/>
        <w:bidi w:val="0"/>
        <w:jc w:val="left"/>
        <w:rPr/>
      </w:pPr>
      <w:r>
        <w:rPr/>
        <w:t>10.3   The Owners will send the Charterers an invoice with a laytime statement and the documents that support it. The Charterers will pay within 30 days of receiving the invoice.</w:t>
      </w:r>
    </w:p>
    <w:p>
      <w:pPr>
        <w:pStyle w:val="BodyTextclause"/>
        <w:bidi w:val="0"/>
        <w:jc w:val="left"/>
        <w:rPr/>
      </w:pPr>
      <w:r>
        <w:rPr>
          <w:b/>
        </w:rPr>
        <w:t>11.   Statement of facts.</w:t>
      </w:r>
      <w:r>
        <w:rPr/>
        <w:t xml:space="preserve"> Within three working days after discharge, the master and the Charterers’ agent at Hartmouth will sign a statement of facts that records the times of arrival, notice of readiness, the start and end of discharge, and every stoppage with its cause.</w:t>
      </w:r>
    </w:p>
    <w:p>
      <w:pPr>
        <w:pStyle w:val="BodyTextclause"/>
        <w:bidi w:val="0"/>
        <w:jc w:val="left"/>
        <w:rPr/>
      </w:pPr>
      <w:r>
        <w:rPr>
          <w:b/>
        </w:rPr>
        <w:t>12.   Lien.</w:t>
      </w:r>
      <w:r>
        <w:rPr/>
        <w:t xml:space="preserve"> The Owners may keep the Cargo until freight and demurrage that are due have been paid.</w:t>
      </w:r>
    </w:p>
    <w:p>
      <w:pPr>
        <w:pStyle w:val="BodyTextclause"/>
        <w:bidi w:val="0"/>
        <w:jc w:val="left"/>
        <w:rPr/>
      </w:pPr>
      <w:r>
        <w:rPr>
          <w:b/>
        </w:rPr>
        <w:t>13.   The Owners’ duties.</w:t>
      </w:r>
      <w:r>
        <w:rPr/>
        <w:t xml:space="preserve"> The Owners will make sure the Vessel is seaworthy, properly manned and equipped and in class throughout the voyage. The Owners are responsible for the crew, the Vessel’s fuel and stores, and the insurance of the Vessel.</w:t>
      </w:r>
    </w:p>
    <w:p>
      <w:pPr>
        <w:pStyle w:val="BodyTextclause"/>
        <w:bidi w:val="0"/>
        <w:jc w:val="left"/>
        <w:rPr/>
      </w:pPr>
      <w:r>
        <w:rPr>
          <w:b/>
        </w:rPr>
        <w:t>14.   Deviation.</w:t>
      </w:r>
      <w:r>
        <w:rPr/>
        <w:t xml:space="preserve"> The Vessel may call at another port to save life, to avoid danger or to take on fuel. A reasonable deviation of that kind is not a breach of this charterparty.</w:t>
      </w:r>
    </w:p>
    <w:p>
      <w:pPr>
        <w:pStyle w:val="BodyTextclause"/>
        <w:bidi w:val="0"/>
        <w:jc w:val="left"/>
        <w:rPr/>
      </w:pPr>
      <w:r>
        <w:rPr>
          <w:b/>
        </w:rPr>
        <w:t>15.   Bills of lading.</w:t>
      </w:r>
      <w:r>
        <w:rPr/>
        <w:t xml:space="preserve"> The master will sign the bills of lading the Charterers present, if they match the mate’s receipts. If a bill of lading differs from this charterparty, this charterparty prevails between the Owners and the Charterers.</w:t>
      </w:r>
    </w:p>
    <w:p>
      <w:pPr>
        <w:pStyle w:val="BodyTextclause"/>
        <w:bidi w:val="0"/>
        <w:jc w:val="left"/>
        <w:rPr/>
      </w:pPr>
      <w:r>
        <w:rPr>
          <w:b/>
        </w:rPr>
        <w:t>16.   Cargo claims.</w:t>
      </w:r>
      <w:r>
        <w:rPr/>
        <w:t xml:space="preserve"> Each party is responsible for loss of or damage to the Cargo that it causes. The Owners are not liable for damage caused by the way the Charterers stowed or secured the Cargo, and the Charterers are not liable for damage caused by the Vessel’s unseaworthiness.</w:t>
      </w:r>
    </w:p>
    <w:p>
      <w:pPr>
        <w:pStyle w:val="BodyTextclause"/>
        <w:bidi w:val="0"/>
        <w:jc w:val="left"/>
        <w:rPr/>
      </w:pPr>
      <w:r>
        <w:rPr>
          <w:b/>
        </w:rPr>
        <w:t>17.   Agents.</w:t>
      </w:r>
      <w:r>
        <w:rPr/>
        <w:t xml:space="preserve"> The Charterers will appoint the Vessel’s agents at both ports, at their own cost. The Owners may appoint a protecting agent at their own cost.</w:t>
      </w:r>
    </w:p>
    <w:p>
      <w:pPr>
        <w:pStyle w:val="BodyTextclause"/>
        <w:bidi w:val="0"/>
        <w:jc w:val="left"/>
        <w:rPr/>
      </w:pPr>
      <w:r>
        <w:rPr>
          <w:b/>
        </w:rPr>
        <w:t>18.   Charges and taxes.</w:t>
      </w:r>
      <w:r>
        <w:rPr/>
        <w:t xml:space="preserve"> The Owners pay the Vessel’s port dues, pilotage and towage. The Charterers pay the stevedores, the berth charges and every charge or tax on the Cargo.</w:t>
      </w:r>
    </w:p>
    <w:p>
      <w:pPr>
        <w:pStyle w:val="BodyTextclause"/>
        <w:bidi w:val="0"/>
        <w:jc w:val="left"/>
        <w:rPr/>
      </w:pPr>
      <w:r>
        <w:rPr>
          <w:b/>
        </w:rPr>
        <w:t>19.   Sanctions and the law.</w:t>
      </w:r>
      <w:r>
        <w:rPr/>
        <w:t xml:space="preserve"> Neither party has to do anything that a law or sanction binding on it forbids. If that makes the voyage impossible, either party may end this charterparty by written notice, and freight earned by then stays payable.</w:t>
      </w:r>
    </w:p>
    <w:p>
      <w:pPr>
        <w:pStyle w:val="BodyTextclause"/>
        <w:bidi w:val="0"/>
        <w:jc w:val="left"/>
        <w:rPr/>
      </w:pPr>
      <w:r>
        <w:rPr>
          <w:b/>
        </w:rPr>
        <w:t>20.   Insurance.</w:t>
      </w:r>
      <w:r>
        <w:rPr/>
        <w:t xml:space="preserve"> The Owners will keep the Vessel insured for hull and machinery and for liability to others with an insurer of good standing. The Charterers will insure the Cargo.</w:t>
      </w:r>
    </w:p>
    <w:p>
      <w:pPr>
        <w:pStyle w:val="BodyTextclause"/>
        <w:bidi w:val="0"/>
        <w:jc w:val="left"/>
        <w:rPr/>
      </w:pPr>
      <w:r>
        <w:rPr>
          <w:b/>
        </w:rPr>
        <w:t>21.   Notices.</w:t>
      </w:r>
      <w:r>
        <w:rPr/>
        <w:t xml:space="preserve"> A notice under this charterparty must be in writing and sent by email to the address each party gives the other. Apart from a notice of readiness, a notice sent after 17:00 or on a day that is not a working day takes effect on the next working day.</w:t>
      </w:r>
    </w:p>
    <w:p>
      <w:pPr>
        <w:pStyle w:val="BodyTextclause"/>
        <w:bidi w:val="0"/>
        <w:jc w:val="left"/>
        <w:rPr/>
      </w:pPr>
      <w:r>
        <w:rPr>
          <w:b/>
        </w:rPr>
        <w:t>22.   Transfer of rights.</w:t>
      </w:r>
      <w:r>
        <w:rPr/>
        <w:t xml:space="preserve"> Neither party may transfer its rights under this charterparty to anyone else without the other’s written consent.</w:t>
      </w:r>
    </w:p>
    <w:p>
      <w:pPr>
        <w:pStyle w:val="BodyTextclause"/>
        <w:bidi w:val="0"/>
        <w:jc w:val="left"/>
        <w:rPr/>
      </w:pPr>
      <w:r>
        <w:rPr>
          <w:b/>
        </w:rPr>
        <w:t>23.   The whole agreement.</w:t>
      </w:r>
      <w:r>
        <w:rPr/>
        <w:t xml:space="preserve"> This charterparty is the whole agreement between the Owners and the Charterers about the voyage. A change to it must be in writing and signed by both of them.</w:t>
      </w:r>
    </w:p>
    <w:p>
      <w:pPr>
        <w:pStyle w:val="BodyTextclause"/>
        <w:bidi w:val="0"/>
        <w:jc w:val="left"/>
        <w:rPr/>
      </w:pPr>
      <w:r>
        <w:rPr>
          <w:b/>
        </w:rPr>
        <w:t>24.   Law and disputes.</w:t>
      </w:r>
      <w:r>
        <w:rPr/>
        <w:t xml:space="preserve"> English law governs this charterparty and any dispute about it. A dispute will be referred to arbitration in London only if both the Owners and the Charterers agree in writing; neither is obliged to agree. If they do not, the courts of England will decide it.</w:t>
      </w:r>
    </w:p>
    <w:p>
      <w:pPr>
        <w:pStyle w:val="BodyTextcp-head"/>
        <w:bidi w:val="0"/>
        <w:spacing w:before="280" w:after="140"/>
        <w:ind w:hanging="0" w:left="0" w:right="0"/>
        <w:jc w:val="left"/>
        <w:rPr/>
      </w:pPr>
      <w:r>
        <w:rPr/>
        <w:t>Signed</w:t>
      </w:r>
    </w:p>
    <w:tbl>
      <w:tblPr>
        <w:tblW w:w="5000" w:type="pct"/>
        <w:jc w:val="left"/>
        <w:tblInd w:w="60" w:type="dxa"/>
        <w:tblLayout w:type="fixed"/>
        <w:tblCellMar>
          <w:top w:w="60" w:type="dxa"/>
          <w:left w:w="60" w:type="dxa"/>
          <w:bottom w:w="60" w:type="dxa"/>
          <w:right w:w="60" w:type="dxa"/>
        </w:tblCellMar>
      </w:tblPr>
      <w:tblGrid>
        <w:gridCol w:w="4705"/>
        <w:gridCol w:w="4706"/>
      </w:tblGrid>
      <w:tr>
        <w:trPr/>
        <w:tc>
          <w:tcPr>
            <w:tcW w:w="4705" w:type="dxa"/>
            <w:tcBorders/>
          </w:tcPr>
          <w:p>
            <w:pPr>
              <w:pStyle w:val="BodyTextsigblock"/>
              <w:bidi w:val="0"/>
              <w:spacing w:lineRule="auto" w:line="312" w:before="2" w:after="40"/>
              <w:jc w:val="left"/>
              <w:rPr/>
            </w:pPr>
            <w:r>
              <w:rPr/>
              <w:t>Signed for and on behalf of</w:t>
              <w:br/>
            </w:r>
            <w:r>
              <w:rPr>
                <w:b/>
              </w:rPr>
              <w:t>Kingsholm Tonnage Ltd</w:t>
            </w:r>
            <w:r>
              <w:rPr/>
              <w:t xml:space="preserve"> (the Owners)</w:t>
            </w:r>
          </w:p>
          <w:p>
            <w:pPr>
              <w:pStyle w:val="BodyTextsig"/>
              <w:bidi w:val="0"/>
              <w:spacing w:before="200" w:after="2"/>
              <w:jc w:val="left"/>
              <w:rPr/>
            </w:pPr>
            <w:r>
              <w:rPr/>
              <w:t>Duncan Aske</w:t>
            </w:r>
          </w:p>
          <w:p>
            <w:pPr>
              <w:pStyle w:val="BodyTextsigblock"/>
              <w:bidi w:val="0"/>
              <w:spacing w:lineRule="auto" w:line="312" w:before="2" w:after="40"/>
              <w:jc w:val="left"/>
              <w:rPr/>
            </w:pPr>
            <w:r>
              <w:rPr/>
              <w:t>Duncan Aske, Director</w:t>
              <w:br/>
              <w:t>12 March 2026</w:t>
            </w:r>
          </w:p>
        </w:tc>
        <w:tc>
          <w:tcPr>
            <w:tcW w:w="4706" w:type="dxa"/>
            <w:tcBorders/>
          </w:tcPr>
          <w:p>
            <w:pPr>
              <w:pStyle w:val="BodyTextsigblock"/>
              <w:bidi w:val="0"/>
              <w:spacing w:lineRule="auto" w:line="312" w:before="2" w:after="40"/>
              <w:jc w:val="left"/>
              <w:rPr/>
            </w:pPr>
            <w:r>
              <w:rPr/>
              <w:t>Signed for and on behalf of</w:t>
              <w:br/>
            </w:r>
            <w:r>
              <w:rPr>
                <w:b/>
              </w:rPr>
              <w:t>Saltmarsh Shipping Ltd</w:t>
            </w:r>
            <w:r>
              <w:rPr/>
              <w:t xml:space="preserve"> (the Charterers)</w:t>
            </w:r>
          </w:p>
          <w:p>
            <w:pPr>
              <w:pStyle w:val="BodyTextsig"/>
              <w:bidi w:val="0"/>
              <w:spacing w:before="200" w:after="2"/>
              <w:jc w:val="left"/>
              <w:rPr/>
            </w:pPr>
            <w:r>
              <w:rPr/>
              <w:t>Rhian Talbot</w:t>
            </w:r>
          </w:p>
          <w:p>
            <w:pPr>
              <w:pStyle w:val="BodyTextsigblock"/>
              <w:bidi w:val="0"/>
              <w:spacing w:lineRule="auto" w:line="312" w:before="2" w:after="40"/>
              <w:jc w:val="left"/>
              <w:rPr/>
            </w:pPr>
            <w:r>
              <w:rPr/>
              <w:t>Rhian Talbot, Managing Director</w:t>
              <w:br/>
              <w:t>12 March 2026</w:t>
            </w:r>
          </w:p>
        </w:tc>
      </w:tr>
    </w:tbl>
    <w:p>
      <w:pPr>
        <w:pStyle w:val="BodyText"/>
        <w:bidi w:val="0"/>
        <w:spacing w:before="0" w:after="140"/>
        <w:jc w:val="left"/>
        <w:rPr/>
      </w:pPr>
      <w:r>
        <w:rPr/>
      </w:r>
    </w:p>
    <w:sectPr>
      <w:footerReference w:type="default" r:id="rId2"/>
      <w:type w:val="nextPage"/>
      <w:pgSz w:w="11906" w:h="16838"/>
      <w:pgMar w:left="1247" w:right="1247" w:gutter="0" w:header="0" w:top="964" w:footer="964" w:bottom="1222"/>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cp-foot"/>
      <w:pBdr>
        <w:top w:val="single" w:sz="4" w:space="3" w:color="999999"/>
      </w:pBdr>
      <w:bidi w:val="0"/>
      <w:spacing w:before="2" w:after="2"/>
      <w:jc w:val="center"/>
      <w:rPr/>
    </w:pPr>
    <w:r>
      <w:rPr/>
      <w:t xml:space="preserve">Voyage charterparty – MV Northern Star – 12 March 2026 – 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 ARABIC </w:instrText>
    </w:r>
    <w:r>
      <w:rPr/>
      <w:fldChar w:fldCharType="separate"/>
    </w:r>
    <w:r>
      <w:rPr/>
      <w:t>3</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000000"/>
      <w:sz w:val="22"/>
      <w:szCs w:val="22"/>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88"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cp-foot">
    <w:name w:val="Body Text.cp-foot"/>
    <w:basedOn w:val="BodyText"/>
    <w:qFormat/>
    <w:pPr>
      <w:pBdr>
        <w:top w:val="single" w:sz="4" w:space="3" w:color="999999"/>
      </w:pBdr>
      <w:spacing w:before="2" w:after="2"/>
      <w:jc w:val="center"/>
    </w:pPr>
    <w:rPr>
      <w:rFonts w:ascii="Times New Roman" w:hAnsi="Times New Roman" w:eastAsia="Times New Roman" w:cs="Times New Roman"/>
      <w:color w:val="444444"/>
      <w:sz w:val="16"/>
      <w:szCs w:val="16"/>
    </w:rPr>
  </w:style>
  <w:style w:type="paragraph" w:styleId="BodyTextcp-title">
    <w:name w:val="Body Text.cp-title"/>
    <w:basedOn w:val="BodyText"/>
    <w:qFormat/>
    <w:pPr>
      <w:spacing w:before="120" w:after="80"/>
      <w:jc w:val="center"/>
    </w:pPr>
    <w:rPr>
      <w:rFonts w:ascii="Times New Roman" w:hAnsi="Times New Roman" w:eastAsia="Times New Roman" w:cs="Times New Roman"/>
      <w:b/>
      <w:bCs/>
      <w:color w:val="000000"/>
      <w:sz w:val="36"/>
      <w:szCs w:val="36"/>
    </w:rPr>
  </w:style>
  <w:style w:type="paragraph" w:styleId="BodyTextcp-date">
    <w:name w:val="Body Text.cp-date"/>
    <w:basedOn w:val="BodyText"/>
    <w:qFormat/>
    <w:pPr>
      <w:spacing w:before="2" w:after="280"/>
      <w:jc w:val="center"/>
    </w:pPr>
    <w:rPr>
      <w:rFonts w:ascii="Times New Roman" w:hAnsi="Times New Roman" w:eastAsia="Times New Roman" w:cs="Times New Roman"/>
      <w:sz w:val="22"/>
      <w:szCs w:val="22"/>
    </w:rPr>
  </w:style>
  <w:style w:type="paragraph" w:styleId="BodyTextcp-head">
    <w:name w:val="Body Text.cp-head"/>
    <w:basedOn w:val="BodyText"/>
    <w:qFormat/>
    <w:pPr>
      <w:spacing w:before="180" w:after="60"/>
    </w:pPr>
    <w:rPr>
      <w:rFonts w:ascii="Times New Roman" w:hAnsi="Times New Roman" w:eastAsia="Times New Roman" w:cs="Times New Roman"/>
      <w:b/>
      <w:bCs/>
      <w:color w:val="000000"/>
      <w:sz w:val="22"/>
      <w:szCs w:val="22"/>
    </w:rPr>
  </w:style>
  <w:style w:type="paragraph" w:styleId="BodyTextclause">
    <w:name w:val="Body Text.clause"/>
    <w:basedOn w:val="BodyText"/>
    <w:qFormat/>
    <w:pPr>
      <w:ind w:hanging="255" w:left="255"/>
    </w:pPr>
    <w:rPr/>
  </w:style>
  <w:style w:type="paragraph" w:styleId="BodyTextclause2">
    <w:name w:val="Body Text.clause2"/>
    <w:basedOn w:val="BodyText"/>
    <w:qFormat/>
    <w:pPr>
      <w:ind w:hanging="454" w:left="454"/>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sigblock">
    <w:name w:val="Body Text.sigblock"/>
    <w:basedOn w:val="TableContents"/>
    <w:qFormat/>
    <w:pPr>
      <w:spacing w:lineRule="auto" w:line="312" w:before="2" w:after="40"/>
    </w:pPr>
    <w:rPr/>
  </w:style>
  <w:style w:type="paragraph" w:styleId="BodyTextsig">
    <w:name w:val="Body Text.sig"/>
    <w:basedOn w:val="TableContents"/>
    <w:qFormat/>
    <w:pPr>
      <w:spacing w:before="200" w:after="2"/>
    </w:pPr>
    <w:rPr>
      <w:rFonts w:ascii="Times New Roman" w:hAnsi="Times New Roman" w:eastAsia="Times New Roman" w:cs="Times New Roman"/>
      <w:i/>
      <w:iCs/>
      <w:sz w:val="30"/>
      <w:szCs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2026-03-11T16:20:00Z</dcterms:created>
  <dc:creator>Kingsholm Tonnage Ltd</dc:creator>
  <dc:description/>
  <cp:keywords>charterparty MV Northern Star laytime demurrage</cp:keywords>
  <dc:language>en-US</dc:language>
  <cp:lastModifiedBy>Rhian Talbot</cp:lastModifiedBy>
  <dcterms:modified xsi:type="dcterms:W3CDTF">2026-03-12T10:05:00Z</dcterms:modified>
  <cp:revision>0</cp:revision>
  <dc:subject/>
  <dc:title>Voyage Charterparty – MV Northern Star</dc:title>
</cp:coreProperties>
</file>

<file path=docProps/custom.xml><?xml version="1.0" encoding="utf-8"?>
<Properties xmlns="http://schemas.openxmlformats.org/officeDocument/2006/custom-properties" xmlns:vt="http://schemas.openxmlformats.org/officeDocument/2006/docPropsVTypes"/>
</file>