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draftmark"/>
        <w:bidi w:val="0"/>
        <w:spacing w:before="2" w:after="160"/>
        <w:jc w:val="right"/>
        <w:rPr/>
      </w:pPr>
      <w:r>
        <w:rPr/>
        <w:t>DRAFT 1 – 20 October 2026 – not for issue</w:t>
      </w:r>
    </w:p>
    <w:tbl>
      <w:tblPr>
        <w:tblW w:w="5000" w:type="pct"/>
        <w:jc w:val="left"/>
        <w:tblInd w:w="0" w:type="dxa"/>
        <w:tblLayout w:type="fixed"/>
        <w:tblCellMar>
          <w:top w:w="0" w:type="dxa"/>
          <w:left w:w="0" w:type="dxa"/>
          <w:bottom w:w="0" w:type="dxa"/>
          <w:right w:w="0" w:type="dxa"/>
        </w:tblCellMar>
      </w:tblPr>
      <w:tblGrid>
        <w:gridCol w:w="5836"/>
        <w:gridCol w:w="3575"/>
      </w:tblGrid>
      <w:tr>
        <w:trPr/>
        <w:tc>
          <w:tcPr>
            <w:tcW w:w="5836" w:type="dxa"/>
            <w:tcBorders/>
          </w:tcPr>
          <w:p>
            <w:pPr>
              <w:pStyle w:val="BodyTextcourt"/>
              <w:bidi w:val="0"/>
              <w:spacing w:before="2" w:after="2"/>
              <w:jc w:val="left"/>
              <w:rPr/>
            </w:pPr>
            <w:r>
              <w:rPr/>
              <w:t>IN THE COUNTY COURT AT MARLBRIDGE</w:t>
            </w:r>
          </w:p>
        </w:tc>
        <w:tc>
          <w:tcPr>
            <w:tcW w:w="3575" w:type="dxa"/>
            <w:tcBorders/>
          </w:tcPr>
          <w:p>
            <w:pPr>
              <w:pStyle w:val="BodyTextclaimbox"/>
              <w:pBdr>
                <w:top w:val="single" w:sz="8" w:space="4" w:color="000000"/>
                <w:left w:val="single" w:sz="8" w:space="4" w:color="000000"/>
                <w:bottom w:val="single" w:sz="8" w:space="4" w:color="000000"/>
                <w:right w:val="single" w:sz="8" w:space="4" w:color="000000"/>
              </w:pBdr>
              <w:bidi w:val="0"/>
              <w:spacing w:before="2" w:after="2"/>
              <w:jc w:val="left"/>
              <w:rPr/>
            </w:pPr>
            <w:r>
              <w:rPr>
                <w:b/>
              </w:rPr>
              <w:t>Claim No.</w:t>
            </w:r>
            <w:r>
              <w:rPr/>
              <w:t xml:space="preserve"> ______________</w:t>
            </w:r>
          </w:p>
        </w:tc>
      </w:tr>
    </w:tbl>
    <w:p>
      <w:pPr>
        <w:pStyle w:val="BodyTextbetween"/>
        <w:bidi w:val="0"/>
        <w:jc w:val="left"/>
        <w:rPr/>
      </w:pPr>
      <w:r>
        <w:rPr/>
        <w:t>BETWEEN</w:t>
      </w:r>
    </w:p>
    <w:tbl>
      <w:tblPr>
        <w:tblW w:w="5000" w:type="pct"/>
        <w:jc w:val="left"/>
        <w:tblInd w:w="0" w:type="dxa"/>
        <w:tblLayout w:type="fixed"/>
        <w:tblCellMar>
          <w:top w:w="0" w:type="dxa"/>
          <w:left w:w="0" w:type="dxa"/>
          <w:bottom w:w="0" w:type="dxa"/>
          <w:right w:w="0" w:type="dxa"/>
        </w:tblCellMar>
      </w:tblPr>
      <w:tblGrid>
        <w:gridCol w:w="6588"/>
        <w:gridCol w:w="2823"/>
      </w:tblGrid>
      <w:tr>
        <w:trPr/>
        <w:tc>
          <w:tcPr>
            <w:tcW w:w="6588" w:type="dxa"/>
            <w:tcBorders/>
            <w:vAlign w:val="center"/>
          </w:tcPr>
          <w:p>
            <w:pPr>
              <w:pStyle w:val="BodyTextparty"/>
              <w:bidi w:val="0"/>
              <w:spacing w:before="2" w:after="2"/>
              <w:jc w:val="left"/>
              <w:rPr/>
            </w:pPr>
            <w:r>
              <w:rPr/>
              <w:t>SALTMARSH SHIPPING LTD</w:t>
            </w:r>
          </w:p>
        </w:tc>
        <w:tc>
          <w:tcPr>
            <w:tcW w:w="2823" w:type="dxa"/>
            <w:tcBorders/>
            <w:vAlign w:val="center"/>
          </w:tcPr>
          <w:p>
            <w:pPr>
              <w:pStyle w:val="BodyTextrole"/>
              <w:bidi w:val="0"/>
              <w:spacing w:before="2" w:after="2"/>
              <w:jc w:val="right"/>
              <w:rPr/>
            </w:pPr>
            <w:r>
              <w:rPr/>
              <w:t>Claimant</w:t>
            </w:r>
          </w:p>
        </w:tc>
      </w:tr>
    </w:tbl>
    <w:p>
      <w:pPr>
        <w:pStyle w:val="BodyTextand"/>
        <w:bidi w:val="0"/>
        <w:rPr/>
      </w:pPr>
      <w:r>
        <w:rPr/>
        <w:t xml:space="preserve">– </w:t>
      </w:r>
      <w:r>
        <w:rPr/>
        <w:t>and –</w:t>
      </w:r>
    </w:p>
    <w:tbl>
      <w:tblPr>
        <w:tblW w:w="5000" w:type="pct"/>
        <w:jc w:val="left"/>
        <w:tblInd w:w="0" w:type="dxa"/>
        <w:tblLayout w:type="fixed"/>
        <w:tblCellMar>
          <w:top w:w="0" w:type="dxa"/>
          <w:left w:w="0" w:type="dxa"/>
          <w:bottom w:w="0" w:type="dxa"/>
          <w:right w:w="0" w:type="dxa"/>
        </w:tblCellMar>
      </w:tblPr>
      <w:tblGrid>
        <w:gridCol w:w="6589"/>
        <w:gridCol w:w="2822"/>
      </w:tblGrid>
      <w:tr>
        <w:trPr/>
        <w:tc>
          <w:tcPr>
            <w:tcW w:w="6589" w:type="dxa"/>
            <w:tcBorders/>
            <w:vAlign w:val="center"/>
          </w:tcPr>
          <w:p>
            <w:pPr>
              <w:pStyle w:val="BodyTextparty"/>
              <w:bidi w:val="0"/>
              <w:spacing w:before="2" w:after="2"/>
              <w:jc w:val="left"/>
              <w:rPr/>
            </w:pPr>
            <w:r>
              <w:rPr/>
              <w:t>KINGSHOLM TONNAGE LTD</w:t>
            </w:r>
          </w:p>
        </w:tc>
        <w:tc>
          <w:tcPr>
            <w:tcW w:w="2822" w:type="dxa"/>
            <w:tcBorders/>
            <w:vAlign w:val="center"/>
          </w:tcPr>
          <w:p>
            <w:pPr>
              <w:pStyle w:val="BodyTextrole"/>
              <w:bidi w:val="0"/>
              <w:spacing w:before="2" w:after="2"/>
              <w:jc w:val="right"/>
              <w:rPr/>
            </w:pPr>
            <w:r>
              <w:rPr/>
              <w:t>Defendant</w:t>
            </w:r>
          </w:p>
        </w:tc>
      </w:tr>
    </w:tbl>
    <w:p>
      <w:pPr>
        <w:pStyle w:val="BodyTexttitle"/>
        <w:bidi w:val="0"/>
        <w:rPr/>
      </w:pPr>
      <w:r>
        <w:rPr/>
        <w:t>PARTICULARS OF CLAIM</w:t>
      </w:r>
    </w:p>
    <w:p>
      <w:pPr>
        <w:pStyle w:val="BodyTextpch"/>
        <w:bidi w:val="0"/>
        <w:jc w:val="left"/>
        <w:rPr/>
      </w:pPr>
      <w:r>
        <w:rPr/>
        <w:t>The parties</w:t>
      </w:r>
    </w:p>
    <w:p>
      <w:pPr>
        <w:pStyle w:val="BodyTextpc"/>
        <w:bidi w:val="0"/>
        <w:rPr/>
      </w:pPr>
      <w:r>
        <w:rPr/>
        <w:t>1.    The claimant, Saltmarsh Shipping Ltd, is a shipping company whose registered office is at Saltmarsh House, 2 Wharf Road, Eastwick EW1 3SB. It operates vessels and charters others to carry cargo.</w:t>
      </w:r>
    </w:p>
    <w:p>
      <w:pPr>
        <w:pStyle w:val="BodyTextpc"/>
        <w:bidi w:val="0"/>
        <w:rPr/>
      </w:pPr>
      <w:r>
        <w:rPr/>
        <w:t xml:space="preserve">2.    The defendant, Kingsholm Tonnage Ltd, is a company whose registered office is at Kingsholm House, 31 Fenner Street, Eastwick EW4 8HP. It owns the MV Northern Star (the </w:t>
      </w:r>
      <w:r>
        <w:rPr>
          <w:b/>
        </w:rPr>
        <w:t>Vessel</w:t>
      </w:r>
      <w:r>
        <w:rPr/>
        <w:t>).</w:t>
      </w:r>
    </w:p>
    <w:p>
      <w:pPr>
        <w:pStyle w:val="BodyTextpch"/>
        <w:bidi w:val="0"/>
        <w:jc w:val="left"/>
        <w:rPr/>
      </w:pPr>
      <w:r>
        <w:rPr/>
        <w:t>The charterparty</w:t>
      </w:r>
    </w:p>
    <w:p>
      <w:pPr>
        <w:pStyle w:val="BodyTextpc"/>
        <w:bidi w:val="0"/>
        <w:rPr/>
      </w:pPr>
      <w:r>
        <w:rPr/>
        <w:t xml:space="preserve">3.    By a voyage charterparty dated 12 March 2026 (the </w:t>
      </w:r>
      <w:r>
        <w:rPr>
          <w:b/>
        </w:rPr>
        <w:t>Charterparty</w:t>
      </w:r>
      <w:r>
        <w:rPr/>
        <w:t>) the defendant, as owner, let the Vessel to the claimant, as charterer, to carry 5,200 tonnes of packaged sawn timber from Eastwick to one safe berth at Hartmouth.</w:t>
      </w:r>
    </w:p>
    <w:p>
      <w:pPr>
        <w:pStyle w:val="BodyTextpc"/>
        <w:bidi w:val="0"/>
        <w:rPr/>
      </w:pPr>
      <w:r>
        <w:rPr/>
        <w:t>4.    By clause 9 of the Charterparty the claimant had six weather working days to discharge the cargo (</w:t>
      </w:r>
      <w:r>
        <w:rPr>
          <w:b/>
        </w:rPr>
        <w:t>laytime</w:t>
      </w:r>
      <w:r>
        <w:rPr/>
        <w:t>). Laytime was to start at 08:00 on the working day after the master gave notice of readiness. Sundays and holidays at Hartmouth did not count unless the claimant used them to discharge, and no time counted while weather stopped discharge.</w:t>
      </w:r>
    </w:p>
    <w:p>
      <w:pPr>
        <w:pStyle w:val="BodyTextpc"/>
        <w:bidi w:val="0"/>
        <w:rPr/>
      </w:pPr>
      <w:r>
        <w:rPr/>
        <w:t>5.    By clause 10, if discharge was not complete when laytime ran out, the claimant was to pay demurrage at USD 18,000.00 a day, and pro rata for part of a day, until discharge was complete. Once the Vessel was on demurrage every hour counted.</w:t>
      </w:r>
    </w:p>
    <w:p>
      <w:pPr>
        <w:pStyle w:val="BodyTextpc"/>
        <w:bidi w:val="0"/>
        <w:rPr/>
      </w:pPr>
      <w:r>
        <w:rPr/>
        <w:t>6.    By clause 24, English law governs the Charterparty, and a dispute goes to arbitration in London only if both parties agree in writing. Otherwise the courts of England decide it. The defendant has not agreed to arbitration, so this court has jurisdiction.</w:t>
      </w:r>
    </w:p>
    <w:p>
      <w:pPr>
        <w:pStyle w:val="BodyTextpch"/>
        <w:bidi w:val="0"/>
        <w:jc w:val="left"/>
        <w:rPr/>
      </w:pPr>
      <w:r>
        <w:rPr/>
        <w:t>The discharge at Hartmouth</w:t>
      </w:r>
    </w:p>
    <w:p>
      <w:pPr>
        <w:pStyle w:val="BodyTextpc"/>
        <w:bidi w:val="0"/>
        <w:rPr/>
      </w:pPr>
      <w:r>
        <w:rPr/>
        <w:t>7.    The Vessel arrived at Hartmouth with the cargo, and the master gave notice of readiness at 10:24 on Monday 3 August 2026.</w:t>
      </w:r>
    </w:p>
    <w:p>
      <w:pPr>
        <w:pStyle w:val="BodyTextpcnote"/>
        <w:bidi w:val="0"/>
        <w:jc w:val="left"/>
        <w:rPr/>
      </w:pPr>
      <w:r>
        <w:rPr/>
        <w:t>[TR – I have not pleaded when laytime started under clause 9. The owners count from 10:24 on 3 August. Should we say here that it began at 08:00 on 4 August, and why? PN]</w:t>
      </w:r>
    </w:p>
    <w:p>
      <w:pPr>
        <w:pStyle w:val="BodyTextpc"/>
        <w:bidi w:val="0"/>
        <w:rPr/>
      </w:pPr>
      <w:r>
        <w:rPr/>
        <w:t>8.    Discharge began at 08:00 on Tuesday 4 August 2026.</w:t>
      </w:r>
    </w:p>
    <w:p>
      <w:pPr>
        <w:pStyle w:val="BodyTextpc"/>
        <w:bidi w:val="0"/>
        <w:rPr/>
      </w:pPr>
      <w:r>
        <w:rPr/>
        <w:t>9.    From 00:00 on Friday 7 August to 24:00 on Monday 10 August 2026 discharge was stopped by a heavy swell at the berth, and the harbour closed its pilot station. No cargo was discharged in that time. By clause 9 none of that time counted as laytime.</w:t>
      </w:r>
    </w:p>
    <w:p>
      <w:pPr>
        <w:pStyle w:val="BodyTextpc"/>
        <w:bidi w:val="0"/>
        <w:rPr/>
      </w:pPr>
      <w:r>
        <w:rPr/>
        <w:t>10.    Sunday 9 August 2026 fell within that period. It was a Sunday on which nothing was discharged, so it did not count in any case.</w:t>
      </w:r>
    </w:p>
    <w:p>
      <w:pPr>
        <w:pStyle w:val="BodyTextpc"/>
        <w:bidi w:val="0"/>
        <w:rPr/>
      </w:pPr>
      <w:r>
        <w:rPr/>
        <w:t>11.    Discharge resumed at 00:00 on Tuesday 11 August 2026 and was completed at 16:24 on Wednesday 19 August 2026.</w:t>
      </w:r>
    </w:p>
    <w:p>
      <w:pPr>
        <w:pStyle w:val="BodyTextpch"/>
        <w:bidi w:val="0"/>
        <w:jc w:val="left"/>
        <w:rPr/>
      </w:pPr>
      <w:r>
        <w:rPr/>
        <w:t>Demurrage properly due</w:t>
      </w:r>
    </w:p>
    <w:p>
      <w:pPr>
        <w:pStyle w:val="BodyTextpc"/>
        <w:bidi w:val="0"/>
        <w:rPr/>
      </w:pPr>
      <w:r>
        <w:rPr/>
        <w:t>12.    Counting only the time that clause 9 counts, laytime of six days ran out at 08:00 on Friday 14 August 2026, after the stoppage.</w:t>
      </w:r>
    </w:p>
    <w:p>
      <w:pPr>
        <w:pStyle w:val="BodyTextpc"/>
        <w:bidi w:val="0"/>
        <w:rPr/>
      </w:pPr>
      <w:r>
        <w:rPr/>
        <w:t>13.    The Vessel was then on demurrage from 08:00 on 14 August 2026 until 16:24 on 19 August 2026, a period of 5 days 8 hours 24 minutes (5.35 days). Under clause 10 all of that time counts, including Sunday 16 August 2026.</w:t>
      </w:r>
    </w:p>
    <w:p>
      <w:pPr>
        <w:pStyle w:val="BodyTextpc"/>
        <w:bidi w:val="0"/>
        <w:rPr/>
      </w:pPr>
      <w:r>
        <w:rPr/>
        <w:t>14.    Demurrage properly due was therefore USD 96,300.00 (5.35 days at USD 18,000.00 a day).</w:t>
      </w:r>
    </w:p>
    <w:p>
      <w:pPr>
        <w:pStyle w:val="BodyTextpch"/>
        <w:bidi w:val="0"/>
        <w:jc w:val="left"/>
        <w:rPr/>
      </w:pPr>
      <w:r>
        <w:rPr/>
        <w:t>The payment under protest</w:t>
      </w:r>
    </w:p>
    <w:p>
      <w:pPr>
        <w:pStyle w:val="BodyTextpc"/>
        <w:bidi w:val="0"/>
        <w:rPr/>
      </w:pPr>
      <w:r>
        <w:rPr/>
        <w:t>15.    By letter of 15 September 2026 the defendant’s solicitors claimed demurrage of USD 184,500.00. That figure counts laytime from 10:24 on 3 August 2026, and counts the stoppage and Sunday 9 August 2026, to reach 10.25 days.</w:t>
      </w:r>
    </w:p>
    <w:p>
      <w:pPr>
        <w:pStyle w:val="BodyTextpc"/>
        <w:bidi w:val="0"/>
        <w:rPr/>
      </w:pPr>
      <w:r>
        <w:rPr/>
        <w:t>16.    By letter of 23 September 2026 the claimant’s solicitors explained why that was wrong and offered USD 96,300.00 in full and final settlement. By email of 30 September 2026 the defendant’s solicitors rejected the offer and refused to agree to arbitration.</w:t>
      </w:r>
    </w:p>
    <w:p>
      <w:pPr>
        <w:pStyle w:val="BodyTextpc"/>
        <w:bidi w:val="0"/>
        <w:rPr/>
      </w:pPr>
      <w:r>
        <w:rPr/>
        <w:t>17.    In the same email the defendant’s solicitors said that unless USD 184,500.00 was paid by 14 October 2026 the defendant would issue proceedings and seek security for its claim, including by arresting the claimant’s vessel, the MV Curlew Bay, which the defendant understood the claimant was selling.</w:t>
      </w:r>
    </w:p>
    <w:p>
      <w:pPr>
        <w:pStyle w:val="BodyTextpc"/>
        <w:bidi w:val="0"/>
        <w:rPr/>
      </w:pPr>
      <w:r>
        <w:rPr/>
        <w:t>18.    The claimant had agreed terms to sell the MV Curlew Bay, and an arrest, or the threat of one, put the sale at risk.</w:t>
      </w:r>
    </w:p>
    <w:p>
      <w:pPr>
        <w:pStyle w:val="BodyTextpc"/>
        <w:bidi w:val="0"/>
        <w:rPr/>
      </w:pPr>
      <w:r>
        <w:rPr/>
        <w:t>19.    On 9 October 2026 the claimant paid the defendant USD 184,500.00 to avoid the arrest. It paid expressly under protest and without admitting that the sum was due, and the defendant received it.</w:t>
      </w:r>
    </w:p>
    <w:p>
      <w:pPr>
        <w:pStyle w:val="BodyTextpc"/>
        <w:bidi w:val="0"/>
        <w:rPr/>
      </w:pPr>
      <w:r>
        <w:rPr/>
        <w:t>20.    By letter of 14 October 2026 the claimant’s solicitors asked the defendant to repay USD 88,200.00, the difference between the sum paid and the demurrage properly due, by 21 October 2026. By email of 19 October 2026 the defendant’s solicitors refused.</w:t>
      </w:r>
    </w:p>
    <w:p>
      <w:pPr>
        <w:pStyle w:val="BodyTextpch"/>
        <w:bidi w:val="0"/>
        <w:jc w:val="left"/>
        <w:rPr/>
      </w:pPr>
      <w:r>
        <w:rPr/>
        <w:t>The claim</w:t>
      </w:r>
    </w:p>
    <w:p>
      <w:pPr>
        <w:pStyle w:val="BodyTextpc"/>
        <w:bidi w:val="0"/>
        <w:rPr/>
      </w:pPr>
      <w:r>
        <w:rPr/>
        <w:t>21.    The claimant paid the defendant USD 88,200.00 more than was due. It did so only to avoid the arrest and under protest, and the defendant knew that. The defendant has no right to keep the excess and has refused to repay it.</w:t>
      </w:r>
    </w:p>
    <w:p>
      <w:pPr>
        <w:pStyle w:val="BodyTextpc"/>
        <w:bidi w:val="0"/>
        <w:rPr/>
      </w:pPr>
      <w:r>
        <w:rPr/>
        <w:t>22.    The claimant claims interest on USD 88,200.00 from 9 October 2026 at [rate to be inserted] a year until payment or judgment.</w:t>
      </w:r>
    </w:p>
    <w:p>
      <w:pPr>
        <w:pStyle w:val="BodyTextpch"/>
        <w:bidi w:val="0"/>
        <w:jc w:val="left"/>
        <w:rPr/>
      </w:pPr>
      <w:r>
        <w:rPr/>
        <w:t>The claimant claims</w:t>
      </w:r>
    </w:p>
    <w:p>
      <w:pPr>
        <w:pStyle w:val="BodyTextpc"/>
        <w:bidi w:val="0"/>
        <w:rPr/>
      </w:pPr>
      <w:r>
        <w:rPr/>
        <w:t>(1)    USD 88,200.00;</w:t>
      </w:r>
    </w:p>
    <w:p>
      <w:pPr>
        <w:pStyle w:val="BodyTextpc"/>
        <w:bidi w:val="0"/>
        <w:rPr/>
      </w:pPr>
      <w:r>
        <w:rPr/>
        <w:t>(2)    interest as set out in paragraph 22; and</w:t>
      </w:r>
    </w:p>
    <w:p>
      <w:pPr>
        <w:pStyle w:val="BodyTextpc"/>
        <w:bidi w:val="0"/>
        <w:rPr/>
      </w:pPr>
      <w:r>
        <w:rPr/>
        <w:t>(3)    its costs of this claim.</w:t>
      </w:r>
    </w:p>
    <w:p>
      <w:pPr>
        <w:pStyle w:val="BodyTextpch"/>
        <w:bidi w:val="0"/>
        <w:jc w:val="left"/>
        <w:rPr/>
      </w:pPr>
      <w:r>
        <w:rPr/>
        <w:t>Statement of truth</w:t>
      </w:r>
    </w:p>
    <w:p>
      <w:pPr>
        <w:pStyle w:val="BodyTextpc0"/>
        <w:bidi w:val="0"/>
        <w:jc w:val="left"/>
        <w:rPr/>
      </w:pPr>
      <w:r>
        <w:rPr/>
        <w:t>The claimant believes that the facts stated in these particulars of claim are true.</w:t>
      </w:r>
    </w:p>
    <w:p>
      <w:pPr>
        <w:pStyle w:val="BodyTextpc0"/>
        <w:bidi w:val="0"/>
        <w:jc w:val="left"/>
        <w:rPr/>
      </w:pPr>
      <w:r>
        <w:rPr/>
        <w:t>I am authorised by the claimant to sign this statement.</w:t>
      </w:r>
    </w:p>
    <w:p>
      <w:pPr>
        <w:pStyle w:val="BodyTextsigline"/>
        <w:bidi w:val="0"/>
        <w:jc w:val="left"/>
        <w:rPr/>
      </w:pPr>
      <w:r>
        <w:rPr/>
        <w:t>Signed: ______________________________</w:t>
      </w:r>
    </w:p>
    <w:p>
      <w:pPr>
        <w:pStyle w:val="BodyTextsigline"/>
        <w:bidi w:val="0"/>
        <w:jc w:val="left"/>
        <w:rPr/>
      </w:pPr>
      <w:r>
        <w:rPr/>
        <w:t>Full name: ____________________________</w:t>
      </w:r>
    </w:p>
    <w:p>
      <w:pPr>
        <w:pStyle w:val="BodyTextsigline"/>
        <w:bidi w:val="0"/>
        <w:jc w:val="left"/>
        <w:rPr/>
      </w:pPr>
      <w:r>
        <w:rPr/>
        <w:t>Position: Partner, Ashcombe Reeve LLP, solicitors for the claimant</w:t>
      </w:r>
    </w:p>
    <w:p>
      <w:pPr>
        <w:pStyle w:val="BodyTextsigline"/>
        <w:bidi w:val="0"/>
        <w:jc w:val="left"/>
        <w:rPr/>
      </w:pPr>
      <w:r>
        <w:rPr/>
        <w:t>Date: ____________________</w:t>
      </w:r>
    </w:p>
    <w:p>
      <w:pPr>
        <w:pStyle w:val="BodyTextsm1"/>
        <w:bidi w:val="0"/>
        <w:jc w:val="left"/>
        <w:rPr/>
      </w:pPr>
      <w:r>
        <w:rPr/>
        <w:t>Ashcombe Reeve LLP, Ashcombe House, 9 Quay Street, Marlbridge WX1 4AB (ref TR/1001.1/PN), solicitors for the claimant.</w:t>
      </w:r>
    </w:p>
    <w:p>
      <w:pPr>
        <w:pStyle w:val="BodyTextsm"/>
        <w:bidi w:val="0"/>
        <w:spacing w:before="2" w:after="60"/>
        <w:jc w:val="left"/>
        <w:rPr/>
      </w:pPr>
      <w:r>
        <w:rPr/>
        <w:t>To the defendant: Kingsholm Tonnage Ltd, Kingsholm House, 31 Fenner Street, Eastwick EW4 8HP.</w:t>
      </w:r>
    </w:p>
    <w:sectPr>
      <w:footerReference w:type="default" r:id="rId2"/>
      <w:type w:val="nextPage"/>
      <w:pgSz w:w="11906" w:h="16838"/>
      <w:pgMar w:left="1247" w:right="1247" w:gutter="0" w:header="0" w:top="964" w:footer="964" w:bottom="1233"/>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auto"/>
    <w:pitch w:val="default"/>
  </w:font>
  <w:font w:name="Calibri">
    <w:charset w:val="01"/>
    <w:family w:val="auto"/>
    <w:pitch w:val="default"/>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foot"/>
      <w:pBdr>
        <w:top w:val="single" w:sz="4" w:space="3" w:color="999999"/>
      </w:pBdr>
      <w:bidi w:val="0"/>
      <w:spacing w:before="2" w:after="2"/>
      <w:jc w:val="center"/>
      <w:rPr/>
    </w:pPr>
    <w:r>
      <w:rPr/>
      <w:t xml:space="preserve">Draft 1 – 20 October 2026 – Particulars of claim – Saltmarsh Shipping Ltd v Kingsholm Tonnage Ltd – Page </w:t>
    </w:r>
    <w:r>
      <w:rPr/>
      <w:fldChar w:fldCharType="begin"/>
    </w:r>
    <w:r>
      <w:rPr/>
      <w:instrText xml:space="preserve"> PAGE </w:instrText>
    </w:r>
    <w:r>
      <w:rPr/>
      <w:fldChar w:fldCharType="separate"/>
    </w:r>
    <w:r>
      <w:rPr/>
      <w:t>3</w:t>
    </w:r>
    <w:r>
      <w:rPr/>
      <w:fldChar w:fldCharType="end"/>
    </w:r>
    <w:r>
      <w:rPr/>
      <w:t xml:space="preserve"> of </w:t>
    </w:r>
    <w:r>
      <w:rPr/>
      <w:fldChar w:fldCharType="begin"/>
    </w:r>
    <w:r>
      <w:rPr/>
      <w:instrText xml:space="preserve"> NUMPAGES \* ARABIC </w:instrText>
    </w:r>
    <w:r>
      <w:rPr/>
      <w:fldChar w:fldCharType="separate"/>
    </w:r>
    <w:r>
      <w:rPr/>
      <w:t>3</w:t>
    </w:r>
    <w:r>
      <w:rPr/>
      <w:fldChar w:fldCharType="end"/>
    </w:r>
  </w:p>
</w:ftr>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GB" w:eastAsia="zh-CN" w:bidi="hi-IN"/>
      </w:rPr>
    </w:rPrDefault>
    <w:pPrDefault>
      <w:pPr>
        <w:suppressAutoHyphens w:val="true"/>
      </w:pPr>
    </w:pPrDefault>
  </w:docDefaults>
  <w:style w:type="paragraph" w:styleId="Normal">
    <w:name w:val="Normal"/>
    <w:qFormat/>
    <w:pPr>
      <w:widowControl w:val="false"/>
      <w:bidi w:val="0"/>
    </w:pPr>
    <w:rPr>
      <w:rFonts w:ascii="Times New Roman" w:hAnsi="Times New Roman" w:eastAsia="Times New Roman" w:cs="Times New Roman"/>
      <w:color w:val="000000"/>
      <w:sz w:val="23"/>
      <w:szCs w:val="23"/>
      <w:lang w:val="en-GB" w:eastAsia="zh-CN" w:bidi="hi-IN"/>
    </w:rPr>
  </w:style>
  <w:style w:type="paragraph" w:styleId="Heading1">
    <w:name w:val="heading 1"/>
    <w:basedOn w:val="Heading"/>
    <w:next w:val="BodyText"/>
    <w:qFormat/>
    <w:pPr>
      <w:spacing w:before="240" w:after="120"/>
      <w:outlineLvl w:val="0"/>
    </w:pPr>
    <w:rPr>
      <w:rFonts w:ascii="Calibri" w:hAnsi="Calibri" w:eastAsia="Calibri" w:cs="Calibri"/>
      <w:b/>
      <w:bCs/>
      <w:color w:val="1D4E5F"/>
      <w:sz w:val="30"/>
      <w:szCs w:val="30"/>
    </w:rPr>
  </w:style>
  <w:style w:type="paragraph" w:styleId="Heading2">
    <w:name w:val="heading 2"/>
    <w:basedOn w:val="Heading"/>
    <w:next w:val="BodyText"/>
    <w:qFormat/>
    <w:pPr>
      <w:spacing w:before="200" w:after="80"/>
      <w:outlineLvl w:val="1"/>
    </w:pPr>
    <w:rPr>
      <w:rFonts w:ascii="Calibri" w:hAnsi="Calibri" w:eastAsia="Calibri" w:cs="Calibri"/>
      <w:b/>
      <w:bCs/>
      <w:color w:val="1D4E5F"/>
      <w:sz w:val="24"/>
      <w:szCs w:val="24"/>
    </w:rPr>
  </w:style>
  <w:style w:type="paragraph" w:styleId="Heading3">
    <w:name w:val="heading 3"/>
    <w:basedOn w:val="Heading"/>
    <w:next w:val="BodyText"/>
    <w:qFormat/>
    <w:pPr>
      <w:spacing w:before="160" w:after="60"/>
      <w:outlineLvl w:val="2"/>
    </w:pPr>
    <w:rPr>
      <w:rFonts w:ascii="Calibri" w:hAnsi="Calibri" w:eastAsia="Calibri" w:cs="Calibri"/>
      <w:b/>
      <w:bCs/>
      <w:color w:val="000000"/>
      <w:sz w:val="21"/>
      <w:szCs w:val="21"/>
    </w:rPr>
  </w:style>
  <w:style w:type="paragraph" w:styleId="Heading">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pPr>
      <w:spacing w:lineRule="auto" w:line="300" w:before="0" w:after="12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HeaderandFooter">
    <w:name w:val="Header and Footer"/>
    <w:basedOn w:val="Normal"/>
    <w:qFormat/>
    <w:pPr>
      <w:suppressLineNumbers/>
      <w:tabs>
        <w:tab w:val="clear" w:pos="709"/>
        <w:tab w:val="center" w:pos="4986" w:leader="none"/>
        <w:tab w:val="right" w:pos="9972" w:leader="none"/>
      </w:tabs>
    </w:pPr>
    <w:rPr/>
  </w:style>
  <w:style w:type="paragraph" w:styleId="Footer">
    <w:name w:val="footer"/>
    <w:basedOn w:val="HeaderandFooter"/>
    <w:pPr>
      <w:suppressLineNumbers/>
    </w:pPr>
    <w:rPr/>
  </w:style>
  <w:style w:type="paragraph" w:styleId="BodyTextfoot">
    <w:name w:val="Body Text.foot"/>
    <w:basedOn w:val="BodyText"/>
    <w:qFormat/>
    <w:pPr>
      <w:pBdr>
        <w:top w:val="single" w:sz="4" w:space="3" w:color="999999"/>
      </w:pBdr>
      <w:spacing w:before="2" w:after="2"/>
      <w:jc w:val="center"/>
    </w:pPr>
    <w:rPr>
      <w:rFonts w:ascii="Times New Roman" w:hAnsi="Times New Roman" w:eastAsia="Times New Roman" w:cs="Times New Roman"/>
      <w:color w:val="444444"/>
      <w:sz w:val="17"/>
      <w:szCs w:val="17"/>
    </w:rPr>
  </w:style>
  <w:style w:type="paragraph" w:styleId="BodyTextdraftmark">
    <w:name w:val="Body Text.draftmark"/>
    <w:basedOn w:val="BodyText"/>
    <w:qFormat/>
    <w:pPr>
      <w:spacing w:before="2" w:after="160"/>
      <w:jc w:val="right"/>
    </w:pPr>
    <w:rPr>
      <w:rFonts w:ascii="Times New Roman" w:hAnsi="Times New Roman" w:eastAsia="Times New Roman" w:cs="Times New Roman"/>
      <w:b/>
      <w:bCs/>
      <w:color w:val="7A1A1A"/>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BodyTextcourt">
    <w:name w:val="Body Text.court"/>
    <w:basedOn w:val="TableContents"/>
    <w:qFormat/>
    <w:pPr>
      <w:spacing w:before="2" w:after="2"/>
    </w:pPr>
    <w:rPr>
      <w:rFonts w:ascii="Times New Roman" w:hAnsi="Times New Roman" w:eastAsia="Times New Roman" w:cs="Times New Roman"/>
      <w:b/>
      <w:bCs/>
      <w:sz w:val="26"/>
      <w:szCs w:val="26"/>
    </w:rPr>
  </w:style>
  <w:style w:type="paragraph" w:styleId="BodyTextclaimbox">
    <w:name w:val="Body Text.claimbox"/>
    <w:basedOn w:val="TableContents"/>
    <w:qFormat/>
    <w:pPr>
      <w:pBdr>
        <w:top w:val="single" w:sz="8" w:space="4" w:color="000000"/>
        <w:left w:val="single" w:sz="8" w:space="4" w:color="000000"/>
        <w:bottom w:val="single" w:sz="8" w:space="4" w:color="000000"/>
        <w:right w:val="single" w:sz="8" w:space="4" w:color="000000"/>
      </w:pBdr>
      <w:spacing w:before="2" w:after="2"/>
    </w:pPr>
    <w:rPr>
      <w:rFonts w:ascii="Times New Roman" w:hAnsi="Times New Roman" w:eastAsia="Times New Roman" w:cs="Times New Roman"/>
      <w:sz w:val="23"/>
      <w:szCs w:val="23"/>
    </w:rPr>
  </w:style>
  <w:style w:type="paragraph" w:styleId="BodyTextbetween">
    <w:name w:val="Body Text.between"/>
    <w:basedOn w:val="BodyText"/>
    <w:qFormat/>
    <w:pPr>
      <w:spacing w:before="200" w:after="120"/>
    </w:pPr>
    <w:rPr>
      <w:rFonts w:ascii="Times New Roman" w:hAnsi="Times New Roman" w:eastAsia="Times New Roman" w:cs="Times New Roman"/>
      <w:sz w:val="22"/>
      <w:szCs w:val="22"/>
    </w:rPr>
  </w:style>
  <w:style w:type="paragraph" w:styleId="BodyTextparty">
    <w:name w:val="Body Text.party"/>
    <w:basedOn w:val="TableContents"/>
    <w:qFormat/>
    <w:pPr>
      <w:spacing w:before="2" w:after="2"/>
    </w:pPr>
    <w:rPr>
      <w:rFonts w:ascii="Times New Roman" w:hAnsi="Times New Roman" w:eastAsia="Times New Roman" w:cs="Times New Roman"/>
      <w:b/>
      <w:bCs/>
      <w:sz w:val="24"/>
      <w:szCs w:val="24"/>
    </w:rPr>
  </w:style>
  <w:style w:type="paragraph" w:styleId="BodyTextrole">
    <w:name w:val="Body Text.role"/>
    <w:basedOn w:val="TableContents"/>
    <w:qFormat/>
    <w:pPr>
      <w:spacing w:before="2" w:after="2"/>
      <w:jc w:val="right"/>
    </w:pPr>
    <w:rPr>
      <w:rFonts w:ascii="Times New Roman" w:hAnsi="Times New Roman" w:eastAsia="Times New Roman" w:cs="Times New Roman"/>
      <w:sz w:val="24"/>
      <w:szCs w:val="24"/>
    </w:rPr>
  </w:style>
  <w:style w:type="paragraph" w:styleId="BodyTextand">
    <w:name w:val="Body Text.and"/>
    <w:basedOn w:val="BodyText"/>
    <w:qFormat/>
    <w:pPr>
      <w:spacing w:before="80" w:after="80"/>
      <w:jc w:val="center"/>
    </w:pPr>
    <w:rPr>
      <w:rFonts w:ascii="Times New Roman" w:hAnsi="Times New Roman" w:eastAsia="Times New Roman" w:cs="Times New Roman"/>
      <w:sz w:val="22"/>
      <w:szCs w:val="22"/>
    </w:rPr>
  </w:style>
  <w:style w:type="paragraph" w:styleId="BodyTexttitle">
    <w:name w:val="Body Text.title"/>
    <w:basedOn w:val="BodyText"/>
    <w:qFormat/>
    <w:pPr>
      <w:pBdr>
        <w:top w:val="single" w:sz="8" w:space="4" w:color="000000"/>
      </w:pBdr>
      <w:spacing w:before="280" w:after="80"/>
      <w:jc w:val="center"/>
    </w:pPr>
    <w:rPr>
      <w:rFonts w:ascii="Times New Roman" w:hAnsi="Times New Roman" w:eastAsia="Times New Roman" w:cs="Times New Roman"/>
      <w:b/>
      <w:bCs/>
      <w:sz w:val="30"/>
      <w:szCs w:val="30"/>
    </w:rPr>
  </w:style>
  <w:style w:type="paragraph" w:styleId="BodyTextpch">
    <w:name w:val="Body Text.pch"/>
    <w:basedOn w:val="BodyText"/>
    <w:qFormat/>
    <w:pPr>
      <w:spacing w:before="200" w:after="80"/>
    </w:pPr>
    <w:rPr>
      <w:rFonts w:ascii="Times New Roman" w:hAnsi="Times New Roman" w:eastAsia="Times New Roman" w:cs="Times New Roman"/>
      <w:b/>
      <w:bCs/>
      <w:smallCaps/>
      <w:sz w:val="22"/>
      <w:szCs w:val="22"/>
    </w:rPr>
  </w:style>
  <w:style w:type="paragraph" w:styleId="BodyTextpc">
    <w:name w:val="Body Text.pc"/>
    <w:basedOn w:val="BodyText"/>
    <w:qFormat/>
    <w:pPr>
      <w:ind w:hanging="510" w:left="510"/>
      <w:jc w:val="both"/>
    </w:pPr>
    <w:rPr/>
  </w:style>
  <w:style w:type="paragraph" w:styleId="BodyTextpcnote">
    <w:name w:val="Body Text.pcnote"/>
    <w:basedOn w:val="BodyText"/>
    <w:qFormat/>
    <w:pPr>
      <w:ind w:left="510"/>
    </w:pPr>
    <w:rPr>
      <w:i/>
      <w:iCs/>
      <w:color w:val="7A1A1A"/>
      <w:sz w:val="20"/>
      <w:szCs w:val="20"/>
    </w:rPr>
  </w:style>
  <w:style w:type="paragraph" w:styleId="BodyTextpc0">
    <w:name w:val="Body Text.pc0"/>
    <w:basedOn w:val="BodyText"/>
    <w:qFormat/>
    <w:pPr>
      <w:ind w:left="0"/>
    </w:pPr>
    <w:rPr/>
  </w:style>
  <w:style w:type="paragraph" w:styleId="BodyTextsigline">
    <w:name w:val="Body Text.sigline"/>
    <w:basedOn w:val="BodyText"/>
    <w:qFormat/>
    <w:pPr>
      <w:spacing w:before="2" w:after="80"/>
    </w:pPr>
    <w:rPr/>
  </w:style>
  <w:style w:type="paragraph" w:styleId="BodyTextsm1">
    <w:name w:val="Body Text.sm1"/>
    <w:basedOn w:val="BodyText"/>
    <w:qFormat/>
    <w:pPr>
      <w:spacing w:lineRule="auto" w:line="288" w:before="280" w:after="60"/>
    </w:pPr>
    <w:rPr>
      <w:sz w:val="21"/>
      <w:szCs w:val="21"/>
    </w:rPr>
  </w:style>
  <w:style w:type="paragraph" w:styleId="BodyTextsm">
    <w:name w:val="Body Text.sm"/>
    <w:basedOn w:val="BodyText"/>
    <w:qFormat/>
    <w:pPr>
      <w:spacing w:lineRule="auto" w:line="288" w:before="2" w:after="60"/>
    </w:pPr>
    <w:rPr>
      <w:sz w:val="21"/>
      <w:szCs w:val="21"/>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LibreOffice/26.2.6.3$Linux_AARCH64 LibreOffice_project/620$Build-3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2026-10-20T10:40:00Z</dcterms:created>
  <dc:creator>Priya Nair</dc:creator>
  <dc:description/>
  <cp:keywords>particulars of claim demurrage Saltmarsh Shipping Ltd Kingsholm Tonnage Ltd</cp:keywords>
  <dc:language>en-US</dc:language>
  <cp:lastModifiedBy>Priya Nair</cp:lastModifiedBy>
  <dcterms:modified xsi:type="dcterms:W3CDTF">2026-10-20T15:45:00Z</dcterms:modified>
  <cp:revision>0</cp:revision>
  <dc:subject/>
  <dc:title>Particulars of Claim – Draft</dc:title>
</cp:coreProperties>
</file>

<file path=docProps/custom.xml><?xml version="1.0" encoding="utf-8"?>
<Properties xmlns="http://schemas.openxmlformats.org/officeDocument/2006/custom-properties" xmlns:vt="http://schemas.openxmlformats.org/officeDocument/2006/docPropsVTypes"/>
</file>