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tribunal"/>
        <w:bidi w:val="0"/>
        <w:spacing w:before="2" w:after="40"/>
        <w:jc w:val="left"/>
        <w:rPr/>
      </w:pPr>
      <w:r>
        <w:rPr/>
        <w:t>IN THE EMPLOYMENT TRIBUNAL</w:t>
      </w:r>
    </w:p>
    <w:p>
      <w:pPr>
        <w:pStyle w:val="BodyTextcaseno"/>
        <w:bidi w:val="0"/>
        <w:jc w:val="left"/>
        <w:rPr/>
      </w:pPr>
      <w:r>
        <w:rPr/>
        <w:t>Case No. 9900417/2026</w:t>
      </w:r>
    </w:p>
    <w:p>
      <w:pPr>
        <w:pStyle w:val="BodyTextbetween"/>
        <w:bidi w:val="0"/>
        <w:jc w:val="left"/>
        <w:rPr/>
      </w:pPr>
      <w:r>
        <w:rPr/>
        <w:t>BETWEEN</w:t>
      </w:r>
    </w:p>
    <w:tbl>
      <w:tblPr>
        <w:tblW w:w="5000" w:type="pct"/>
        <w:jc w:val="left"/>
        <w:tblInd w:w="0" w:type="dxa"/>
        <w:tblLayout w:type="fixed"/>
        <w:tblCellMar>
          <w:top w:w="0" w:type="dxa"/>
          <w:left w:w="0" w:type="dxa"/>
          <w:bottom w:w="0" w:type="dxa"/>
          <w:right w:w="0" w:type="dxa"/>
        </w:tblCellMar>
      </w:tblPr>
      <w:tblGrid>
        <w:gridCol w:w="6588"/>
        <w:gridCol w:w="2823"/>
      </w:tblGrid>
      <w:tr>
        <w:trPr/>
        <w:tc>
          <w:tcPr>
            <w:tcW w:w="6588" w:type="dxa"/>
            <w:tcBorders/>
            <w:vAlign w:val="center"/>
          </w:tcPr>
          <w:p>
            <w:pPr>
              <w:pStyle w:val="BodyTextparty"/>
              <w:bidi w:val="0"/>
              <w:spacing w:before="2" w:after="2"/>
              <w:jc w:val="left"/>
              <w:rPr/>
            </w:pPr>
            <w:r>
              <w:rPr/>
              <w:t>MR K STOTT</w:t>
            </w:r>
          </w:p>
        </w:tc>
        <w:tc>
          <w:tcPr>
            <w:tcW w:w="2823" w:type="dxa"/>
            <w:tcBorders/>
            <w:vAlign w:val="center"/>
          </w:tcPr>
          <w:p>
            <w:pPr>
              <w:pStyle w:val="BodyTextrole"/>
              <w:bidi w:val="0"/>
              <w:spacing w:before="2" w:after="2"/>
              <w:jc w:val="right"/>
              <w:rPr/>
            </w:pPr>
            <w:r>
              <w:rPr/>
              <w:t>Claimant</w:t>
            </w:r>
          </w:p>
        </w:tc>
      </w:tr>
    </w:tbl>
    <w:p>
      <w:pPr>
        <w:pStyle w:val="BodyTextand"/>
        <w:bidi w:val="0"/>
        <w:rPr/>
      </w:pPr>
      <w:r>
        <w:rPr/>
        <w:t xml:space="preserve">– </w:t>
      </w:r>
      <w:r>
        <w:rPr/>
        <w:t>and –</w:t>
      </w:r>
    </w:p>
    <w:tbl>
      <w:tblPr>
        <w:tblW w:w="5000" w:type="pct"/>
        <w:jc w:val="left"/>
        <w:tblInd w:w="0" w:type="dxa"/>
        <w:tblLayout w:type="fixed"/>
        <w:tblCellMar>
          <w:top w:w="0" w:type="dxa"/>
          <w:left w:w="0" w:type="dxa"/>
          <w:bottom w:w="0" w:type="dxa"/>
          <w:right w:w="0" w:type="dxa"/>
        </w:tblCellMar>
      </w:tblPr>
      <w:tblGrid>
        <w:gridCol w:w="6589"/>
        <w:gridCol w:w="2822"/>
      </w:tblGrid>
      <w:tr>
        <w:trPr/>
        <w:tc>
          <w:tcPr>
            <w:tcW w:w="6589" w:type="dxa"/>
            <w:tcBorders/>
            <w:vAlign w:val="center"/>
          </w:tcPr>
          <w:p>
            <w:pPr>
              <w:pStyle w:val="BodyTextparty"/>
              <w:bidi w:val="0"/>
              <w:spacing w:before="2" w:after="2"/>
              <w:jc w:val="left"/>
              <w:rPr/>
            </w:pPr>
            <w:r>
              <w:rPr/>
              <w:t>BRIGHTWELL BAKERIES LIMITED</w:t>
            </w:r>
          </w:p>
        </w:tc>
        <w:tc>
          <w:tcPr>
            <w:tcW w:w="2822" w:type="dxa"/>
            <w:tcBorders/>
            <w:vAlign w:val="center"/>
          </w:tcPr>
          <w:p>
            <w:pPr>
              <w:pStyle w:val="BodyTextrole"/>
              <w:bidi w:val="0"/>
              <w:spacing w:before="2" w:after="2"/>
              <w:jc w:val="right"/>
              <w:rPr/>
            </w:pPr>
            <w:r>
              <w:rPr/>
              <w:t>Respondent</w:t>
            </w:r>
          </w:p>
        </w:tc>
      </w:tr>
    </w:tbl>
    <w:p>
      <w:pPr>
        <w:pStyle w:val="BodyTexttitle"/>
        <w:bidi w:val="0"/>
        <w:rPr/>
      </w:pPr>
      <w:r>
        <w:rPr/>
        <w:t>RESPONDENT’S GROUNDS OF RESISTANCE</w:t>
      </w:r>
    </w:p>
    <w:p>
      <w:pPr>
        <w:pStyle w:val="BodyTextpch"/>
        <w:bidi w:val="0"/>
        <w:jc w:val="left"/>
        <w:rPr/>
      </w:pPr>
      <w:r>
        <w:rPr/>
        <w:t>The parties</w:t>
      </w:r>
    </w:p>
    <w:p>
      <w:pPr>
        <w:pStyle w:val="BodyTextpc"/>
        <w:bidi w:val="0"/>
        <w:rPr/>
      </w:pPr>
      <w:r>
        <w:rPr/>
        <w:t>1.    The respondent, Brightwell Bakeries Limited, is a bakery with its registered office at The Old Bakehouse, Church Lane, Marlbridge WX3 5PA. It delivers bread and cakes to shops and cafes in and around Marlbridge from its own vans.</w:t>
      </w:r>
    </w:p>
    <w:p>
      <w:pPr>
        <w:pStyle w:val="BodyTextpc"/>
        <w:bidi w:val="0"/>
        <w:rPr/>
      </w:pPr>
      <w:r>
        <w:rPr/>
        <w:t>2.    The claimant, Mr Kieran Stott, worked for the respondent as a delivery driver from 3 April 2019 until his dismissal on 12 June 2026. He claims that he was unfairly dismissed. The respondent resists the claim.</w:t>
      </w:r>
    </w:p>
    <w:p>
      <w:pPr>
        <w:pStyle w:val="BodyTextpch"/>
        <w:bidi w:val="0"/>
        <w:jc w:val="left"/>
        <w:rPr/>
      </w:pPr>
      <w:r>
        <w:rPr/>
        <w:t>The vehicle-check rule</w:t>
      </w:r>
    </w:p>
    <w:p>
      <w:pPr>
        <w:pStyle w:val="BodyTextpc"/>
        <w:bidi w:val="0"/>
        <w:rPr/>
      </w:pPr>
      <w:r>
        <w:rPr/>
        <w:t>3.    Every driver must check his van before the first journey of each day. The check covers the tyres, lights, brakes, mirrors, fluid levels, the load area and the door locks, and the driver records it on a check sheet that he signs.</w:t>
      </w:r>
    </w:p>
    <w:p>
      <w:pPr>
        <w:pStyle w:val="BodyTextpc"/>
        <w:bidi w:val="0"/>
        <w:rPr/>
      </w:pPr>
      <w:r>
        <w:rPr/>
        <w:t>4.    The rule matters because the vans carry food on public roads from the early hours. A fault that goes unnoticed can hurt the driver or other road users, and the respondent’s insurance depends on the checks being made and recorded. The claimant knew the rule. He was trained on it when he started and he signed for the drivers’ handbook that sets it out.</w:t>
      </w:r>
    </w:p>
    <w:p>
      <w:pPr>
        <w:pStyle w:val="BodyTextpch"/>
        <w:bidi w:val="0"/>
        <w:jc w:val="left"/>
        <w:rPr/>
      </w:pPr>
      <w:r>
        <w:rPr/>
        <w:t>The warnings</w:t>
      </w:r>
    </w:p>
    <w:p>
      <w:pPr>
        <w:pStyle w:val="BodyTextpc"/>
        <w:bidi w:val="0"/>
        <w:rPr/>
      </w:pPr>
      <w:r>
        <w:rPr/>
        <w:t>5.    On 14 January 2026 the claimant was given a first written warning for failing to complete the daily check on several days in December 2025. He did not appeal.</w:t>
      </w:r>
    </w:p>
    <w:p>
      <w:pPr>
        <w:pStyle w:val="BodyTextpc"/>
        <w:bidi w:val="0"/>
        <w:rPr/>
      </w:pPr>
      <w:r>
        <w:rPr/>
        <w:t>6.    On 20 April 2026 he was given a final written warning for failing to complete the daily check on several days in March and April 2026. The warning said that a further failure could lead to his dismissal. He did not appeal, and the warning was live for twelve months.</w:t>
      </w:r>
    </w:p>
    <w:p>
      <w:pPr>
        <w:pStyle w:val="BodyTextpch"/>
        <w:bidi w:val="0"/>
        <w:jc w:val="left"/>
        <w:rPr/>
      </w:pPr>
      <w:r>
        <w:rPr/>
        <w:t>The failure on 2 June 2026</w:t>
      </w:r>
    </w:p>
    <w:p>
      <w:pPr>
        <w:pStyle w:val="BodyTextpc"/>
        <w:bidi w:val="0"/>
        <w:rPr/>
      </w:pPr>
      <w:r>
        <w:rPr/>
        <w:t>7.    On 2 June 2026 the transport manager, Mr Alan Brewer, found that there was no check sheet for the claimant’s van and that the van had left the yard before any check could have been made. The claimant had skipped the check again.</w:t>
      </w:r>
    </w:p>
    <w:p>
      <w:pPr>
        <w:pStyle w:val="BodyTextpch"/>
        <w:bidi w:val="0"/>
        <w:jc w:val="left"/>
        <w:rPr/>
      </w:pPr>
      <w:r>
        <w:rPr/>
        <w:t>The investigation, the hearing and the appeal</w:t>
      </w:r>
    </w:p>
    <w:p>
      <w:pPr>
        <w:pStyle w:val="BodyTextpc"/>
        <w:bidi w:val="0"/>
        <w:rPr/>
      </w:pPr>
      <w:r>
        <w:rPr/>
        <w:t>8.    Mr Brewer investigated on 2 and 3 June 2026. On 4 June the respondent wrote to the claimant with the allegation, Mr Brewer’s report and the check sheets, and invited him to a disciplinary hearing on 10 June 2026. The letter told him that he could bring a colleague.</w:t>
      </w:r>
    </w:p>
    <w:p>
      <w:pPr>
        <w:pStyle w:val="BodyTextpc"/>
        <w:bidi w:val="0"/>
        <w:rPr/>
      </w:pPr>
      <w:r>
        <w:rPr/>
        <w:t>9.    The hearing took place on 10 June 2026 before Ms Sunita Rao, the respondent’s operations director. The claimant attended with a colleague. He accepted that he had not made the check on 2 June.</w:t>
      </w:r>
    </w:p>
    <w:p>
      <w:pPr>
        <w:pStyle w:val="BodyTextpc"/>
        <w:bidi w:val="0"/>
        <w:rPr/>
      </w:pPr>
      <w:r>
        <w:rPr/>
        <w:t>10.   By letter of 12 June 2026 Ms Rao dismissed the claimant for misconduct, because he had again failed to make the check while the final written warning was live. The respondent paid him seven weeks’ pay in lieu of notice.</w:t>
      </w:r>
    </w:p>
    <w:p>
      <w:pPr>
        <w:pStyle w:val="BodyTextpc"/>
        <w:bidi w:val="0"/>
        <w:rPr/>
      </w:pPr>
      <w:r>
        <w:rPr/>
        <w:t>11.   The claimant appealed on 16 June 2026. Mr Martin Hale, the respondent’s managing director, heard the appeal on 26 June 2026 and dismissed it by letter of 30 June 2026.</w:t>
      </w:r>
    </w:p>
    <w:p>
      <w:pPr>
        <w:pStyle w:val="BodyTextpch"/>
        <w:bidi w:val="0"/>
        <w:jc w:val="left"/>
        <w:rPr/>
      </w:pPr>
      <w:r>
        <w:rPr/>
        <w:t>The respondent’s case</w:t>
      </w:r>
    </w:p>
    <w:p>
      <w:pPr>
        <w:pStyle w:val="BodyTextpc"/>
        <w:bidi w:val="0"/>
        <w:rPr/>
      </w:pPr>
      <w:r>
        <w:rPr/>
        <w:t>12.   The reason for dismissal was the claimant’s conduct, which is a fair reason. The respondent genuinely believed that he had failed to make the check, and it had reasonable grounds for that belief after a reasonable investigation. The claimant admitted the failure.</w:t>
      </w:r>
    </w:p>
    <w:p>
      <w:pPr>
        <w:pStyle w:val="BodyTextpc"/>
        <w:bidi w:val="0"/>
        <w:rPr/>
      </w:pPr>
      <w:r>
        <w:rPr/>
        <w:t>13.   Dismissal was a reasonable response. The claimant had been warned twice about a safety rule that he knew well, and the second warning said that a further failure could lead to dismissal. The respondent followed a fair procedure: the claimant knew the allegation and the evidence, he was heard with a colleague, and he had an appeal.</w:t>
      </w:r>
    </w:p>
    <w:p>
      <w:pPr>
        <w:pStyle w:val="BodyTextpc"/>
        <w:bidi w:val="0"/>
        <w:rPr/>
      </w:pPr>
      <w:r>
        <w:rPr/>
        <w:t>14.   The dismissal was therefore fair. The respondent asks the tribunal to dismiss the claim.</w:t>
      </w:r>
    </w:p>
    <w:p>
      <w:pPr>
        <w:pStyle w:val="BodyTextpch"/>
        <w:bidi w:val="0"/>
        <w:jc w:val="left"/>
        <w:rPr/>
      </w:pPr>
      <w:r>
        <w:rPr/>
        <w:t>Alternatively: any award</w:t>
      </w:r>
    </w:p>
    <w:p>
      <w:pPr>
        <w:pStyle w:val="BodyTextpc"/>
        <w:bidi w:val="0"/>
        <w:rPr/>
      </w:pPr>
      <w:r>
        <w:rPr/>
        <w:t>15.   If the tribunal finds the dismissal unfair, any award should be reduced because the claimant caused his dismissal by his own conduct. The respondent says that the reduction should be substantial.</w:t>
      </w:r>
    </w:p>
    <w:p>
      <w:pPr>
        <w:pStyle w:val="BodyTextpc"/>
        <w:bidi w:val="0"/>
        <w:rPr/>
      </w:pPr>
      <w:r>
        <w:rPr/>
        <w:t>16.   If the dismissal was unfair only because of a fault in the procedure, the claimant would have been dismissed in any event, and any compensation should be reduced to reflect that.</w:t>
      </w:r>
    </w:p>
    <w:p>
      <w:pPr>
        <w:pStyle w:val="BodyTextpc"/>
        <w:bidi w:val="0"/>
        <w:rPr/>
      </w:pPr>
      <w:r>
        <w:rPr/>
        <w:t>17.   The claimant found new work on 1 September 2026. His loss after that date, if any, is limited to the difference between his new pay and his old pay.</w:t>
      </w:r>
    </w:p>
    <w:p>
      <w:pPr>
        <w:pStyle w:val="BodyTextsm1"/>
        <w:bidi w:val="0"/>
        <w:jc w:val="left"/>
        <w:rPr/>
      </w:pPr>
      <w:r>
        <w:rPr/>
        <w:t>Signed for the respondent by its solicitors, Ashcombe Reeve LLP, Ashcombe House, 9 Quay Street, Marlbridge WX1 4AB (ref TR/1002.2/PN)</w:t>
      </w:r>
    </w:p>
    <w:p>
      <w:pPr>
        <w:pStyle w:val="BodyTextsig"/>
        <w:bidi w:val="0"/>
        <w:jc w:val="left"/>
        <w:rPr/>
      </w:pPr>
      <w:r>
        <w:rPr/>
        <w:t>Ashcombe Reeve LLP</w:t>
      </w:r>
    </w:p>
    <w:p>
      <w:pPr>
        <w:pStyle w:val="BodyTextsm"/>
        <w:bidi w:val="0"/>
        <w:spacing w:before="2" w:after="60"/>
        <w:jc w:val="left"/>
        <w:rPr/>
      </w:pPr>
      <w:r>
        <w:rPr/>
        <w:t>9 October 2026</w:t>
      </w:r>
    </w:p>
    <w:sectPr>
      <w:footerReference w:type="default" r:id="rId2"/>
      <w:type w:val="nextPage"/>
      <w:pgSz w:w="11906" w:h="16838"/>
      <w:pgMar w:left="1247" w:right="1247" w:gutter="0" w:header="0" w:top="964" w:footer="964" w:bottom="1211"/>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Calibri">
    <w:charset w:val="01"/>
    <w:family w:val="auto"/>
    <w:pitch w:val="default"/>
  </w:font>
  <w:font w:name="Liberation Sans">
    <w:altName w:val="Arial"/>
    <w:charset w:val="01"/>
    <w:family w:val="swiss"/>
    <w:pitch w:val="variable"/>
  </w:font>
  <w:font w:name="Times New Roman">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foot"/>
      <w:pBdr>
        <w:top w:val="single" w:sz="4" w:space="3" w:color="999999"/>
      </w:pBdr>
      <w:bidi w:val="0"/>
      <w:spacing w:before="2" w:after="2"/>
      <w:jc w:val="center"/>
      <w:rPr/>
    </w:pPr>
    <w:r>
      <w:rPr/>
      <w:t xml:space="preserve">Case No. 9900417/2026 – Mr K Stott v Brightwell Bakeries Limited – Respondent’s grounds of resistance – Page </w:t>
    </w:r>
    <w:r>
      <w:rPr/>
      <w:fldChar w:fldCharType="begin"/>
    </w:r>
    <w:r>
      <w:rPr/>
      <w:instrText xml:space="preserve"> PAGE </w:instrText>
    </w:r>
    <w:r>
      <w:rPr/>
      <w:fldChar w:fldCharType="separate"/>
    </w:r>
    <w:r>
      <w:rPr/>
      <w:t>1</w:t>
    </w:r>
    <w:r>
      <w:rPr/>
      <w:fldChar w:fldCharType="end"/>
    </w:r>
    <w:r>
      <w:rPr/>
      <w:t xml:space="preserve"> of </w:t>
    </w:r>
    <w:r>
      <w:rPr/>
      <w:fldChar w:fldCharType="begin"/>
    </w:r>
    <w:r>
      <w:rPr/>
      <w:instrText xml:space="preserve"> NUMPAGES \* ARABIC </w:instrText>
    </w:r>
    <w:r>
      <w:rPr/>
      <w:fldChar w:fldCharType="separate"/>
    </w:r>
    <w:r>
      <w:rPr/>
      <w:t>2</w:t>
    </w:r>
    <w:r>
      <w:rPr/>
      <w:fldChar w:fldCharType="end"/>
    </w:r>
  </w:p>
</w:ftr>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suppressAutoHyphens w:val="true"/>
      </w:pPr>
    </w:pPrDefault>
  </w:docDefaults>
  <w:style w:type="paragraph" w:styleId="Normal">
    <w:name w:val="Normal"/>
    <w:qFormat/>
    <w:pPr>
      <w:widowControl w:val="false"/>
      <w:bidi w:val="0"/>
    </w:pPr>
    <w:rPr>
      <w:rFonts w:ascii="Arial" w:hAnsi="Arial" w:eastAsia="Arial" w:cs="Arial"/>
      <w:color w:val="000000"/>
      <w:sz w:val="21"/>
      <w:szCs w:val="21"/>
      <w:lang w:val="en-GB" w:eastAsia="zh-CN" w:bidi="hi-IN"/>
    </w:rPr>
  </w:style>
  <w:style w:type="paragraph" w:styleId="Heading1">
    <w:name w:val="heading 1"/>
    <w:basedOn w:val="Heading"/>
    <w:next w:val="BodyText"/>
    <w:qFormat/>
    <w:pPr>
      <w:spacing w:before="240" w:after="120"/>
      <w:outlineLvl w:val="0"/>
    </w:pPr>
    <w:rPr>
      <w:rFonts w:ascii="Calibri" w:hAnsi="Calibri" w:eastAsia="Calibri" w:cs="Calibri"/>
      <w:b/>
      <w:bCs/>
      <w:color w:val="1D4E5F"/>
      <w:sz w:val="30"/>
      <w:szCs w:val="30"/>
    </w:rPr>
  </w:style>
  <w:style w:type="paragraph" w:styleId="Heading2">
    <w:name w:val="heading 2"/>
    <w:basedOn w:val="Heading"/>
    <w:next w:val="BodyText"/>
    <w:qFormat/>
    <w:pPr>
      <w:spacing w:before="200" w:after="80"/>
      <w:outlineLvl w:val="1"/>
    </w:pPr>
    <w:rPr>
      <w:rFonts w:ascii="Calibri" w:hAnsi="Calibri" w:eastAsia="Calibri" w:cs="Calibri"/>
      <w:b/>
      <w:bCs/>
      <w:color w:val="1D4E5F"/>
      <w:sz w:val="24"/>
      <w:szCs w:val="24"/>
    </w:rPr>
  </w:style>
  <w:style w:type="paragraph" w:styleId="Heading3">
    <w:name w:val="heading 3"/>
    <w:basedOn w:val="Heading"/>
    <w:next w:val="BodyText"/>
    <w:qFormat/>
    <w:pPr>
      <w:spacing w:before="160" w:after="60"/>
      <w:outlineLvl w:val="2"/>
    </w:pPr>
    <w:rPr>
      <w:rFonts w:ascii="Calibri" w:hAnsi="Calibri" w:eastAsia="Calibri" w:cs="Calibri"/>
      <w:b/>
      <w:bCs/>
      <w:color w:val="000000"/>
      <w:sz w:val="21"/>
      <w:szCs w:val="21"/>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88" w:before="0" w:after="12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BodyTextfoot">
    <w:name w:val="Body Text.foot"/>
    <w:basedOn w:val="BodyText"/>
    <w:qFormat/>
    <w:pPr>
      <w:pBdr>
        <w:top w:val="single" w:sz="4" w:space="3" w:color="999999"/>
      </w:pBdr>
      <w:spacing w:before="2" w:after="2"/>
      <w:jc w:val="center"/>
    </w:pPr>
    <w:rPr>
      <w:rFonts w:ascii="Arial" w:hAnsi="Arial" w:eastAsia="Arial" w:cs="Arial"/>
      <w:color w:val="444444"/>
      <w:sz w:val="15"/>
      <w:szCs w:val="15"/>
    </w:rPr>
  </w:style>
  <w:style w:type="paragraph" w:styleId="BodyTexttribunal">
    <w:name w:val="Body Text.tribunal"/>
    <w:basedOn w:val="BodyText"/>
    <w:qFormat/>
    <w:pPr>
      <w:spacing w:before="2" w:after="40"/>
    </w:pPr>
    <w:rPr>
      <w:rFonts w:ascii="Arial" w:hAnsi="Arial" w:eastAsia="Arial" w:cs="Arial"/>
      <w:b/>
      <w:bCs/>
      <w:sz w:val="26"/>
      <w:szCs w:val="26"/>
    </w:rPr>
  </w:style>
  <w:style w:type="paragraph" w:styleId="BodyTextcaseno">
    <w:name w:val="Body Text.caseno"/>
    <w:basedOn w:val="BodyText"/>
    <w:qFormat/>
    <w:pPr>
      <w:spacing w:before="2" w:after="160"/>
    </w:pPr>
    <w:rPr>
      <w:rFonts w:ascii="Arial" w:hAnsi="Arial" w:eastAsia="Arial" w:cs="Arial"/>
      <w:sz w:val="22"/>
      <w:szCs w:val="22"/>
    </w:rPr>
  </w:style>
  <w:style w:type="paragraph" w:styleId="BodyTextbetween">
    <w:name w:val="Body Text.between"/>
    <w:basedOn w:val="BodyText"/>
    <w:qFormat/>
    <w:pPr>
      <w:spacing w:before="160" w:after="100"/>
    </w:pPr>
    <w:rPr>
      <w:rFonts w:ascii="Arial" w:hAnsi="Arial" w:eastAsia="Arial" w:cs="Arial"/>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odyTextparty">
    <w:name w:val="Body Text.party"/>
    <w:basedOn w:val="TableContents"/>
    <w:qFormat/>
    <w:pPr>
      <w:spacing w:before="2" w:after="2"/>
    </w:pPr>
    <w:rPr>
      <w:rFonts w:ascii="Arial" w:hAnsi="Arial" w:eastAsia="Arial" w:cs="Arial"/>
      <w:b/>
      <w:bCs/>
      <w:sz w:val="22"/>
      <w:szCs w:val="22"/>
    </w:rPr>
  </w:style>
  <w:style w:type="paragraph" w:styleId="BodyTextrole">
    <w:name w:val="Body Text.role"/>
    <w:basedOn w:val="TableContents"/>
    <w:qFormat/>
    <w:pPr>
      <w:spacing w:before="2" w:after="2"/>
      <w:jc w:val="right"/>
    </w:pPr>
    <w:rPr>
      <w:rFonts w:ascii="Arial" w:hAnsi="Arial" w:eastAsia="Arial" w:cs="Arial"/>
      <w:sz w:val="22"/>
      <w:szCs w:val="22"/>
    </w:rPr>
  </w:style>
  <w:style w:type="paragraph" w:styleId="BodyTextand">
    <w:name w:val="Body Text.and"/>
    <w:basedOn w:val="BodyText"/>
    <w:qFormat/>
    <w:pPr>
      <w:spacing w:before="60" w:after="60"/>
      <w:jc w:val="center"/>
    </w:pPr>
    <w:rPr>
      <w:rFonts w:ascii="Arial" w:hAnsi="Arial" w:eastAsia="Arial" w:cs="Arial"/>
      <w:sz w:val="20"/>
      <w:szCs w:val="20"/>
    </w:rPr>
  </w:style>
  <w:style w:type="paragraph" w:styleId="BodyTexttitle">
    <w:name w:val="Body Text.title"/>
    <w:basedOn w:val="BodyText"/>
    <w:qFormat/>
    <w:pPr>
      <w:pBdr>
        <w:top w:val="single" w:sz="8" w:space="4" w:color="000000"/>
      </w:pBdr>
      <w:spacing w:before="240" w:after="80"/>
      <w:jc w:val="center"/>
    </w:pPr>
    <w:rPr>
      <w:rFonts w:ascii="Arial" w:hAnsi="Arial" w:eastAsia="Arial" w:cs="Arial"/>
      <w:b/>
      <w:bCs/>
      <w:sz w:val="28"/>
      <w:szCs w:val="28"/>
    </w:rPr>
  </w:style>
  <w:style w:type="paragraph" w:styleId="BodyTextpch">
    <w:name w:val="Body Text.pch"/>
    <w:basedOn w:val="BodyText"/>
    <w:qFormat/>
    <w:pPr>
      <w:spacing w:before="160" w:after="60"/>
    </w:pPr>
    <w:rPr>
      <w:rFonts w:ascii="Arial" w:hAnsi="Arial" w:eastAsia="Arial" w:cs="Arial"/>
      <w:b/>
      <w:bCs/>
      <w:sz w:val="21"/>
      <w:szCs w:val="21"/>
    </w:rPr>
  </w:style>
  <w:style w:type="paragraph" w:styleId="BodyTextpc">
    <w:name w:val="Body Text.pc"/>
    <w:basedOn w:val="BodyText"/>
    <w:qFormat/>
    <w:pPr>
      <w:ind w:hanging="510" w:left="510"/>
      <w:jc w:val="both"/>
    </w:pPr>
    <w:rPr/>
  </w:style>
  <w:style w:type="paragraph" w:styleId="BodyTextsm1">
    <w:name w:val="Body Text.sm1"/>
    <w:basedOn w:val="BodyText"/>
    <w:qFormat/>
    <w:pPr>
      <w:spacing w:lineRule="auto" w:line="288" w:before="240" w:after="60"/>
    </w:pPr>
    <w:rPr>
      <w:sz w:val="20"/>
      <w:szCs w:val="20"/>
    </w:rPr>
  </w:style>
  <w:style w:type="paragraph" w:styleId="BodyTextsig">
    <w:name w:val="Body Text.sig"/>
    <w:basedOn w:val="BodyText"/>
    <w:qFormat/>
    <w:pPr>
      <w:spacing w:before="160" w:after="60"/>
    </w:pPr>
    <w:rPr>
      <w:rFonts w:ascii="Times New Roman" w:hAnsi="Times New Roman" w:eastAsia="Times New Roman" w:cs="Times New Roman"/>
      <w:i/>
      <w:iCs/>
      <w:sz w:val="30"/>
      <w:szCs w:val="30"/>
    </w:rPr>
  </w:style>
  <w:style w:type="paragraph" w:styleId="BodyTextsm">
    <w:name w:val="Body Text.sm"/>
    <w:basedOn w:val="BodyText"/>
    <w:qFormat/>
    <w:pPr>
      <w:spacing w:lineRule="auto" w:line="288" w:before="2" w:after="6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LibreOffice/26.2.6.3$Linux_AARCH64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2026-10-06T10:15:00Z</dcterms:created>
  <dc:creator>Priya Nair</dc:creator>
  <dc:description/>
  <cp:keywords>grounds of resistance unfair dismissal Employment Tribunal</cp:keywords>
  <dc:language>en-US</dc:language>
  <cp:lastModifiedBy>Tom Reeve</cp:lastModifiedBy>
  <dcterms:modified xsi:type="dcterms:W3CDTF">2026-10-09T10:20:00Z</dcterms:modified>
  <cp:revision>0</cp:revision>
  <dc:subject/>
  <dc:title>Grounds of Resistance</dc:title>
</cp:coreProperties>
</file>

<file path=docProps/custom.xml><?xml version="1.0" encoding="utf-8"?>
<Properties xmlns="http://schemas.openxmlformats.org/officeDocument/2006/custom-properties" xmlns:vt="http://schemas.openxmlformats.org/officeDocument/2006/docPropsVTypes"/>
</file>