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94"/>
        <w:gridCol w:w="4517"/>
      </w:tblGrid>
      <w:tr>
        <w:trPr/>
        <w:tc>
          <w:tcPr>
            <w:tcW w:w="4894" w:type="dxa"/>
            <w:tcBorders/>
            <w:vAlign w:val="bottom"/>
          </w:tcPr>
          <w:p>
            <w:pPr>
              <w:pStyle w:val="BodyTexthl-name"/>
              <w:bidi w:val="0"/>
              <w:spacing w:lineRule="auto" w:line="240" w:before="2" w:after="2"/>
              <w:jc w:val="left"/>
              <w:rPr/>
            </w:pPr>
            <w:r>
              <w:rPr/>
              <w:t>Harrow &amp; Lund</w:t>
            </w:r>
          </w:p>
          <w:p>
            <w:pPr>
              <w:pStyle w:val="BodyTexthl-sub"/>
              <w:bidi w:val="0"/>
              <w:spacing w:before="2" w:after="2"/>
              <w:jc w:val="left"/>
              <w:rPr/>
            </w:pPr>
            <w:r>
              <w:rPr/>
              <w:t>Commercial Agents  |  Property management and lettings</w:t>
            </w:r>
          </w:p>
        </w:tc>
        <w:tc>
          <w:tcPr>
            <w:tcW w:w="4517" w:type="dxa"/>
            <w:tcBorders/>
            <w:vAlign w:val="bottom"/>
          </w:tcPr>
          <w:p>
            <w:pPr>
              <w:pStyle w:val="BodyTexthl-details"/>
              <w:bidi w:val="0"/>
              <w:spacing w:lineRule="auto" w:line="300" w:before="2" w:after="2"/>
              <w:jc w:val="right"/>
              <w:rPr/>
            </w:pPr>
            <w:r>
              <w:rPr/>
              <w:t>Telephone 01632 960340</w:t>
              <w:br/>
              <w:t>fiona.lund@harrow-lund.example</w:t>
            </w:r>
          </w:p>
        </w:tc>
      </w:tr>
    </w:tbl>
    <w:p>
      <w:pPr>
        <w:pStyle w:val="BodyTexthl-rule"/>
        <w:bidi w:val="0"/>
        <w:jc w:val="left"/>
        <w:rPr/>
      </w:pPr>
      <w:r>
        <w:rPr/>
        <w:t> </w:t>
      </w:r>
    </w:p>
    <w:p>
      <w:pPr>
        <w:pStyle w:val="BodyTexthl-title"/>
        <w:bidi w:val="0"/>
        <w:jc w:val="left"/>
        <w:rPr/>
      </w:pPr>
      <w:r>
        <w:rPr/>
        <w:t>Heads of Terms</w:t>
      </w:r>
    </w:p>
    <w:p>
      <w:pPr>
        <w:pStyle w:val="BodyTexthl-sub2"/>
        <w:bidi w:val="0"/>
        <w:jc w:val="left"/>
        <w:rPr/>
      </w:pPr>
      <w:r>
        <w:rPr/>
        <w:t>Letting of Unit 4, Weir Lane Trading Estate, Marlbridge WX2 6DN – 2 September 2026</w:t>
      </w:r>
    </w:p>
    <w:p>
      <w:pPr>
        <w:pStyle w:val="BodyTexthl-stc"/>
        <w:bidi w:val="0"/>
        <w:jc w:val="left"/>
        <w:rPr/>
      </w:pPr>
      <w:r>
        <w:rPr/>
        <w:t>Subject to contract</w:t>
      </w:r>
    </w:p>
    <w:tbl>
      <w:tblPr>
        <w:tblW w:w="5000" w:type="pct"/>
        <w:jc w:val="left"/>
        <w:tblInd w:w="75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351"/>
        <w:gridCol w:w="7060"/>
      </w:tblGrid>
      <w:tr>
        <w:trPr/>
        <w:tc>
          <w:tcPr>
            <w:tcW w:w="2351" w:type="dxa"/>
            <w:tcBorders>
              <w:top w:val="single" w:sz="6" w:space="0" w:color="999999"/>
              <w:left w:val="single" w:sz="6" w:space="0" w:color="999999"/>
              <w:bottom w:val="single" w:sz="2" w:space="0" w:color="999999"/>
              <w:right w:val="single" w:sz="6" w:space="0" w:color="999999"/>
            </w:tcBorders>
            <w:shd w:fill="EAF1EC" w:val="clear"/>
          </w:tcPr>
          <w:p>
            <w:pPr>
              <w:pStyle w:val="BodyTextcell"/>
              <w:bidi w:val="0"/>
              <w:spacing w:before="40" w:after="40"/>
              <w:jc w:val="left"/>
              <w:rPr>
                <w:b/>
              </w:rPr>
            </w:pPr>
            <w:r>
              <w:rPr>
                <w:b/>
              </w:rPr>
              <w:t>Landlord</w:t>
            </w:r>
          </w:p>
        </w:tc>
        <w:tc>
          <w:tcPr>
            <w:tcW w:w="7060" w:type="dxa"/>
            <w:tcBorders>
              <w:top w:val="single" w:sz="6" w:space="0" w:color="999999"/>
              <w:left w:val="single" w:sz="2" w:space="0" w:color="999999"/>
              <w:bottom w:val="single" w:sz="2" w:space="0" w:color="999999"/>
              <w:right w:val="single" w:sz="6" w:space="0" w:color="999999"/>
            </w:tcBorders>
          </w:tcPr>
          <w:p>
            <w:pPr>
              <w:pStyle w:val="BodyTextcell"/>
              <w:bidi w:val="0"/>
              <w:spacing w:lineRule="auto" w:line="283" w:before="40" w:after="40"/>
              <w:jc w:val="left"/>
              <w:rPr/>
            </w:pPr>
            <w:r>
              <w:rPr/>
              <w:t>Penwick Property Limited, 3 Millrace Court, Marlbridge WX1 2JT</w:t>
            </w:r>
          </w:p>
        </w:tc>
      </w:tr>
      <w:tr>
        <w:trPr/>
        <w:tc>
          <w:tcPr>
            <w:tcW w:w="2351" w:type="dxa"/>
            <w:tcBorders>
              <w:left w:val="single" w:sz="6" w:space="0" w:color="999999"/>
              <w:bottom w:val="single" w:sz="2" w:space="0" w:color="999999"/>
              <w:right w:val="single" w:sz="6" w:space="0" w:color="999999"/>
            </w:tcBorders>
            <w:shd w:fill="EAF1EC" w:val="clear"/>
          </w:tcPr>
          <w:p>
            <w:pPr>
              <w:pStyle w:val="BodyTextcell"/>
              <w:bidi w:val="0"/>
              <w:spacing w:before="40" w:after="40"/>
              <w:jc w:val="left"/>
              <w:rPr>
                <w:b/>
              </w:rPr>
            </w:pPr>
            <w:r>
              <w:rPr>
                <w:b/>
              </w:rPr>
              <w:t>Tenant</w:t>
            </w:r>
          </w:p>
        </w:tc>
        <w:tc>
          <w:tcPr>
            <w:tcW w:w="7060" w:type="dxa"/>
            <w:tcBorders>
              <w:left w:val="single" w:sz="2" w:space="0" w:color="999999"/>
              <w:bottom w:val="single" w:sz="2" w:space="0" w:color="999999"/>
              <w:right w:val="single" w:sz="6" w:space="0" w:color="999999"/>
            </w:tcBorders>
          </w:tcPr>
          <w:p>
            <w:pPr>
              <w:pStyle w:val="BodyTextcell"/>
              <w:bidi w:val="0"/>
              <w:spacing w:lineRule="auto" w:line="283" w:before="40" w:after="40"/>
              <w:jc w:val="left"/>
              <w:rPr/>
            </w:pPr>
            <w:r>
              <w:rPr/>
              <w:t>Brightwell Bakeries Limited, The Old Bakehouse, Church Lane, Marlbridge WX3 5PA</w:t>
            </w:r>
          </w:p>
        </w:tc>
      </w:tr>
      <w:tr>
        <w:trPr/>
        <w:tc>
          <w:tcPr>
            <w:tcW w:w="2351" w:type="dxa"/>
            <w:tcBorders>
              <w:left w:val="single" w:sz="6" w:space="0" w:color="999999"/>
              <w:bottom w:val="single" w:sz="2" w:space="0" w:color="999999"/>
              <w:right w:val="single" w:sz="6" w:space="0" w:color="999999"/>
            </w:tcBorders>
            <w:shd w:fill="EAF1EC" w:val="clear"/>
          </w:tcPr>
          <w:p>
            <w:pPr>
              <w:pStyle w:val="BodyTextcell"/>
              <w:bidi w:val="0"/>
              <w:spacing w:before="40" w:after="40"/>
              <w:jc w:val="left"/>
              <w:rPr>
                <w:b/>
              </w:rPr>
            </w:pPr>
            <w:r>
              <w:rPr>
                <w:b/>
              </w:rPr>
              <w:t>Premises</w:t>
            </w:r>
          </w:p>
        </w:tc>
        <w:tc>
          <w:tcPr>
            <w:tcW w:w="7060" w:type="dxa"/>
            <w:tcBorders>
              <w:left w:val="single" w:sz="2" w:space="0" w:color="999999"/>
              <w:bottom w:val="single" w:sz="2" w:space="0" w:color="999999"/>
              <w:right w:val="single" w:sz="6" w:space="0" w:color="999999"/>
            </w:tcBorders>
          </w:tcPr>
          <w:p>
            <w:pPr>
              <w:pStyle w:val="BodyTextcell"/>
              <w:bidi w:val="0"/>
              <w:spacing w:lineRule="auto" w:line="283" w:before="40" w:after="40"/>
              <w:jc w:val="left"/>
              <w:rPr/>
            </w:pPr>
            <w:r>
              <w:rPr/>
              <w:t>Unit 4, Weir Lane Trading Estate, Marlbridge WX2 6DN, with its yard, the loading bay in front of it, and car parking spaces 7 and 8, as shown on the landlord’s lease plan.</w:t>
            </w:r>
          </w:p>
        </w:tc>
      </w:tr>
      <w:tr>
        <w:trPr/>
        <w:tc>
          <w:tcPr>
            <w:tcW w:w="2351" w:type="dxa"/>
            <w:tcBorders>
              <w:left w:val="single" w:sz="6" w:space="0" w:color="999999"/>
              <w:bottom w:val="single" w:sz="2" w:space="0" w:color="999999"/>
              <w:right w:val="single" w:sz="6" w:space="0" w:color="999999"/>
            </w:tcBorders>
            <w:shd w:fill="EAF1EC" w:val="clear"/>
          </w:tcPr>
          <w:p>
            <w:pPr>
              <w:pStyle w:val="BodyTextcell"/>
              <w:bidi w:val="0"/>
              <w:spacing w:before="40" w:after="40"/>
              <w:jc w:val="left"/>
              <w:rPr>
                <w:b/>
              </w:rPr>
            </w:pPr>
            <w:r>
              <w:rPr>
                <w:b/>
              </w:rPr>
              <w:t>Term</w:t>
            </w:r>
          </w:p>
        </w:tc>
        <w:tc>
          <w:tcPr>
            <w:tcW w:w="7060" w:type="dxa"/>
            <w:tcBorders>
              <w:left w:val="single" w:sz="2" w:space="0" w:color="999999"/>
              <w:bottom w:val="single" w:sz="2" w:space="0" w:color="999999"/>
              <w:right w:val="single" w:sz="6" w:space="0" w:color="999999"/>
            </w:tcBorders>
          </w:tcPr>
          <w:p>
            <w:pPr>
              <w:pStyle w:val="BodyTextcell"/>
              <w:bidi w:val="0"/>
              <w:spacing w:lineRule="auto" w:line="283" w:before="40" w:after="40"/>
              <w:jc w:val="left"/>
              <w:rPr/>
            </w:pPr>
            <w:r>
              <w:rPr/>
              <w:t>Ten years from 1 November 2026.</w:t>
            </w:r>
          </w:p>
        </w:tc>
      </w:tr>
      <w:tr>
        <w:trPr/>
        <w:tc>
          <w:tcPr>
            <w:tcW w:w="2351" w:type="dxa"/>
            <w:tcBorders>
              <w:left w:val="single" w:sz="6" w:space="0" w:color="999999"/>
              <w:bottom w:val="single" w:sz="2" w:space="0" w:color="999999"/>
              <w:right w:val="single" w:sz="6" w:space="0" w:color="999999"/>
            </w:tcBorders>
            <w:shd w:fill="EAF1EC" w:val="clear"/>
          </w:tcPr>
          <w:p>
            <w:pPr>
              <w:pStyle w:val="BodyTextcell"/>
              <w:bidi w:val="0"/>
              <w:spacing w:before="40" w:after="40"/>
              <w:jc w:val="left"/>
              <w:rPr>
                <w:b/>
              </w:rPr>
            </w:pPr>
            <w:r>
              <w:rPr>
                <w:b/>
              </w:rPr>
              <w:t>Rent</w:t>
            </w:r>
          </w:p>
        </w:tc>
        <w:tc>
          <w:tcPr>
            <w:tcW w:w="7060" w:type="dxa"/>
            <w:tcBorders>
              <w:left w:val="single" w:sz="2" w:space="0" w:color="999999"/>
              <w:bottom w:val="single" w:sz="2" w:space="0" w:color="999999"/>
              <w:right w:val="single" w:sz="6" w:space="0" w:color="999999"/>
            </w:tcBorders>
          </w:tcPr>
          <w:p>
            <w:pPr>
              <w:pStyle w:val="BodyTextcell"/>
              <w:bidi w:val="0"/>
              <w:spacing w:lineRule="auto" w:line="283" w:before="40" w:after="40"/>
              <w:jc w:val="left"/>
              <w:rPr/>
            </w:pPr>
            <w:r>
              <w:rPr/>
              <w:t>£48,000 a year plus VAT, payable quarterly in advance.</w:t>
            </w:r>
          </w:p>
        </w:tc>
      </w:tr>
      <w:tr>
        <w:trPr/>
        <w:tc>
          <w:tcPr>
            <w:tcW w:w="2351" w:type="dxa"/>
            <w:tcBorders>
              <w:left w:val="single" w:sz="6" w:space="0" w:color="999999"/>
              <w:bottom w:val="single" w:sz="2" w:space="0" w:color="999999"/>
              <w:right w:val="single" w:sz="6" w:space="0" w:color="999999"/>
            </w:tcBorders>
            <w:shd w:fill="EAF1EC" w:val="clear"/>
          </w:tcPr>
          <w:p>
            <w:pPr>
              <w:pStyle w:val="BodyTextcell"/>
              <w:bidi w:val="0"/>
              <w:spacing w:before="40" w:after="40"/>
              <w:jc w:val="left"/>
              <w:rPr>
                <w:b/>
              </w:rPr>
            </w:pPr>
            <w:r>
              <w:rPr>
                <w:b/>
              </w:rPr>
              <w:t>Rent review</w:t>
            </w:r>
          </w:p>
        </w:tc>
        <w:tc>
          <w:tcPr>
            <w:tcW w:w="7060" w:type="dxa"/>
            <w:tcBorders>
              <w:left w:val="single" w:sz="2" w:space="0" w:color="999999"/>
              <w:bottom w:val="single" w:sz="2" w:space="0" w:color="999999"/>
              <w:right w:val="single" w:sz="6" w:space="0" w:color="999999"/>
            </w:tcBorders>
          </w:tcPr>
          <w:p>
            <w:pPr>
              <w:pStyle w:val="BodyTextcell"/>
              <w:bidi w:val="0"/>
              <w:spacing w:lineRule="auto" w:line="283" w:before="40" w:after="40"/>
              <w:jc w:val="left"/>
              <w:rPr/>
            </w:pPr>
            <w:r>
              <w:rPr/>
              <w:t>At the end of the fifth year, the rent rises by the percentage rise in the consumer prices index over those five years.</w:t>
            </w:r>
          </w:p>
        </w:tc>
      </w:tr>
      <w:tr>
        <w:trPr/>
        <w:tc>
          <w:tcPr>
            <w:tcW w:w="2351" w:type="dxa"/>
            <w:tcBorders>
              <w:left w:val="single" w:sz="6" w:space="0" w:color="999999"/>
              <w:bottom w:val="single" w:sz="2" w:space="0" w:color="999999"/>
              <w:right w:val="single" w:sz="6" w:space="0" w:color="999999"/>
            </w:tcBorders>
            <w:shd w:fill="EAF1EC" w:val="clear"/>
          </w:tcPr>
          <w:p>
            <w:pPr>
              <w:pStyle w:val="BodyTextcell"/>
              <w:bidi w:val="0"/>
              <w:spacing w:before="40" w:after="40"/>
              <w:jc w:val="left"/>
              <w:rPr>
                <w:b/>
              </w:rPr>
            </w:pPr>
            <w:r>
              <w:rPr>
                <w:b/>
              </w:rPr>
              <w:t>Repairs</w:t>
            </w:r>
          </w:p>
        </w:tc>
        <w:tc>
          <w:tcPr>
            <w:tcW w:w="7060" w:type="dxa"/>
            <w:tcBorders>
              <w:left w:val="single" w:sz="2" w:space="0" w:color="999999"/>
              <w:bottom w:val="single" w:sz="2" w:space="0" w:color="999999"/>
              <w:right w:val="single" w:sz="6" w:space="0" w:color="999999"/>
            </w:tcBorders>
          </w:tcPr>
          <w:p>
            <w:pPr>
              <w:pStyle w:val="BodyTextcell"/>
              <w:bidi w:val="0"/>
              <w:spacing w:lineRule="auto" w:line="283" w:before="40" w:after="40"/>
              <w:jc w:val="left"/>
              <w:rPr/>
            </w:pPr>
            <w:r>
              <w:rPr/>
              <w:t>Full repairing: the tenant keeps the premises in good repair throughout the term.</w:t>
            </w:r>
          </w:p>
        </w:tc>
      </w:tr>
      <w:tr>
        <w:trPr/>
        <w:tc>
          <w:tcPr>
            <w:tcW w:w="2351" w:type="dxa"/>
            <w:tcBorders>
              <w:left w:val="single" w:sz="6" w:space="0" w:color="999999"/>
              <w:bottom w:val="single" w:sz="2" w:space="0" w:color="999999"/>
              <w:right w:val="single" w:sz="6" w:space="0" w:color="999999"/>
            </w:tcBorders>
            <w:shd w:fill="EAF1EC" w:val="clear"/>
          </w:tcPr>
          <w:p>
            <w:pPr>
              <w:pStyle w:val="BodyTextcell"/>
              <w:bidi w:val="0"/>
              <w:spacing w:before="40" w:after="40"/>
              <w:jc w:val="left"/>
              <w:rPr>
                <w:b/>
              </w:rPr>
            </w:pPr>
            <w:r>
              <w:rPr>
                <w:b/>
              </w:rPr>
              <w:t>Use</w:t>
            </w:r>
          </w:p>
        </w:tc>
        <w:tc>
          <w:tcPr>
            <w:tcW w:w="7060" w:type="dxa"/>
            <w:tcBorders>
              <w:left w:val="single" w:sz="2" w:space="0" w:color="999999"/>
              <w:bottom w:val="single" w:sz="2" w:space="0" w:color="999999"/>
              <w:right w:val="single" w:sz="6" w:space="0" w:color="999999"/>
            </w:tcBorders>
          </w:tcPr>
          <w:p>
            <w:pPr>
              <w:pStyle w:val="BodyTextcell"/>
              <w:bidi w:val="0"/>
              <w:spacing w:lineRule="auto" w:line="283" w:before="40" w:after="40"/>
              <w:jc w:val="left"/>
              <w:rPr/>
            </w:pPr>
            <w:r>
              <w:rPr/>
              <w:t>A bakery, with retail sales of its products to the public from the unit.</w:t>
            </w:r>
          </w:p>
        </w:tc>
      </w:tr>
      <w:tr>
        <w:trPr/>
        <w:tc>
          <w:tcPr>
            <w:tcW w:w="2351" w:type="dxa"/>
            <w:tcBorders>
              <w:left w:val="single" w:sz="6" w:space="0" w:color="999999"/>
              <w:bottom w:val="single" w:sz="2" w:space="0" w:color="999999"/>
              <w:right w:val="single" w:sz="6" w:space="0" w:color="999999"/>
            </w:tcBorders>
            <w:shd w:fill="EAF1EC" w:val="clear"/>
          </w:tcPr>
          <w:p>
            <w:pPr>
              <w:pStyle w:val="BodyTextcell"/>
              <w:bidi w:val="0"/>
              <w:spacing w:before="40" w:after="40"/>
              <w:jc w:val="left"/>
              <w:rPr>
                <w:b/>
              </w:rPr>
            </w:pPr>
            <w:r>
              <w:rPr>
                <w:b/>
              </w:rPr>
              <w:t>Service charge</w:t>
            </w:r>
          </w:p>
        </w:tc>
        <w:tc>
          <w:tcPr>
            <w:tcW w:w="7060" w:type="dxa"/>
            <w:tcBorders>
              <w:left w:val="single" w:sz="2" w:space="0" w:color="999999"/>
              <w:bottom w:val="single" w:sz="2" w:space="0" w:color="999999"/>
              <w:right w:val="single" w:sz="6" w:space="0" w:color="999999"/>
            </w:tcBorders>
          </w:tcPr>
          <w:p>
            <w:pPr>
              <w:pStyle w:val="BodyTextcell"/>
              <w:bidi w:val="0"/>
              <w:spacing w:lineRule="auto" w:line="283" w:before="40" w:after="40"/>
              <w:jc w:val="left"/>
              <w:rPr/>
            </w:pPr>
            <w:r>
              <w:rPr/>
              <w:t>The tenant pays a fair share of the costs of running the estate: its road, lighting, landscaping, security and management. The share is now 8.5%.</w:t>
            </w:r>
          </w:p>
        </w:tc>
      </w:tr>
      <w:tr>
        <w:trPr/>
        <w:tc>
          <w:tcPr>
            <w:tcW w:w="2351" w:type="dxa"/>
            <w:tcBorders>
              <w:left w:val="single" w:sz="6" w:space="0" w:color="999999"/>
              <w:bottom w:val="single" w:sz="2" w:space="0" w:color="999999"/>
              <w:right w:val="single" w:sz="6" w:space="0" w:color="999999"/>
            </w:tcBorders>
            <w:shd w:fill="EAF1EC" w:val="clear"/>
          </w:tcPr>
          <w:p>
            <w:pPr>
              <w:pStyle w:val="BodyTextcell"/>
              <w:bidi w:val="0"/>
              <w:spacing w:before="40" w:after="40"/>
              <w:jc w:val="left"/>
              <w:rPr>
                <w:b/>
              </w:rPr>
            </w:pPr>
            <w:r>
              <w:rPr>
                <w:b/>
              </w:rPr>
              <w:t>Insurance</w:t>
            </w:r>
          </w:p>
        </w:tc>
        <w:tc>
          <w:tcPr>
            <w:tcW w:w="7060" w:type="dxa"/>
            <w:tcBorders>
              <w:left w:val="single" w:sz="2" w:space="0" w:color="999999"/>
              <w:bottom w:val="single" w:sz="2" w:space="0" w:color="999999"/>
              <w:right w:val="single" w:sz="6" w:space="0" w:color="999999"/>
            </w:tcBorders>
          </w:tcPr>
          <w:p>
            <w:pPr>
              <w:pStyle w:val="BodyTextcell"/>
              <w:bidi w:val="0"/>
              <w:spacing w:lineRule="auto" w:line="283" w:before="40" w:after="40"/>
              <w:jc w:val="left"/>
              <w:rPr/>
            </w:pPr>
            <w:r>
              <w:rPr/>
              <w:t>The landlord insures the premises. The tenant pays its share of the premium.</w:t>
            </w:r>
          </w:p>
        </w:tc>
      </w:tr>
      <w:tr>
        <w:trPr/>
        <w:tc>
          <w:tcPr>
            <w:tcW w:w="2351" w:type="dxa"/>
            <w:tcBorders>
              <w:left w:val="single" w:sz="6" w:space="0" w:color="999999"/>
              <w:bottom w:val="single" w:sz="2" w:space="0" w:color="999999"/>
              <w:right w:val="single" w:sz="6" w:space="0" w:color="999999"/>
            </w:tcBorders>
            <w:shd w:fill="EAF1EC" w:val="clear"/>
          </w:tcPr>
          <w:p>
            <w:pPr>
              <w:pStyle w:val="BodyTextcell"/>
              <w:bidi w:val="0"/>
              <w:spacing w:before="40" w:after="40"/>
              <w:jc w:val="left"/>
              <w:rPr>
                <w:b/>
              </w:rPr>
            </w:pPr>
            <w:r>
              <w:rPr>
                <w:b/>
              </w:rPr>
              <w:t>Break</w:t>
            </w:r>
          </w:p>
        </w:tc>
        <w:tc>
          <w:tcPr>
            <w:tcW w:w="7060" w:type="dxa"/>
            <w:tcBorders>
              <w:left w:val="single" w:sz="2" w:space="0" w:color="999999"/>
              <w:bottom w:val="single" w:sz="2" w:space="0" w:color="999999"/>
              <w:right w:val="single" w:sz="6" w:space="0" w:color="999999"/>
            </w:tcBorders>
          </w:tcPr>
          <w:p>
            <w:pPr>
              <w:pStyle w:val="BodyTextcell"/>
              <w:bidi w:val="0"/>
              <w:spacing w:lineRule="auto" w:line="283" w:before="40" w:after="40"/>
              <w:jc w:val="left"/>
              <w:rPr/>
            </w:pPr>
            <w:r>
              <w:rPr/>
              <w:t>None.</w:t>
            </w:r>
          </w:p>
        </w:tc>
      </w:tr>
      <w:tr>
        <w:trPr/>
        <w:tc>
          <w:tcPr>
            <w:tcW w:w="2351" w:type="dxa"/>
            <w:tcBorders>
              <w:left w:val="single" w:sz="6" w:space="0" w:color="999999"/>
              <w:bottom w:val="single" w:sz="2" w:space="0" w:color="999999"/>
              <w:right w:val="single" w:sz="6" w:space="0" w:color="999999"/>
            </w:tcBorders>
            <w:shd w:fill="EAF1EC" w:val="clear"/>
          </w:tcPr>
          <w:p>
            <w:pPr>
              <w:pStyle w:val="BodyTextcell"/>
              <w:bidi w:val="0"/>
              <w:spacing w:before="40" w:after="40"/>
              <w:jc w:val="left"/>
              <w:rPr>
                <w:b/>
              </w:rPr>
            </w:pPr>
            <w:r>
              <w:rPr>
                <w:b/>
              </w:rPr>
              <w:t>Legal costs</w:t>
            </w:r>
          </w:p>
        </w:tc>
        <w:tc>
          <w:tcPr>
            <w:tcW w:w="7060" w:type="dxa"/>
            <w:tcBorders>
              <w:left w:val="single" w:sz="2" w:space="0" w:color="999999"/>
              <w:bottom w:val="single" w:sz="2" w:space="0" w:color="999999"/>
              <w:right w:val="single" w:sz="6" w:space="0" w:color="999999"/>
            </w:tcBorders>
          </w:tcPr>
          <w:p>
            <w:pPr>
              <w:pStyle w:val="BodyTextcell"/>
              <w:bidi w:val="0"/>
              <w:spacing w:lineRule="auto" w:line="283" w:before="40" w:after="40"/>
              <w:jc w:val="left"/>
              <w:rPr/>
            </w:pPr>
            <w:r>
              <w:rPr/>
              <w:t>Each party pays its own.</w:t>
            </w:r>
          </w:p>
        </w:tc>
      </w:tr>
      <w:tr>
        <w:trPr/>
        <w:tc>
          <w:tcPr>
            <w:tcW w:w="2351" w:type="dxa"/>
            <w:tcBorders>
              <w:left w:val="single" w:sz="6" w:space="0" w:color="999999"/>
              <w:bottom w:val="single" w:sz="2" w:space="0" w:color="999999"/>
              <w:right w:val="single" w:sz="6" w:space="0" w:color="999999"/>
            </w:tcBorders>
            <w:shd w:fill="EAF1EC" w:val="clear"/>
          </w:tcPr>
          <w:p>
            <w:pPr>
              <w:pStyle w:val="BodyTextcell"/>
              <w:bidi w:val="0"/>
              <w:spacing w:before="40" w:after="40"/>
              <w:jc w:val="left"/>
              <w:rPr>
                <w:b/>
              </w:rPr>
            </w:pPr>
            <w:r>
              <w:rPr>
                <w:b/>
              </w:rPr>
              <w:t>Landlord’s solicitors</w:t>
            </w:r>
          </w:p>
        </w:tc>
        <w:tc>
          <w:tcPr>
            <w:tcW w:w="7060" w:type="dxa"/>
            <w:tcBorders>
              <w:left w:val="single" w:sz="2" w:space="0" w:color="999999"/>
              <w:bottom w:val="single" w:sz="2" w:space="0" w:color="999999"/>
              <w:right w:val="single" w:sz="6" w:space="0" w:color="999999"/>
            </w:tcBorders>
          </w:tcPr>
          <w:p>
            <w:pPr>
              <w:pStyle w:val="BodyTextcell"/>
              <w:bidi w:val="0"/>
              <w:spacing w:lineRule="auto" w:line="283" w:before="40" w:after="40"/>
              <w:jc w:val="left"/>
              <w:rPr/>
            </w:pPr>
            <w:r>
              <w:rPr/>
              <w:t>Cardew Hollis LLP, Pennant House, 5 Abbey Street, Marlbridge WX1 3HD (Owen Pask)</w:t>
            </w:r>
          </w:p>
        </w:tc>
      </w:tr>
      <w:tr>
        <w:trPr/>
        <w:tc>
          <w:tcPr>
            <w:tcW w:w="2351" w:type="dxa"/>
            <w:tcBorders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EAF1EC" w:val="clear"/>
          </w:tcPr>
          <w:p>
            <w:pPr>
              <w:pStyle w:val="BodyTextcell"/>
              <w:bidi w:val="0"/>
              <w:spacing w:before="40" w:after="40"/>
              <w:jc w:val="left"/>
              <w:rPr>
                <w:b/>
              </w:rPr>
            </w:pPr>
            <w:r>
              <w:rPr>
                <w:b/>
              </w:rPr>
              <w:t>Tenant’s solicitors</w:t>
            </w:r>
          </w:p>
        </w:tc>
        <w:tc>
          <w:tcPr>
            <w:tcW w:w="7060" w:type="dxa"/>
            <w:tcBorders>
              <w:left w:val="single" w:sz="2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cell"/>
              <w:bidi w:val="0"/>
              <w:spacing w:lineRule="auto" w:line="283" w:before="40" w:after="40"/>
              <w:jc w:val="left"/>
              <w:rPr/>
            </w:pPr>
            <w:r>
              <w:rPr/>
              <w:t>Ashcombe Reeve LLP, Ashcombe House, 9 Quay Street, Marlbridge WX1 4AB (Helen Ashcombe)</w:t>
            </w:r>
          </w:p>
        </w:tc>
      </w:tr>
    </w:tbl>
    <w:p>
      <w:pPr>
        <w:pStyle w:val="BodyText"/>
        <w:bidi w:val="0"/>
        <w:spacing w:before="200" w:after="120"/>
        <w:ind w:hanging="0" w:left="0" w:right="0"/>
        <w:jc w:val="left"/>
        <w:rPr/>
      </w:pPr>
      <w:r>
        <w:rPr/>
        <w:t>These terms were agreed in principle between the landlord and the tenant on 2 September 2026. Neither party is bound until a lease has been signed and delivered. Cardew Hollis LLP will send the draft lease to Ashcombe Reeve LLP.</w:t>
      </w:r>
    </w:p>
    <w:p>
      <w:pPr>
        <w:pStyle w:val="BodyTextsmall"/>
        <w:bidi w:val="0"/>
        <w:spacing w:before="200" w:after="120"/>
        <w:ind w:hanging="0" w:left="0" w:right="0"/>
        <w:jc w:val="left"/>
        <w:rPr/>
      </w:pPr>
      <w:r>
        <w:rPr/>
        <w:t>Fiona Lund, Harrow &amp; Lund, 2 September 2026</w:t>
      </w:r>
    </w:p>
    <w:sectPr>
      <w:footerReference w:type="default" r:id="rId2"/>
      <w:type w:val="nextPage"/>
      <w:pgSz w:w="11906" w:h="16838"/>
      <w:pgMar w:left="1247" w:right="1247" w:gutter="0" w:header="0" w:top="964" w:footer="964" w:bottom="121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default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hl-foot"/>
      <w:pBdr>
        <w:top w:val="single" w:sz="4" w:space="3" w:color="999999"/>
      </w:pBdr>
      <w:bidi w:val="0"/>
      <w:spacing w:lineRule="auto" w:line="288" w:before="2" w:after="2"/>
      <w:jc w:val="center"/>
      <w:rPr/>
    </w:pPr>
    <w:r>
      <w:rPr/>
      <w:t>Harrow &amp; Lund, Commercial Agents, act for the landlord. Subject to contract. These heads of terms are not a legally binding agreement.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000000"/>
      <w:sz w:val="20"/>
      <w:szCs w:val="20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Calibri" w:hAnsi="Calibri" w:eastAsia="Calibri" w:cs="Calibri"/>
      <w:b/>
      <w:bCs/>
      <w:color w:val="1D4E5F"/>
      <w:sz w:val="30"/>
      <w:szCs w:val="30"/>
    </w:rPr>
  </w:style>
  <w:style w:type="paragraph" w:styleId="Heading2">
    <w:name w:val="heading 2"/>
    <w:basedOn w:val="Heading"/>
    <w:next w:val="BodyText"/>
    <w:qFormat/>
    <w:pPr>
      <w:spacing w:before="200" w:after="80"/>
      <w:outlineLvl w:val="1"/>
    </w:pPr>
    <w:rPr>
      <w:rFonts w:ascii="Calibri" w:hAnsi="Calibri" w:eastAsia="Calibri" w:cs="Calibri"/>
      <w:b/>
      <w:bCs/>
      <w:color w:val="1D4E5F"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160" w:after="60"/>
      <w:outlineLvl w:val="2"/>
    </w:pPr>
    <w:rPr>
      <w:rFonts w:ascii="Calibri" w:hAnsi="Calibri" w:eastAsia="Calibri" w:cs="Calibri"/>
      <w:b/>
      <w:bCs/>
      <w:color w:val="000000"/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BodyTexthl-foot">
    <w:name w:val="Body Text.hl-foot"/>
    <w:basedOn w:val="BodyText"/>
    <w:qFormat/>
    <w:pPr>
      <w:pBdr>
        <w:top w:val="single" w:sz="4" w:space="3" w:color="999999"/>
      </w:pBdr>
      <w:spacing w:lineRule="auto" w:line="288" w:before="2" w:after="2"/>
      <w:jc w:val="center"/>
    </w:pPr>
    <w:rPr>
      <w:rFonts w:ascii="Arial" w:hAnsi="Arial" w:eastAsia="Arial" w:cs="Arial"/>
      <w:color w:val="555555"/>
      <w:sz w:val="15"/>
      <w:szCs w:val="15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hl-name">
    <w:name w:val="Body Text.hl-name"/>
    <w:basedOn w:val="TableContents"/>
    <w:qFormat/>
    <w:pPr>
      <w:spacing w:lineRule="auto" w:line="240" w:before="2" w:after="2"/>
    </w:pPr>
    <w:rPr>
      <w:rFonts w:ascii="Arial" w:hAnsi="Arial" w:eastAsia="Arial" w:cs="Arial"/>
      <w:b/>
      <w:bCs/>
      <w:color w:val="2F5D3A"/>
      <w:sz w:val="38"/>
      <w:szCs w:val="38"/>
    </w:rPr>
  </w:style>
  <w:style w:type="paragraph" w:styleId="BodyTexthl-sub">
    <w:name w:val="Body Text.hl-sub"/>
    <w:basedOn w:val="TableContents"/>
    <w:qFormat/>
    <w:pPr>
      <w:spacing w:before="2" w:after="2"/>
    </w:pPr>
    <w:rPr>
      <w:rFonts w:ascii="Arial" w:hAnsi="Arial" w:eastAsia="Arial" w:cs="Arial"/>
      <w:color w:val="555555"/>
      <w:sz w:val="18"/>
      <w:szCs w:val="18"/>
    </w:rPr>
  </w:style>
  <w:style w:type="paragraph" w:styleId="BodyTexthl-details">
    <w:name w:val="Body Text.hl-details"/>
    <w:basedOn w:val="TableContents"/>
    <w:qFormat/>
    <w:pPr>
      <w:spacing w:lineRule="auto" w:line="300" w:before="2" w:after="2"/>
      <w:jc w:val="right"/>
    </w:pPr>
    <w:rPr>
      <w:rFonts w:ascii="Arial" w:hAnsi="Arial" w:eastAsia="Arial" w:cs="Arial"/>
      <w:color w:val="333333"/>
      <w:sz w:val="17"/>
      <w:szCs w:val="17"/>
    </w:rPr>
  </w:style>
  <w:style w:type="paragraph" w:styleId="BodyTexthl-rule">
    <w:name w:val="Body Text.hl-rule"/>
    <w:basedOn w:val="BodyText"/>
    <w:qFormat/>
    <w:pPr>
      <w:pBdr>
        <w:bottom w:val="single" w:sz="12" w:space="1" w:color="2F5D3A"/>
      </w:pBdr>
      <w:spacing w:lineRule="atLeast" w:line="142" w:before="60" w:after="240"/>
    </w:pPr>
    <w:rPr>
      <w:sz w:val="4"/>
      <w:szCs w:val="4"/>
    </w:rPr>
  </w:style>
  <w:style w:type="paragraph" w:styleId="BodyTexthl-title">
    <w:name w:val="Body Text.hl-title"/>
    <w:basedOn w:val="BodyText"/>
    <w:qFormat/>
    <w:pPr>
      <w:spacing w:before="80" w:after="40"/>
    </w:pPr>
    <w:rPr>
      <w:rFonts w:ascii="Arial" w:hAnsi="Arial" w:eastAsia="Arial" w:cs="Arial"/>
      <w:b/>
      <w:bCs/>
      <w:sz w:val="30"/>
      <w:szCs w:val="30"/>
    </w:rPr>
  </w:style>
  <w:style w:type="paragraph" w:styleId="BodyTexthl-sub2">
    <w:name w:val="Body Text.hl-sub2"/>
    <w:basedOn w:val="BodyText"/>
    <w:qFormat/>
    <w:pPr>
      <w:spacing w:before="2" w:after="80"/>
    </w:pPr>
    <w:rPr>
      <w:rFonts w:ascii="Arial" w:hAnsi="Arial" w:eastAsia="Arial" w:cs="Arial"/>
      <w:sz w:val="21"/>
      <w:szCs w:val="21"/>
    </w:rPr>
  </w:style>
  <w:style w:type="paragraph" w:styleId="BodyTexthl-stc">
    <w:name w:val="Body Text.hl-stc"/>
    <w:basedOn w:val="BodyText"/>
    <w:qFormat/>
    <w:pPr>
      <w:spacing w:before="2" w:after="200"/>
    </w:pPr>
    <w:rPr>
      <w:rFonts w:ascii="Arial" w:hAnsi="Arial" w:eastAsia="Arial" w:cs="Arial"/>
      <w:b/>
      <w:bCs/>
      <w:color w:val="7A1A1A"/>
      <w:sz w:val="20"/>
      <w:szCs w:val="20"/>
    </w:rPr>
  </w:style>
  <w:style w:type="paragraph" w:styleId="BodyTextcell">
    <w:name w:val="Body Text.cell"/>
    <w:basedOn w:val="TableContents"/>
    <w:qFormat/>
    <w:pPr>
      <w:spacing w:lineRule="auto" w:line="283" w:before="40" w:after="40"/>
    </w:pPr>
    <w:rPr>
      <w:rFonts w:ascii="Arial" w:hAnsi="Arial" w:eastAsia="Arial" w:cs="Arial"/>
      <w:sz w:val="19"/>
      <w:szCs w:val="19"/>
    </w:rPr>
  </w:style>
  <w:style w:type="paragraph" w:styleId="BodyTextsmall">
    <w:name w:val="Body Text.small"/>
    <w:basedOn w:val="BodyText"/>
    <w:qFormat/>
    <w:pPr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LibreOffice/26.2.6.3$Linux_AARCH64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2026-09-02T11:15:00Z</dcterms:created>
  <dc:creator>Fiona Lund</dc:creator>
  <dc:description/>
  <cp:keywords>heads of terms Unit 4 Weir Lane Trading Estate</cp:keywords>
  <dc:language>en-US</dc:language>
  <cp:lastModifiedBy>Fiona Lund</cp:lastModifiedBy>
  <dcterms:modified xsi:type="dcterms:W3CDTF">2026-09-02T15:40:00Z</dcterms:modified>
  <cp:revision>0</cp:revision>
  <dc:subject/>
  <dc:title>Heads of Terms – Unit 4, Weir Lane Trading Estate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