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draftmark"/>
        <w:bidi w:val="0"/>
        <w:spacing w:before="2" w:after="200"/>
        <w:jc w:val="right"/>
        <w:rPr/>
      </w:pPr>
      <w:r>
        <w:rPr/>
        <w:t>Draft for signature – 12 October 2026</w:t>
      </w:r>
    </w:p>
    <w:p>
      <w:pPr>
        <w:pStyle w:val="BodyTextmoa-title"/>
        <w:bidi w:val="0"/>
        <w:rPr/>
      </w:pPr>
      <w:r>
        <w:rPr/>
        <w:t>MEMORANDUM OF AGREEMENT</w:t>
      </w:r>
    </w:p>
    <w:p>
      <w:pPr>
        <w:pStyle w:val="BodyTextmoa-sub"/>
        <w:bidi w:val="0"/>
        <w:rPr/>
      </w:pPr>
      <w:r>
        <w:rPr/>
        <w:t>for the sale of the MV Curlew Bay</w:t>
      </w:r>
    </w:p>
    <w:p>
      <w:pPr>
        <w:pStyle w:val="BodyTextmoa-date"/>
        <w:bidi w:val="0"/>
        <w:rPr/>
      </w:pPr>
      <w:r>
        <w:rPr/>
        <w:t>Dated ____ October 2026</w:t>
      </w:r>
    </w:p>
    <w:p>
      <w:pPr>
        <w:pStyle w:val="BodyTextmoa-head"/>
        <w:bidi w:val="0"/>
        <w:jc w:val="left"/>
        <w:rPr/>
      </w:pPr>
      <w:r>
        <w:rPr/>
        <w:t>Parties</w:t>
      </w:r>
    </w:p>
    <w:p>
      <w:pPr>
        <w:pStyle w:val="BodyTextclause"/>
        <w:bidi w:val="0"/>
        <w:jc w:val="left"/>
        <w:rPr/>
      </w:pPr>
      <w:r>
        <w:rPr/>
        <w:t>(1)   </w:t>
      </w:r>
      <w:r>
        <w:rPr>
          <w:b/>
        </w:rPr>
        <w:t>Saltmarsh Shipping Ltd</w:t>
      </w:r>
      <w:r>
        <w:rPr/>
        <w:t xml:space="preserve">, whose registered office is at Saltmarsh House, 2 Wharf Road, Eastwick EW1 3SB (company number to be inserted) (the </w:t>
      </w:r>
      <w:r>
        <w:rPr>
          <w:b/>
        </w:rPr>
        <w:t>Seller</w:t>
      </w:r>
      <w:r>
        <w:rPr/>
        <w:t>); and</w:t>
      </w:r>
    </w:p>
    <w:p>
      <w:pPr>
        <w:pStyle w:val="BodyTextclause"/>
        <w:bidi w:val="0"/>
        <w:jc w:val="left"/>
        <w:rPr/>
      </w:pPr>
      <w:r>
        <w:rPr/>
        <w:t>(2)   </w:t>
      </w:r>
      <w:r>
        <w:rPr>
          <w:b/>
        </w:rPr>
        <w:t>Zeevonk Shipping B.V.</w:t>
      </w:r>
      <w:r>
        <w:rPr/>
        <w:t xml:space="preserve">, of Kadeweg 7, 9999 ZZ Havendam, the Netherlands (registration number to be inserted) (the </w:t>
      </w:r>
      <w:r>
        <w:rPr>
          <w:b/>
        </w:rPr>
        <w:t>Buyer</w:t>
      </w:r>
      <w:r>
        <w:rPr/>
        <w:t>).</w:t>
      </w:r>
    </w:p>
    <w:p>
      <w:pPr>
        <w:pStyle w:val="BodyTextmoa-head"/>
        <w:bidi w:val="0"/>
        <w:jc w:val="left"/>
        <w:rPr/>
      </w:pPr>
      <w:r>
        <w:rPr/>
        <w:t>The Vessel</w:t>
      </w:r>
    </w:p>
    <w:p>
      <w:pPr>
        <w:pStyle w:val="BodyTextclause"/>
        <w:bidi w:val="0"/>
        <w:jc w:val="left"/>
        <w:rPr/>
      </w:pPr>
      <w:r>
        <w:rPr/>
        <w:t xml:space="preserve">The MV Curlew Bay, a gearless general cargo vessel built in 2009, of 89.95 metres length overall, 13.20 metres beam and 4,100 tonnes deadweight (the </w:t>
      </w:r>
      <w:r>
        <w:rPr>
          <w:b/>
        </w:rPr>
        <w:t>Vessel</w:t>
      </w:r>
      <w:r>
        <w:rPr/>
        <w:t>).</w:t>
      </w:r>
    </w:p>
    <w:p>
      <w:pPr>
        <w:pStyle w:val="BodyTextmoa-head"/>
        <w:bidi w:val="0"/>
        <w:jc w:val="left"/>
        <w:rPr/>
      </w:pPr>
      <w:r>
        <w:rPr/>
        <w:t>Terms</w:t>
      </w:r>
    </w:p>
    <w:p>
      <w:pPr>
        <w:pStyle w:val="BodyTextclause"/>
        <w:bidi w:val="0"/>
        <w:jc w:val="left"/>
        <w:rPr/>
      </w:pPr>
      <w:r>
        <w:rPr>
          <w:b/>
        </w:rPr>
        <w:t>1.   Sale.</w:t>
      </w:r>
      <w:r>
        <w:rPr/>
        <w:t xml:space="preserve"> The Seller sells and the Buyer buys the Vessel, with her equipment, her logbooks and her class and survey certificates, on the terms of this agreement. The fuel, lubricants and unused stores on board at delivery pass to the Buyer at no extra charge.</w:t>
      </w:r>
    </w:p>
    <w:p>
      <w:pPr>
        <w:pStyle w:val="BodyTextclause"/>
        <w:bidi w:val="0"/>
        <w:jc w:val="left"/>
        <w:rPr/>
      </w:pPr>
      <w:r>
        <w:rPr>
          <w:b/>
        </w:rPr>
        <w:t>2.   Price.</w:t>
      </w:r>
      <w:r>
        <w:rPr/>
        <w:t xml:space="preserve"> The price is EUR 2,350,000 (two million three hundred and fifty thousand euros).</w:t>
      </w:r>
    </w:p>
    <w:p>
      <w:pPr>
        <w:pStyle w:val="BodyTextclause"/>
        <w:bidi w:val="0"/>
        <w:jc w:val="left"/>
        <w:rPr/>
      </w:pPr>
      <w:r>
        <w:rPr>
          <w:b/>
        </w:rPr>
        <w:t>3.   Deposit.</w:t>
      </w:r>
      <w:r>
        <w:rPr/>
        <w:t xml:space="preserve"> Within three banking days after both parties have signed this agreement, the Buyer will pay a deposit of EUR 235,000, which is 10 per cent of the price, into a joint account in the names of the Seller’s solicitors and the Buyer’s solicitors. The deposit and any interest on it will be held for both parties and released only as clause 4 or clause 11 says.</w:t>
      </w:r>
    </w:p>
    <w:p>
      <w:pPr>
        <w:pStyle w:val="BodyTextclause"/>
        <w:bidi w:val="0"/>
        <w:jc w:val="left"/>
        <w:rPr/>
      </w:pPr>
      <w:r>
        <w:rPr>
          <w:b/>
        </w:rPr>
        <w:t>4.   Balance.</w:t>
      </w:r>
      <w:r>
        <w:rPr/>
        <w:t xml:space="preserve"> The Buyer will pay the balance of the price, EUR 2,115,000, on delivery, in cleared funds, to the account the Seller names. On delivery the deposit and its interest are released to the Seller and count towards the price.</w:t>
      </w:r>
    </w:p>
    <w:p>
      <w:pPr>
        <w:pStyle w:val="BodyTextclause"/>
        <w:bidi w:val="0"/>
        <w:jc w:val="left"/>
        <w:rPr/>
      </w:pPr>
      <w:r>
        <w:rPr>
          <w:b/>
        </w:rPr>
        <w:t>5.   Inspection.</w:t>
      </w:r>
      <w:r>
        <w:rPr/>
        <w:t xml:space="preserve"> The Buyer inspected the Vessel at Eastwick on 8 October 2026 and accepts her in the condition she was in then, subject to clause 7.</w:t>
      </w:r>
    </w:p>
    <w:p>
      <w:pPr>
        <w:pStyle w:val="BodyTextclause"/>
        <w:bidi w:val="0"/>
        <w:jc w:val="left"/>
        <w:rPr/>
      </w:pPr>
      <w:r>
        <w:rPr>
          <w:b/>
        </w:rPr>
        <w:t>6.   Delivery.</w:t>
      </w:r>
      <w:r>
        <w:rPr/>
        <w:t xml:space="preserve"> The Seller will deliver the Vessel to the Buyer at Eastwick, afloat and safely berthed, on a day between 1 November 2026 and 30 November 2026 that the parties agree. The Seller will give the Buyer at least seven days’ notice of the day it proposes.</w:t>
      </w:r>
    </w:p>
    <w:p>
      <w:pPr>
        <w:pStyle w:val="BodyTextclause"/>
        <w:bidi w:val="0"/>
        <w:jc w:val="left"/>
        <w:rPr/>
      </w:pPr>
      <w:r>
        <w:rPr>
          <w:b/>
        </w:rPr>
        <w:t>7.   Condition on delivery.</w:t>
      </w:r>
      <w:r>
        <w:rPr/>
        <w:t xml:space="preserve"> On delivery the Vessel will be:</w:t>
      </w:r>
    </w:p>
    <w:p>
      <w:pPr>
        <w:pStyle w:val="BodyTextsub"/>
        <w:bidi w:val="0"/>
        <w:jc w:val="left"/>
        <w:rPr/>
      </w:pPr>
      <w:r>
        <w:rPr/>
        <w:t>(a)   in the same condition as at the inspection, fair wear and tear excepted;</w:t>
      </w:r>
    </w:p>
    <w:p>
      <w:pPr>
        <w:pStyle w:val="BodyTextsub"/>
        <w:bidi w:val="0"/>
        <w:jc w:val="left"/>
        <w:rPr/>
      </w:pPr>
      <w:r>
        <w:rPr/>
        <w:t>(b)   in class, with her class maintained and no overdue recommendation or condition of class; and</w:t>
      </w:r>
    </w:p>
    <w:p>
      <w:pPr>
        <w:pStyle w:val="BodyTextsub"/>
        <w:bidi w:val="0"/>
        <w:jc w:val="left"/>
        <w:rPr/>
      </w:pPr>
      <w:r>
        <w:rPr/>
        <w:t>(c)   in possession of valid certificates for her class, safety and registry.</w:t>
      </w:r>
    </w:p>
    <w:p>
      <w:pPr>
        <w:pStyle w:val="BodyTextclause"/>
        <w:bidi w:val="0"/>
        <w:jc w:val="left"/>
        <w:rPr/>
      </w:pPr>
      <w:r>
        <w:rPr>
          <w:b/>
        </w:rPr>
        <w:t>8.   Title and encumbrances.</w:t>
      </w:r>
      <w:r>
        <w:rPr/>
        <w:t xml:space="preserve"> The Seller promises that on delivery the Vessel will be free of all charters, mortgages, encumbrances and maritime liens, and of every other claim against her, and that no one will have a right to arrest her. If anyone claims such a right, the Seller will deal with the claim at its own cost before delivery.</w:t>
      </w:r>
    </w:p>
    <w:p>
      <w:pPr>
        <w:pStyle w:val="BodyTextclause"/>
        <w:bidi w:val="0"/>
        <w:jc w:val="left"/>
        <w:rPr/>
      </w:pPr>
      <w:r>
        <w:rPr>
          <w:b/>
        </w:rPr>
        <w:t>9.   Documents.</w:t>
      </w:r>
      <w:r>
        <w:rPr/>
        <w:t xml:space="preserve"> At delivery the Seller will give the Buyer a bill of sale, a certificate that the Vessel is free of mortgages and encumbrances, the documents needed to delete her from her present register, and her class and survey certificates.</w:t>
      </w:r>
    </w:p>
    <w:p>
      <w:pPr>
        <w:pStyle w:val="BodyTextclause"/>
        <w:bidi w:val="0"/>
        <w:jc w:val="left"/>
        <w:rPr/>
      </w:pPr>
      <w:r>
        <w:rPr>
          <w:b/>
        </w:rPr>
        <w:t>10.   Risk and title.</w:t>
      </w:r>
      <w:r>
        <w:rPr/>
        <w:t xml:space="preserve"> The Vessel is at the Seller’s risk until delivery and at the Buyer’s risk after it. Ownership passes to the Buyer when the Seller has received the balance of the price.</w:t>
      </w:r>
    </w:p>
    <w:p>
      <w:pPr>
        <w:pStyle w:val="BodyTextclause"/>
        <w:bidi w:val="0"/>
        <w:jc w:val="left"/>
        <w:rPr>
          <w:b/>
        </w:rPr>
      </w:pPr>
      <w:r>
        <w:rPr>
          <w:b/>
        </w:rPr>
        <w:t>11.   If a party defaults.</w:t>
      </w:r>
    </w:p>
    <w:p>
      <w:pPr>
        <w:pStyle w:val="BodyTextclause2"/>
        <w:bidi w:val="0"/>
        <w:jc w:val="left"/>
        <w:rPr/>
      </w:pPr>
      <w:r>
        <w:rPr/>
        <w:t>11.1   If the Buyer does not pay the deposit on time, the Seller may end this agreement by written notice.</w:t>
      </w:r>
    </w:p>
    <w:p>
      <w:pPr>
        <w:pStyle w:val="BodyTextclause2"/>
        <w:bidi w:val="0"/>
        <w:jc w:val="left"/>
        <w:rPr/>
      </w:pPr>
      <w:r>
        <w:rPr/>
        <w:t>11.2   If the Buyer does not pay the balance on delivery, the Seller may end this agreement and keep the deposit with its interest.</w:t>
      </w:r>
    </w:p>
    <w:p>
      <w:pPr>
        <w:pStyle w:val="BodyTextclause2"/>
        <w:bidi w:val="0"/>
        <w:jc w:val="left"/>
        <w:rPr/>
      </w:pPr>
      <w:r>
        <w:rPr/>
        <w:t>11.3   If the Seller does not deliver the Vessel by 30 November 2026 for a reason that is its fault, the Buyer may end this agreement, and the deposit with its interest will be returned to the Buyer.</w:t>
      </w:r>
    </w:p>
    <w:p>
      <w:pPr>
        <w:pStyle w:val="BodyTextclause"/>
        <w:bidi w:val="0"/>
        <w:jc w:val="left"/>
        <w:rPr/>
      </w:pPr>
      <w:r>
        <w:rPr>
          <w:b/>
        </w:rPr>
        <w:t>12.   Costs.</w:t>
      </w:r>
      <w:r>
        <w:rPr/>
        <w:t xml:space="preserve"> Each party pays its own costs of this agreement. The Buyer pays the costs of registering the Vessel in its name.</w:t>
      </w:r>
    </w:p>
    <w:p>
      <w:pPr>
        <w:pStyle w:val="BodyTextclause"/>
        <w:bidi w:val="0"/>
        <w:jc w:val="left"/>
        <w:rPr/>
      </w:pPr>
      <w:r>
        <w:rPr>
          <w:b/>
        </w:rPr>
        <w:t>13.   Notices.</w:t>
      </w:r>
      <w:r>
        <w:rPr/>
        <w:t xml:space="preserve"> A notice under this agreement must be in writing and sent by email or post to the party’s address at the head of this agreement, or to another address it has given in writing.</w:t>
      </w:r>
    </w:p>
    <w:p>
      <w:pPr>
        <w:pStyle w:val="BodyTextclause"/>
        <w:bidi w:val="0"/>
        <w:jc w:val="left"/>
        <w:rPr/>
      </w:pPr>
      <w:r>
        <w:rPr>
          <w:b/>
        </w:rPr>
        <w:t>14.   Law and courts.</w:t>
      </w:r>
      <w:r>
        <w:rPr/>
        <w:t xml:space="preserve"> English law governs this agreement and any dispute about it, and the courts of England have exclusive jurisdiction.</w:t>
      </w:r>
    </w:p>
    <w:p>
      <w:pPr>
        <w:pStyle w:val="BodyTextmoa-head2"/>
        <w:bidi w:val="0"/>
        <w:jc w:val="left"/>
        <w:rPr/>
      </w:pPr>
      <w:r>
        <w:rPr/>
        <w:t>Signed</w:t>
      </w:r>
    </w:p>
    <w:tbl>
      <w:tblPr>
        <w:tblW w:w="5000" w:type="pct"/>
        <w:jc w:val="left"/>
        <w:tblInd w:w="60" w:type="dxa"/>
        <w:tblLayout w:type="fixed"/>
        <w:tblCellMar>
          <w:top w:w="60" w:type="dxa"/>
          <w:left w:w="60" w:type="dxa"/>
          <w:bottom w:w="60" w:type="dxa"/>
          <w:right w:w="60" w:type="dxa"/>
        </w:tblCellMar>
      </w:tblPr>
      <w:tblGrid>
        <w:gridCol w:w="4705"/>
        <w:gridCol w:w="4706"/>
      </w:tblGrid>
      <w:tr>
        <w:trPr/>
        <w:tc>
          <w:tcPr>
            <w:tcW w:w="4705" w:type="dxa"/>
            <w:tcBorders/>
          </w:tcPr>
          <w:p>
            <w:pPr>
              <w:pStyle w:val="BodyTextsigblock"/>
              <w:bidi w:val="0"/>
              <w:spacing w:lineRule="auto" w:line="312" w:before="2" w:after="40"/>
              <w:jc w:val="left"/>
              <w:rPr/>
            </w:pPr>
            <w:r>
              <w:rPr/>
              <w:t>Signed for and on behalf of</w:t>
              <w:br/>
            </w:r>
            <w:r>
              <w:rPr>
                <w:b/>
              </w:rPr>
              <w:t>Saltmarsh Shipping Ltd</w:t>
            </w:r>
            <w:r>
              <w:rPr/>
              <w:t xml:space="preserve"> (the Seller)</w:t>
            </w:r>
          </w:p>
          <w:p>
            <w:pPr>
              <w:pStyle w:val="BodyTextsigline"/>
              <w:bidi w:val="0"/>
              <w:spacing w:before="440" w:after="40"/>
              <w:jc w:val="left"/>
              <w:rPr/>
            </w:pPr>
            <w:r>
              <w:rPr/>
              <w:t>______________________________</w:t>
            </w:r>
          </w:p>
          <w:p>
            <w:pPr>
              <w:pStyle w:val="BodyTextsigblock"/>
              <w:bidi w:val="0"/>
              <w:spacing w:lineRule="auto" w:line="312" w:before="2" w:after="40"/>
              <w:jc w:val="left"/>
              <w:rPr/>
            </w:pPr>
            <w:r>
              <w:rPr/>
              <w:t>Rhian Talbot, Managing Director</w:t>
              <w:br/>
              <w:t>Date: ______________</w:t>
            </w:r>
          </w:p>
        </w:tc>
        <w:tc>
          <w:tcPr>
            <w:tcW w:w="4706" w:type="dxa"/>
            <w:tcBorders/>
          </w:tcPr>
          <w:p>
            <w:pPr>
              <w:pStyle w:val="BodyTextsigblock"/>
              <w:bidi w:val="0"/>
              <w:spacing w:lineRule="auto" w:line="312" w:before="2" w:after="40"/>
              <w:jc w:val="left"/>
              <w:rPr/>
            </w:pPr>
            <w:r>
              <w:rPr/>
              <w:t>Signed for and on behalf of</w:t>
              <w:br/>
            </w:r>
            <w:r>
              <w:rPr>
                <w:b/>
              </w:rPr>
              <w:t>Zeevonk Shipping B.V.</w:t>
            </w:r>
            <w:r>
              <w:rPr/>
              <w:t xml:space="preserve"> (the Buyer)</w:t>
            </w:r>
          </w:p>
          <w:p>
            <w:pPr>
              <w:pStyle w:val="BodyTextsigline"/>
              <w:bidi w:val="0"/>
              <w:spacing w:before="440" w:after="40"/>
              <w:jc w:val="left"/>
              <w:rPr/>
            </w:pPr>
            <w:r>
              <w:rPr/>
              <w:t>______________________________</w:t>
            </w:r>
          </w:p>
          <w:p>
            <w:pPr>
              <w:pStyle w:val="BodyTextsigblock"/>
              <w:bidi w:val="0"/>
              <w:spacing w:lineRule="auto" w:line="312" w:before="2" w:after="40"/>
              <w:jc w:val="left"/>
              <w:rPr/>
            </w:pPr>
            <w:r>
              <w:rPr/>
              <w:t>Joris Haverkamp, Director</w:t>
              <w:br/>
              <w:t>Date: ______________</w:t>
            </w:r>
          </w:p>
        </w:tc>
      </w:tr>
    </w:tbl>
    <w:p>
      <w:pPr>
        <w:pStyle w:val="BodyText"/>
        <w:bidi w:val="0"/>
        <w:spacing w:before="0" w:after="120"/>
        <w:jc w:val="left"/>
        <w:rPr/>
      </w:pPr>
      <w:r>
        <w:rPr/>
      </w:r>
    </w:p>
    <w:sectPr>
      <w:footerReference w:type="default" r:id="rId2"/>
      <w:type w:val="nextPage"/>
      <w:pgSz w:w="11906" w:h="16838"/>
      <w:pgMar w:left="1247" w:right="1247" w:gutter="0" w:header="0" w:top="964" w:footer="964" w:bottom="121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moa-foot"/>
      <w:pBdr>
        <w:top w:val="single" w:sz="4" w:space="3" w:color="999999"/>
      </w:pBdr>
      <w:bidi w:val="0"/>
      <w:spacing w:before="2" w:after="2"/>
      <w:jc w:val="center"/>
      <w:rPr/>
    </w:pPr>
    <w:r>
      <w:rPr/>
      <w:t xml:space="preserve">Draft for signature – 12 October 2026 – Memorandum of agreement – MV Curlew Bay – 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 ARABIC </w:instrText>
    </w:r>
    <w:r>
      <w:rPr/>
      <w:fldChar w:fldCharType="separate"/>
    </w:r>
    <w:r>
      <w:rPr/>
      <w:t>2</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Arial" w:hAnsi="Arial" w:eastAsia="Arial" w:cs="Arial"/>
      <w:color w:val="000000"/>
      <w:sz w:val="20"/>
      <w:szCs w:val="20"/>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88"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moa-foot">
    <w:name w:val="Body Text.moa-foot"/>
    <w:basedOn w:val="BodyText"/>
    <w:qFormat/>
    <w:pPr>
      <w:pBdr>
        <w:top w:val="single" w:sz="4" w:space="3" w:color="999999"/>
      </w:pBdr>
      <w:spacing w:before="2" w:after="2"/>
      <w:jc w:val="center"/>
    </w:pPr>
    <w:rPr>
      <w:rFonts w:ascii="Arial" w:hAnsi="Arial" w:eastAsia="Arial" w:cs="Arial"/>
      <w:color w:val="444444"/>
      <w:sz w:val="15"/>
      <w:szCs w:val="15"/>
    </w:rPr>
  </w:style>
  <w:style w:type="paragraph" w:styleId="BodyTextdraftmark">
    <w:name w:val="Body Text.draftmark"/>
    <w:basedOn w:val="BodyText"/>
    <w:qFormat/>
    <w:pPr>
      <w:spacing w:before="2" w:after="200"/>
      <w:jc w:val="right"/>
    </w:pPr>
    <w:rPr>
      <w:rFonts w:ascii="Arial" w:hAnsi="Arial" w:eastAsia="Arial" w:cs="Arial"/>
      <w:b/>
      <w:bCs/>
      <w:color w:val="7A1A1A"/>
      <w:sz w:val="18"/>
      <w:szCs w:val="18"/>
    </w:rPr>
  </w:style>
  <w:style w:type="paragraph" w:styleId="BodyTextmoa-title">
    <w:name w:val="Body Text.moa-title"/>
    <w:basedOn w:val="BodyText"/>
    <w:qFormat/>
    <w:pPr>
      <w:spacing w:before="120" w:after="80"/>
      <w:jc w:val="center"/>
    </w:pPr>
    <w:rPr>
      <w:rFonts w:ascii="Arial" w:hAnsi="Arial" w:eastAsia="Arial" w:cs="Arial"/>
      <w:b/>
      <w:bCs/>
      <w:sz w:val="34"/>
      <w:szCs w:val="34"/>
    </w:rPr>
  </w:style>
  <w:style w:type="paragraph" w:styleId="BodyTextmoa-sub">
    <w:name w:val="Body Text.moa-sub"/>
    <w:basedOn w:val="BodyText"/>
    <w:qFormat/>
    <w:pPr>
      <w:spacing w:before="2" w:after="60"/>
      <w:jc w:val="center"/>
    </w:pPr>
    <w:rPr>
      <w:rFonts w:ascii="Arial" w:hAnsi="Arial" w:eastAsia="Arial" w:cs="Arial"/>
      <w:sz w:val="21"/>
      <w:szCs w:val="21"/>
    </w:rPr>
  </w:style>
  <w:style w:type="paragraph" w:styleId="BodyTextmoa-date">
    <w:name w:val="Body Text.moa-date"/>
    <w:basedOn w:val="BodyText"/>
    <w:qFormat/>
    <w:pPr>
      <w:spacing w:before="2" w:after="280"/>
      <w:jc w:val="center"/>
    </w:pPr>
    <w:rPr>
      <w:rFonts w:ascii="Arial" w:hAnsi="Arial" w:eastAsia="Arial" w:cs="Arial"/>
      <w:sz w:val="21"/>
      <w:szCs w:val="21"/>
    </w:rPr>
  </w:style>
  <w:style w:type="paragraph" w:styleId="BodyTextmoa-head">
    <w:name w:val="Body Text.moa-head"/>
    <w:basedOn w:val="BodyText"/>
    <w:qFormat/>
    <w:pPr>
      <w:spacing w:before="180" w:after="60"/>
    </w:pPr>
    <w:rPr>
      <w:rFonts w:ascii="Arial" w:hAnsi="Arial" w:eastAsia="Arial" w:cs="Arial"/>
      <w:b/>
      <w:bCs/>
      <w:sz w:val="20"/>
      <w:szCs w:val="20"/>
    </w:rPr>
  </w:style>
  <w:style w:type="paragraph" w:styleId="BodyTextclause">
    <w:name w:val="Body Text.clause"/>
    <w:basedOn w:val="BodyText"/>
    <w:qFormat/>
    <w:pPr>
      <w:ind w:hanging="255" w:left="255"/>
    </w:pPr>
    <w:rPr/>
  </w:style>
  <w:style w:type="paragraph" w:styleId="BodyTextsub">
    <w:name w:val="Body Text.sub"/>
    <w:basedOn w:val="BodyText"/>
    <w:qFormat/>
    <w:pPr>
      <w:ind w:hanging="369" w:left="879"/>
    </w:pPr>
    <w:rPr/>
  </w:style>
  <w:style w:type="paragraph" w:styleId="BodyTextclause2">
    <w:name w:val="Body Text.clause2"/>
    <w:basedOn w:val="BodyText"/>
    <w:qFormat/>
    <w:pPr>
      <w:ind w:hanging="454" w:left="454"/>
    </w:pPr>
    <w:rPr/>
  </w:style>
  <w:style w:type="paragraph" w:styleId="BodyTextmoa-head2">
    <w:name w:val="Body Text.moa-head2"/>
    <w:basedOn w:val="BodyText"/>
    <w:qFormat/>
    <w:pPr>
      <w:spacing w:before="320" w:after="60"/>
    </w:pPr>
    <w:rPr>
      <w:rFonts w:ascii="Arial" w:hAnsi="Arial" w:eastAsia="Arial" w:cs="Arial"/>
      <w:b/>
      <w:bCs/>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sigblock">
    <w:name w:val="Body Text.sigblock"/>
    <w:basedOn w:val="TableContents"/>
    <w:qFormat/>
    <w:pPr>
      <w:spacing w:lineRule="auto" w:line="312" w:before="2" w:after="40"/>
    </w:pPr>
    <w:rPr/>
  </w:style>
  <w:style w:type="paragraph" w:styleId="BodyTextsigline">
    <w:name w:val="Body Text.sigline"/>
    <w:basedOn w:val="TableContents"/>
    <w:qFormat/>
    <w:pPr>
      <w:spacing w:before="440" w:after="4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2026-10-09T14:20:00Z</dcterms:created>
  <dc:creator>Chris Doyle</dc:creator>
  <dc:description/>
  <cp:keywords>memorandum of agreement MV Curlew Bay vessel sale</cp:keywords>
  <dc:language>en-US</dc:language>
  <cp:lastModifiedBy>Chris Doyle</cp:lastModifiedBy>
  <dcterms:modified xsi:type="dcterms:W3CDTF">2026-10-12T13:40:00Z</dcterms:modified>
  <cp:revision>0</cp:revision>
  <dc:subject/>
  <dc:title>Memorandum of Agreement – Draft</dc:title>
</cp:coreProperties>
</file>

<file path=docProps/custom.xml><?xml version="1.0" encoding="utf-8"?>
<Properties xmlns="http://schemas.openxmlformats.org/officeDocument/2006/custom-properties" xmlns:vt="http://schemas.openxmlformats.org/officeDocument/2006/docPropsVTypes"/>
</file>