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dl-mark"/>
        <w:bidi w:val="0"/>
        <w:spacing w:before="2" w:after="160"/>
        <w:jc w:val="right"/>
        <w:rPr/>
      </w:pPr>
      <w:r>
        <w:rPr/>
        <w:t>Draft for Kestrel’s approval – 12 October 2026</w:t>
      </w:r>
    </w:p>
    <w:p>
      <w:pPr>
        <w:pStyle w:val="BodyTextdl-title"/>
        <w:bidi w:val="0"/>
        <w:rPr/>
      </w:pPr>
      <w:r>
        <w:rPr/>
        <w:t>DISCLOSURE LETTER</w:t>
      </w:r>
    </w:p>
    <w:p>
      <w:pPr>
        <w:pStyle w:val="BodyTextdl-sub"/>
        <w:bidi w:val="0"/>
        <w:rPr/>
      </w:pPr>
      <w:r>
        <w:rPr/>
        <w:t>Subscription agreement – Series A investment in Kestrel Software Ltd</w:t>
      </w:r>
    </w:p>
    <w:tbl>
      <w:tblPr>
        <w:tblW w:w="5000" w:type="pct"/>
        <w:jc w:val="left"/>
        <w:tblInd w:w="60" w:type="dxa"/>
        <w:tblLayout w:type="fixed"/>
        <w:tblCellMar>
          <w:top w:w="60" w:type="dxa"/>
          <w:left w:w="60" w:type="dxa"/>
          <w:bottom w:w="60" w:type="dxa"/>
          <w:right w:w="60" w:type="dxa"/>
        </w:tblCellMar>
      </w:tblPr>
      <w:tblGrid>
        <w:gridCol w:w="1316"/>
        <w:gridCol w:w="8095"/>
      </w:tblGrid>
      <w:tr>
        <w:trPr/>
        <w:tc>
          <w:tcPr>
            <w:tcW w:w="1316" w:type="dxa"/>
            <w:tcBorders>
              <w:top w:val="single" w:sz="6" w:space="0" w:color="999999"/>
              <w:left w:val="single" w:sz="6" w:space="0" w:color="999999"/>
              <w:bottom w:val="single" w:sz="2" w:space="0" w:color="999999"/>
              <w:right w:val="single" w:sz="6" w:space="0" w:color="999999"/>
            </w:tcBorders>
            <w:shd w:fill="E8E8E8" w:val="clear"/>
          </w:tcPr>
          <w:p>
            <w:pPr>
              <w:pStyle w:val="BodyTextcell"/>
              <w:bidi w:val="0"/>
              <w:spacing w:before="40" w:after="40"/>
              <w:jc w:val="left"/>
              <w:rPr>
                <w:b/>
              </w:rPr>
            </w:pPr>
            <w:r>
              <w:rPr>
                <w:b/>
              </w:rPr>
              <w:t>To</w:t>
            </w:r>
          </w:p>
        </w:tc>
        <w:tc>
          <w:tcPr>
            <w:tcW w:w="8095" w:type="dxa"/>
            <w:tcBorders>
              <w:top w:val="single" w:sz="6" w:space="0" w:color="999999"/>
              <w:left w:val="single" w:sz="2" w:space="0" w:color="999999"/>
              <w:bottom w:val="single" w:sz="2" w:space="0" w:color="999999"/>
              <w:right w:val="single" w:sz="6" w:space="0" w:color="999999"/>
            </w:tcBorders>
          </w:tcPr>
          <w:p>
            <w:pPr>
              <w:pStyle w:val="BodyTextcell"/>
              <w:bidi w:val="0"/>
              <w:spacing w:lineRule="auto" w:line="276" w:before="40" w:after="40"/>
              <w:jc w:val="left"/>
              <w:rPr/>
            </w:pPr>
            <w:r>
              <w:rPr/>
              <w:t>Merrowdown Ventures LLP, Tidewater House, 31 Dockside, Marlbridge WX1 5DR</w:t>
              <w:br/>
              <w:t>Pellridge Capital Partners LP, 6 Hollin Gate, Marlbridge WX2 4LT</w:t>
            </w:r>
          </w:p>
        </w:tc>
      </w:tr>
      <w:tr>
        <w:trPr/>
        <w:tc>
          <w:tcPr>
            <w:tcW w:w="1316" w:type="dxa"/>
            <w:tcBorders>
              <w:left w:val="single" w:sz="6" w:space="0" w:color="999999"/>
              <w:bottom w:val="single" w:sz="2" w:space="0" w:color="999999"/>
              <w:right w:val="single" w:sz="6" w:space="0" w:color="999999"/>
            </w:tcBorders>
            <w:shd w:fill="E8E8E8" w:val="clear"/>
          </w:tcPr>
          <w:p>
            <w:pPr>
              <w:pStyle w:val="BodyTextcell"/>
              <w:bidi w:val="0"/>
              <w:spacing w:before="40" w:after="40"/>
              <w:jc w:val="left"/>
              <w:rPr>
                <w:b/>
              </w:rPr>
            </w:pPr>
            <w:r>
              <w:rPr>
                <w:b/>
              </w:rPr>
              <w:t>From</w:t>
            </w:r>
          </w:p>
        </w:tc>
        <w:tc>
          <w:tcPr>
            <w:tcW w:w="8095" w:type="dxa"/>
            <w:tcBorders>
              <w:left w:val="single" w:sz="2" w:space="0" w:color="999999"/>
              <w:bottom w:val="single" w:sz="2" w:space="0" w:color="999999"/>
              <w:right w:val="single" w:sz="6" w:space="0" w:color="999999"/>
            </w:tcBorders>
          </w:tcPr>
          <w:p>
            <w:pPr>
              <w:pStyle w:val="BodyTextcell"/>
              <w:bidi w:val="0"/>
              <w:spacing w:lineRule="auto" w:line="276" w:before="40" w:after="40"/>
              <w:jc w:val="left"/>
              <w:rPr/>
            </w:pPr>
            <w:r>
              <w:rPr/>
              <w:t xml:space="preserve">Kestrel Software Ltd, Kingfisher Yard, 22 Ropewalk, Marlbridge WX6 1KS (the </w:t>
            </w:r>
            <w:r>
              <w:rPr>
                <w:b/>
              </w:rPr>
              <w:t>Company</w:t>
            </w:r>
            <w:r>
              <w:rPr/>
              <w:t xml:space="preserve">), and Ines Kowalczyk and Tobias Wren (the </w:t>
            </w:r>
            <w:r>
              <w:rPr>
                <w:b/>
              </w:rPr>
              <w:t>Founders</w:t>
            </w:r>
            <w:r>
              <w:rPr/>
              <w:t>)</w:t>
            </w:r>
          </w:p>
        </w:tc>
      </w:tr>
      <w:tr>
        <w:trPr/>
        <w:tc>
          <w:tcPr>
            <w:tcW w:w="1316" w:type="dxa"/>
            <w:tcBorders>
              <w:left w:val="single" w:sz="6" w:space="0" w:color="999999"/>
              <w:bottom w:val="single" w:sz="6" w:space="0" w:color="999999"/>
              <w:right w:val="single" w:sz="6" w:space="0" w:color="999999"/>
            </w:tcBorders>
            <w:shd w:fill="E8E8E8" w:val="clear"/>
          </w:tcPr>
          <w:p>
            <w:pPr>
              <w:pStyle w:val="BodyTextcell"/>
              <w:bidi w:val="0"/>
              <w:spacing w:before="40" w:after="40"/>
              <w:jc w:val="left"/>
              <w:rPr>
                <w:b/>
              </w:rPr>
            </w:pPr>
            <w:r>
              <w:rPr>
                <w:b/>
              </w:rPr>
              <w:t>Date</w:t>
            </w:r>
          </w:p>
        </w:tc>
        <w:tc>
          <w:tcPr>
            <w:tcW w:w="8095" w:type="dxa"/>
            <w:tcBorders>
              <w:left w:val="single" w:sz="2" w:space="0" w:color="999999"/>
              <w:bottom w:val="single" w:sz="6" w:space="0" w:color="999999"/>
              <w:right w:val="single" w:sz="6" w:space="0" w:color="999999"/>
            </w:tcBorders>
          </w:tcPr>
          <w:p>
            <w:pPr>
              <w:pStyle w:val="BodyTextcell"/>
              <w:bidi w:val="0"/>
              <w:spacing w:lineRule="auto" w:line="276" w:before="40" w:after="40"/>
              <w:jc w:val="left"/>
              <w:rPr/>
            </w:pPr>
            <w:r>
              <w:rPr/>
              <w:t>12 October 2026</w:t>
            </w:r>
          </w:p>
        </w:tc>
      </w:tr>
    </w:tbl>
    <w:p>
      <w:pPr>
        <w:pStyle w:val="BodyText"/>
        <w:bidi w:val="0"/>
        <w:spacing w:before="200" w:after="100"/>
        <w:ind w:hanging="0" w:left="0" w:right="0"/>
        <w:jc w:val="left"/>
        <w:rPr/>
      </w:pPr>
      <w:r>
        <w:rPr/>
        <w:t xml:space="preserve">We refer to the subscription agreement between the Company, the Founders and the Investors that is to be signed on 23 October 2026 (the </w:t>
      </w:r>
      <w:r>
        <w:rPr>
          <w:b/>
        </w:rPr>
        <w:t>Agreement</w:t>
      </w:r>
      <w:r>
        <w:rPr/>
        <w:t>). This is the Disclosure Letter. Words defined in the Agreement have the same meaning here, and a paragraph number is a paragraph of Schedule 2 to the Agreement, which sets out the Warranties.</w:t>
      </w:r>
    </w:p>
    <w:p>
      <w:pPr>
        <w:pStyle w:val="BodyTextdl-head"/>
        <w:bidi w:val="0"/>
        <w:jc w:val="left"/>
        <w:rPr/>
      </w:pPr>
      <w:r>
        <w:rPr/>
        <w:t>1.    General disclosures</w:t>
      </w:r>
    </w:p>
    <w:p>
      <w:pPr>
        <w:pStyle w:val="BodyText"/>
        <w:bidi w:val="0"/>
        <w:jc w:val="left"/>
        <w:rPr/>
      </w:pPr>
      <w:r>
        <w:rPr/>
        <w:t>These are made against all the Warranties. We disclose:</w:t>
      </w:r>
    </w:p>
    <w:p>
      <w:pPr>
        <w:pStyle w:val="BodyTextcl"/>
        <w:bidi w:val="0"/>
        <w:rPr/>
      </w:pPr>
      <w:r>
        <w:rPr/>
        <w:t>1.1    everything about the Company that appears on the public register at the companies registry;</w:t>
      </w:r>
    </w:p>
    <w:p>
      <w:pPr>
        <w:pStyle w:val="BodyTextcl"/>
        <w:bidi w:val="0"/>
        <w:rPr/>
      </w:pPr>
      <w:r>
        <w:rPr/>
        <w:t>1.2    everything in the documents in the data room as it was indexed on 28 September 2026, a copy of the index to which has been given to the Investors’ solicitors; and</w:t>
      </w:r>
    </w:p>
    <w:p>
      <w:pPr>
        <w:pStyle w:val="BodyTextcl"/>
        <w:bidi w:val="0"/>
        <w:rPr/>
      </w:pPr>
      <w:r>
        <w:rPr/>
        <w:t>1.3    everything in the Company’s last statutory accounts and in its management accounts to 31 August 2026.</w:t>
      </w:r>
    </w:p>
    <w:p>
      <w:pPr>
        <w:pStyle w:val="BodyTextdl-head"/>
        <w:bidi w:val="0"/>
        <w:jc w:val="left"/>
        <w:rPr/>
      </w:pPr>
      <w:r>
        <w:rPr/>
        <w:t>2.    Specific disclosures</w:t>
      </w:r>
    </w:p>
    <w:p>
      <w:pPr>
        <w:pStyle w:val="BodyText"/>
        <w:bidi w:val="0"/>
        <w:jc w:val="left"/>
        <w:rPr/>
      </w:pPr>
      <w:r>
        <w:rPr/>
        <w:t>Each of these is made against the Warranty in the paragraph shown, and against any other Warranty it fairly relates to.</w:t>
      </w:r>
    </w:p>
    <w:p>
      <w:pPr>
        <w:pStyle w:val="BodyTextcl"/>
        <w:bidi w:val="0"/>
        <w:rPr/>
      </w:pPr>
      <w:r>
        <w:rPr>
          <w:b/>
        </w:rPr>
        <w:t>2.1    Paragraph 6 (Customers).</w:t>
      </w:r>
      <w:r>
        <w:rPr/>
        <w:t xml:space="preserve"> Brackenmoor Care Homes Ltd, which was 22% of the Company’s revenue in its last financial year, has a contract with a change-of-control clause: it may end the contract if control of the Company changes. The Company’s view is that the Investors’ subscription does not give anyone control of the Company, and so does not trigger that clause. Brackenmoor has not been asked to consent to the investment and has not asked to end the contract.</w:t>
      </w:r>
    </w:p>
    <w:p>
      <w:pPr>
        <w:pStyle w:val="BodyTextcl"/>
        <w:bidi w:val="0"/>
        <w:rPr/>
      </w:pPr>
      <w:r>
        <w:rPr>
          <w:b/>
        </w:rPr>
        <w:t>2.2    Paragraph 5 (Software and open source).</w:t>
      </w:r>
      <w:r>
        <w:rPr/>
        <w:t xml:space="preserve"> The Kestrel Rota desktop app bundles an open-source component that is licensed on copyleft terms. Such a licence can oblige a person who distributes the app to make its source code available. The Company will replace the component, or meet the terms of its licence, before the Company next distributes the app, and in any case by 31 March 2027.</w:t>
      </w:r>
    </w:p>
    <w:p>
      <w:pPr>
        <w:pStyle w:val="BodyTextcl"/>
        <w:bidi w:val="0"/>
        <w:rPr/>
      </w:pPr>
      <w:r>
        <w:rPr>
          <w:b/>
        </w:rPr>
        <w:t>2.3    Paragraph 4 (Intellectual property).</w:t>
      </w:r>
      <w:r>
        <w:rPr/>
        <w:t xml:space="preserve"> Owain Rhys, a former contractor to the Company, wrote the 2021 reporting module of Kestrel Rota. He signed a written assignment of his rights in it to the Company only on 9 October 2026, so until that day the Company held no written assignment. The Company holds a copy of the signed assignment, and the original is to follow.</w:t>
      </w:r>
    </w:p>
    <w:p>
      <w:pPr>
        <w:pStyle w:val="BodyTextcl"/>
        <w:bidi w:val="0"/>
        <w:rPr/>
      </w:pPr>
      <w:r>
        <w:rPr>
          <w:b/>
        </w:rPr>
        <w:t>2.4    Paragraph 9 (Property).</w:t>
      </w:r>
      <w:r>
        <w:rPr/>
        <w:t xml:space="preserve"> The lease of the Company’s office at Kingfisher Yard ends in March 2027. No new lease or extension has yet been agreed.</w:t>
      </w:r>
    </w:p>
    <w:p>
      <w:pPr>
        <w:pStyle w:val="BodyTextcl"/>
        <w:bidi w:val="0"/>
        <w:rPr/>
      </w:pPr>
      <w:r>
        <w:rPr>
          <w:b/>
        </w:rPr>
        <w:t>2.5    Paragraph 8 (Data protection).</w:t>
      </w:r>
      <w:r>
        <w:rPr/>
        <w:t xml:space="preserve"> In May 2026 a customer reported an incident involving personal data of its staff that is held in Kestrel Rota. The Company dealt with the incident with that customer, and it was resolved without a regulator being involved.</w:t>
      </w:r>
    </w:p>
    <w:p>
      <w:pPr>
        <w:pStyle w:val="BodyTextdl-head"/>
        <w:bidi w:val="0"/>
        <w:jc w:val="left"/>
        <w:rPr/>
      </w:pPr>
      <w:r>
        <w:rPr/>
        <w:t>3.    How this letter works</w:t>
      </w:r>
    </w:p>
    <w:p>
      <w:pPr>
        <w:pStyle w:val="BodyTextcl"/>
        <w:bidi w:val="0"/>
        <w:rPr/>
      </w:pPr>
      <w:r>
        <w:rPr/>
        <w:t>3.1    A matter disclosed against one Warranty is disclosed against every other Warranty to which its relevance is reasonably clear.</w:t>
      </w:r>
    </w:p>
    <w:p>
      <w:pPr>
        <w:pStyle w:val="BodyTextcl"/>
        <w:bidi w:val="0"/>
        <w:rPr/>
      </w:pPr>
      <w:r>
        <w:rPr/>
        <w:t>3.2    Nothing in this letter is an admission that a Warranty is untrue or that the Company or a Founder has broken any promise, or any duty to anyone.</w:t>
      </w:r>
    </w:p>
    <w:p>
      <w:pPr>
        <w:pStyle w:val="BodyTextcl"/>
        <w:bidi w:val="0"/>
        <w:rPr/>
      </w:pPr>
      <w:r>
        <w:rPr/>
        <w:t>3.3    The Company and the Founders deliver this letter at Completion, together with the Agreement, and it is the Disclosure Letter for the purposes of the Agreement.</w:t>
      </w:r>
    </w:p>
    <w:p>
      <w:pPr>
        <w:pStyle w:val="BodyText"/>
        <w:bidi w:val="0"/>
        <w:spacing w:before="200" w:after="100"/>
        <w:ind w:hanging="0" w:left="0" w:right="0"/>
        <w:jc w:val="left"/>
        <w:rPr/>
      </w:pPr>
      <w:r>
        <w:rPr/>
        <w:t>Yours faithfully</w:t>
      </w:r>
    </w:p>
    <w:tbl>
      <w:tblPr>
        <w:tblW w:w="5000" w:type="pct"/>
        <w:jc w:val="left"/>
        <w:tblInd w:w="60" w:type="dxa"/>
        <w:tblLayout w:type="fixed"/>
        <w:tblCellMar>
          <w:top w:w="60" w:type="dxa"/>
          <w:left w:w="60" w:type="dxa"/>
          <w:bottom w:w="60" w:type="dxa"/>
          <w:right w:w="60" w:type="dxa"/>
        </w:tblCellMar>
      </w:tblPr>
      <w:tblGrid>
        <w:gridCol w:w="3198"/>
        <w:gridCol w:w="3107"/>
        <w:gridCol w:w="3106"/>
      </w:tblGrid>
      <w:tr>
        <w:trPr/>
        <w:tc>
          <w:tcPr>
            <w:tcW w:w="3198" w:type="dxa"/>
            <w:tcBorders/>
          </w:tcPr>
          <w:p>
            <w:pPr>
              <w:pStyle w:val="BodyTextsigblock"/>
              <w:bidi w:val="0"/>
              <w:spacing w:lineRule="auto" w:line="312" w:before="2" w:after="40"/>
              <w:jc w:val="left"/>
              <w:rPr/>
            </w:pPr>
            <w:r>
              <w:rPr/>
              <w:t>For and on behalf of</w:t>
              <w:br/>
            </w:r>
            <w:r>
              <w:rPr>
                <w:b/>
              </w:rPr>
              <w:t>Kestrel Software Ltd</w:t>
            </w:r>
          </w:p>
          <w:p>
            <w:pPr>
              <w:pStyle w:val="BodyTextsigline"/>
              <w:bidi w:val="0"/>
              <w:spacing w:before="440" w:after="40"/>
              <w:jc w:val="left"/>
              <w:rPr/>
            </w:pPr>
            <w:r>
              <w:rPr/>
              <w:t>______________________</w:t>
            </w:r>
          </w:p>
          <w:p>
            <w:pPr>
              <w:pStyle w:val="BodyTextsigblock"/>
              <w:bidi w:val="0"/>
              <w:spacing w:lineRule="auto" w:line="312" w:before="2" w:after="40"/>
              <w:jc w:val="left"/>
              <w:rPr/>
            </w:pPr>
            <w:r>
              <w:rPr/>
              <w:t>Ines Kowalczyk, Director</w:t>
            </w:r>
          </w:p>
        </w:tc>
        <w:tc>
          <w:tcPr>
            <w:tcW w:w="3107" w:type="dxa"/>
            <w:tcBorders/>
          </w:tcPr>
          <w:p>
            <w:pPr>
              <w:pStyle w:val="BodyTextsigblock"/>
              <w:bidi w:val="0"/>
              <w:spacing w:lineRule="auto" w:line="312" w:before="2" w:after="40"/>
              <w:jc w:val="left"/>
              <w:rPr/>
            </w:pPr>
            <w:r>
              <w:rPr/>
              <w:t> </w:t>
            </w:r>
            <w:r>
              <w:rPr/>
              <w:br/>
            </w:r>
            <w:r>
              <w:rPr>
                <w:b/>
              </w:rPr>
              <w:t>Ines Kowalczyk</w:t>
            </w:r>
          </w:p>
          <w:p>
            <w:pPr>
              <w:pStyle w:val="BodyTextsigline"/>
              <w:bidi w:val="0"/>
              <w:spacing w:before="440" w:after="40"/>
              <w:jc w:val="left"/>
              <w:rPr/>
            </w:pPr>
            <w:r>
              <w:rPr/>
              <w:t>______________________</w:t>
            </w:r>
          </w:p>
          <w:p>
            <w:pPr>
              <w:pStyle w:val="BodyTextsigblock"/>
              <w:bidi w:val="0"/>
              <w:spacing w:lineRule="auto" w:line="312" w:before="2" w:after="40"/>
              <w:jc w:val="left"/>
              <w:rPr/>
            </w:pPr>
            <w:r>
              <w:rPr/>
              <w:t>as a Founder</w:t>
            </w:r>
          </w:p>
        </w:tc>
        <w:tc>
          <w:tcPr>
            <w:tcW w:w="3106" w:type="dxa"/>
            <w:tcBorders/>
          </w:tcPr>
          <w:p>
            <w:pPr>
              <w:pStyle w:val="BodyTextsigblock"/>
              <w:bidi w:val="0"/>
              <w:spacing w:lineRule="auto" w:line="312" w:before="2" w:after="40"/>
              <w:jc w:val="left"/>
              <w:rPr/>
            </w:pPr>
            <w:r>
              <w:rPr/>
              <w:t> </w:t>
            </w:r>
            <w:r>
              <w:rPr/>
              <w:br/>
            </w:r>
            <w:r>
              <w:rPr>
                <w:b/>
              </w:rPr>
              <w:t>Tobias Wren</w:t>
            </w:r>
          </w:p>
          <w:p>
            <w:pPr>
              <w:pStyle w:val="BodyTextsigline"/>
              <w:bidi w:val="0"/>
              <w:spacing w:before="440" w:after="40"/>
              <w:jc w:val="left"/>
              <w:rPr/>
            </w:pPr>
            <w:r>
              <w:rPr/>
              <w:t>______________________</w:t>
            </w:r>
          </w:p>
          <w:p>
            <w:pPr>
              <w:pStyle w:val="BodyTextsigblock"/>
              <w:bidi w:val="0"/>
              <w:spacing w:lineRule="auto" w:line="312" w:before="2" w:after="40"/>
              <w:jc w:val="left"/>
              <w:rPr/>
            </w:pPr>
            <w:r>
              <w:rPr/>
              <w:t>as a Founder</w:t>
            </w:r>
          </w:p>
        </w:tc>
      </w:tr>
    </w:tbl>
    <w:p>
      <w:pPr>
        <w:pStyle w:val="BodyTextnote"/>
        <w:bidi w:val="0"/>
        <w:spacing w:before="240" w:after="100"/>
        <w:jc w:val="left"/>
        <w:rPr/>
      </w:pPr>
      <w:r>
        <w:rPr/>
        <w:t>Note for Kestrel: please check every statement here against the data room before this letter is signed. Something left out is something the Investors may later claim for.</w:t>
      </w:r>
    </w:p>
    <w:sectPr>
      <w:footerReference w:type="default" r:id="rId2"/>
      <w:type w:val="nextPage"/>
      <w:pgSz w:w="11906" w:h="16838"/>
      <w:pgMar w:left="1247" w:right="1247" w:gutter="0" w:header="0" w:top="964" w:footer="964" w:bottom="1211"/>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Calibri">
    <w:charset w:val="01"/>
    <w:family w:val="auto"/>
    <w:pitch w:val="default"/>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dl-foot"/>
      <w:pBdr>
        <w:top w:val="single" w:sz="4" w:space="3" w:color="999999"/>
      </w:pBdr>
      <w:bidi w:val="0"/>
      <w:spacing w:before="2" w:after="2"/>
      <w:jc w:val="center"/>
      <w:rPr/>
    </w:pPr>
    <w:r>
      <w:rPr/>
      <w:t xml:space="preserve">Disclosure letter – Kestrel Software Ltd – Series A – Draft of 12 October 2026 – Page </w:t>
    </w:r>
    <w:r>
      <w:rPr/>
      <w:fldChar w:fldCharType="begin"/>
    </w:r>
    <w:r>
      <w:rPr/>
      <w:instrText xml:space="preserve"> PAGE </w:instrText>
    </w:r>
    <w:r>
      <w:rPr/>
      <w:fldChar w:fldCharType="separate"/>
    </w:r>
    <w:r>
      <w:rPr/>
      <w:t>1</w:t>
    </w:r>
    <w:r>
      <w:rPr/>
      <w:fldChar w:fldCharType="end"/>
    </w:r>
    <w:r>
      <w:rPr/>
      <w:t xml:space="preserve"> of </w:t>
    </w:r>
    <w:r>
      <w:rPr/>
      <w:fldChar w:fldCharType="begin"/>
    </w:r>
    <w:r>
      <w:rPr/>
      <w:instrText xml:space="preserve"> NUMPAGES \* ARABIC </w:instrText>
    </w:r>
    <w:r>
      <w:rPr/>
      <w:fldChar w:fldCharType="separate"/>
    </w:r>
    <w:r>
      <w:rPr/>
      <w:t>2</w:t>
    </w:r>
    <w:r>
      <w:rPr/>
      <w:fldChar w:fldCharType="end"/>
    </w:r>
  </w:p>
</w:ftr>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suppressAutoHyphens w:val="true"/>
      </w:pPr>
    </w:pPrDefault>
  </w:docDefaults>
  <w:style w:type="paragraph" w:styleId="Normal">
    <w:name w:val="Normal"/>
    <w:qFormat/>
    <w:pPr>
      <w:widowControl w:val="false"/>
      <w:bidi w:val="0"/>
    </w:pPr>
    <w:rPr>
      <w:rFonts w:ascii="Arial" w:hAnsi="Arial" w:eastAsia="Arial" w:cs="Arial"/>
      <w:color w:val="000000"/>
      <w:sz w:val="20"/>
      <w:szCs w:val="20"/>
      <w:lang w:val="en-GB" w:eastAsia="zh-CN" w:bidi="hi-IN"/>
    </w:rPr>
  </w:style>
  <w:style w:type="paragraph" w:styleId="Heading1">
    <w:name w:val="heading 1"/>
    <w:basedOn w:val="Heading"/>
    <w:next w:val="BodyText"/>
    <w:qFormat/>
    <w:pPr>
      <w:spacing w:before="240" w:after="120"/>
      <w:outlineLvl w:val="0"/>
    </w:pPr>
    <w:rPr>
      <w:rFonts w:ascii="Calibri" w:hAnsi="Calibri" w:eastAsia="Calibri" w:cs="Calibri"/>
      <w:b/>
      <w:bCs/>
      <w:color w:val="1D4E5F"/>
      <w:sz w:val="30"/>
      <w:szCs w:val="30"/>
    </w:rPr>
  </w:style>
  <w:style w:type="paragraph" w:styleId="Heading2">
    <w:name w:val="heading 2"/>
    <w:basedOn w:val="Heading"/>
    <w:next w:val="BodyText"/>
    <w:qFormat/>
    <w:pPr>
      <w:spacing w:before="200" w:after="80"/>
      <w:outlineLvl w:val="1"/>
    </w:pPr>
    <w:rPr>
      <w:rFonts w:ascii="Calibri" w:hAnsi="Calibri" w:eastAsia="Calibri" w:cs="Calibri"/>
      <w:b/>
      <w:bCs/>
      <w:color w:val="1D4E5F"/>
      <w:sz w:val="24"/>
      <w:szCs w:val="24"/>
    </w:rPr>
  </w:style>
  <w:style w:type="paragraph" w:styleId="Heading3">
    <w:name w:val="heading 3"/>
    <w:basedOn w:val="Heading"/>
    <w:next w:val="BodyText"/>
    <w:qFormat/>
    <w:pPr>
      <w:spacing w:before="160" w:after="60"/>
      <w:outlineLvl w:val="2"/>
    </w:pPr>
    <w:rPr>
      <w:rFonts w:ascii="Calibri" w:hAnsi="Calibri" w:eastAsia="Calibri" w:cs="Calibri"/>
      <w:b/>
      <w:bCs/>
      <w:color w:val="000000"/>
      <w:sz w:val="21"/>
      <w:szCs w:val="21"/>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83" w:before="0" w:after="10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BodyTextdl-foot">
    <w:name w:val="Body Text.dl-foot"/>
    <w:basedOn w:val="BodyText"/>
    <w:qFormat/>
    <w:pPr>
      <w:pBdr>
        <w:top w:val="single" w:sz="4" w:space="3" w:color="999999"/>
      </w:pBdr>
      <w:spacing w:before="2" w:after="2"/>
      <w:jc w:val="center"/>
    </w:pPr>
    <w:rPr>
      <w:rFonts w:ascii="Arial" w:hAnsi="Arial" w:eastAsia="Arial" w:cs="Arial"/>
      <w:color w:val="444444"/>
      <w:sz w:val="15"/>
      <w:szCs w:val="15"/>
    </w:rPr>
  </w:style>
  <w:style w:type="paragraph" w:styleId="BodyTextdl-mark">
    <w:name w:val="Body Text.dl-mark"/>
    <w:basedOn w:val="BodyText"/>
    <w:qFormat/>
    <w:pPr>
      <w:spacing w:before="2" w:after="160"/>
      <w:jc w:val="right"/>
    </w:pPr>
    <w:rPr>
      <w:rFonts w:ascii="Arial" w:hAnsi="Arial" w:eastAsia="Arial" w:cs="Arial"/>
      <w:b/>
      <w:bCs/>
      <w:color w:val="7A1A1A"/>
      <w:sz w:val="18"/>
      <w:szCs w:val="18"/>
    </w:rPr>
  </w:style>
  <w:style w:type="paragraph" w:styleId="BodyTextdl-title">
    <w:name w:val="Body Text.dl-title"/>
    <w:basedOn w:val="BodyText"/>
    <w:qFormat/>
    <w:pPr>
      <w:spacing w:before="120" w:after="60"/>
      <w:jc w:val="center"/>
    </w:pPr>
    <w:rPr>
      <w:rFonts w:ascii="Arial" w:hAnsi="Arial" w:eastAsia="Arial" w:cs="Arial"/>
      <w:b/>
      <w:bCs/>
      <w:sz w:val="36"/>
      <w:szCs w:val="36"/>
    </w:rPr>
  </w:style>
  <w:style w:type="paragraph" w:styleId="BodyTextdl-sub">
    <w:name w:val="Body Text.dl-sub"/>
    <w:basedOn w:val="BodyText"/>
    <w:qFormat/>
    <w:pPr>
      <w:spacing w:before="2" w:after="240"/>
      <w:jc w:val="center"/>
    </w:pPr>
    <w:rPr>
      <w:rFonts w:ascii="Arial" w:hAnsi="Arial" w:eastAsia="Arial" w:cs="Arial"/>
      <w:sz w:val="21"/>
      <w:szCs w:val="21"/>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odyTextcell">
    <w:name w:val="Body Text.cell"/>
    <w:basedOn w:val="TableContents"/>
    <w:qFormat/>
    <w:pPr>
      <w:spacing w:lineRule="auto" w:line="276" w:before="40" w:after="40"/>
    </w:pPr>
    <w:rPr>
      <w:rFonts w:ascii="Arial" w:hAnsi="Arial" w:eastAsia="Arial" w:cs="Arial"/>
      <w:sz w:val="19"/>
      <w:szCs w:val="19"/>
    </w:rPr>
  </w:style>
  <w:style w:type="paragraph" w:styleId="BodyTextdl-head">
    <w:name w:val="Body Text.dl-head"/>
    <w:basedOn w:val="BodyText"/>
    <w:qFormat/>
    <w:pPr>
      <w:keepNext w:val="true"/>
      <w:spacing w:before="200" w:after="60"/>
    </w:pPr>
    <w:rPr>
      <w:rFonts w:ascii="Arial" w:hAnsi="Arial" w:eastAsia="Arial" w:cs="Arial"/>
      <w:b/>
      <w:bCs/>
      <w:sz w:val="21"/>
      <w:szCs w:val="21"/>
    </w:rPr>
  </w:style>
  <w:style w:type="paragraph" w:styleId="BodyTextcl">
    <w:name w:val="Body Text.cl"/>
    <w:basedOn w:val="BodyText"/>
    <w:qFormat/>
    <w:pPr>
      <w:ind w:hanging="624" w:left="624"/>
      <w:jc w:val="both"/>
    </w:pPr>
    <w:rPr/>
  </w:style>
  <w:style w:type="paragraph" w:styleId="BodyTextsigblock">
    <w:name w:val="Body Text.sigblock"/>
    <w:basedOn w:val="TableContents"/>
    <w:qFormat/>
    <w:pPr>
      <w:spacing w:lineRule="auto" w:line="312" w:before="2" w:after="40"/>
    </w:pPr>
    <w:rPr/>
  </w:style>
  <w:style w:type="paragraph" w:styleId="BodyTextsigline">
    <w:name w:val="Body Text.sigline"/>
    <w:basedOn w:val="TableContents"/>
    <w:qFormat/>
    <w:pPr>
      <w:spacing w:before="440" w:after="40"/>
    </w:pPr>
    <w:rPr/>
  </w:style>
  <w:style w:type="paragraph" w:styleId="BodyTextnote">
    <w:name w:val="Body Text.note"/>
    <w:basedOn w:val="BodyText"/>
    <w:qFormat/>
    <w:pPr>
      <w:spacing w:before="240" w:after="100"/>
    </w:pPr>
    <w:rPr>
      <w:rFonts w:ascii="Arial" w:hAnsi="Arial" w:eastAsia="Arial" w:cs="Arial"/>
      <w:i/>
      <w:iCs/>
      <w:color w:val="444444"/>
      <w:sz w:val="17"/>
      <w:szCs w:val="17"/>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LibreOffice/26.2.6.3$Linux_AARCH64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2026-10-12T09:35:00Z</dcterms:created>
  <dc:creator>Priya Nair</dc:creator>
  <dc:description/>
  <cp:keywords>disclosure letter Series A Kestrel Software Ltd</cp:keywords>
  <dc:language>en-US</dc:language>
  <cp:lastModifiedBy>Priya Nair</cp:lastModifiedBy>
  <dcterms:modified xsi:type="dcterms:W3CDTF">2026-10-12T10:42:00Z</dcterms:modified>
  <cp:revision>0</cp:revision>
  <dc:subject/>
  <dc:title>Disclosure Letter – Draft</dc:title>
</cp:coreProperties>
</file>

<file path=docProps/custom.xml><?xml version="1.0" encoding="utf-8"?>
<Properties xmlns="http://schemas.openxmlformats.org/officeDocument/2006/custom-properties" xmlns:vt="http://schemas.openxmlformats.org/officeDocument/2006/docPropsVTypes"/>
</file>