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0" w:type="dxa"/>
          <w:bottom w:w="0" w:type="dxa"/>
          <w:right w:w="0" w:type="dxa"/>
        </w:tblCellMar>
      </w:tblPr>
      <w:tblGrid>
        <w:gridCol w:w="4894"/>
        <w:gridCol w:w="4517"/>
      </w:tblGrid>
      <w:tr>
        <w:trPr/>
        <w:tc>
          <w:tcPr>
            <w:tcW w:w="4894" w:type="dxa"/>
            <w:tcBorders/>
            <w:vAlign w:val="bottom"/>
          </w:tcPr>
          <w:p>
            <w:pPr>
              <w:pStyle w:val="BodyTextkl-name"/>
              <w:bidi w:val="0"/>
              <w:spacing w:lineRule="auto" w:line="240" w:before="2" w:after="2"/>
              <w:jc w:val="left"/>
              <w:rPr/>
            </w:pPr>
            <w:r>
              <w:rPr/>
              <w:t>Kestrel Software Ltd</w:t>
            </w:r>
          </w:p>
          <w:p>
            <w:pPr>
              <w:pStyle w:val="BodyTextkl-sub"/>
              <w:bidi w:val="0"/>
              <w:spacing w:before="2" w:after="2"/>
              <w:jc w:val="left"/>
              <w:rPr/>
            </w:pPr>
            <w:r>
              <w:rPr/>
              <w:t>Makers of Kestrel Rota</w:t>
            </w:r>
          </w:p>
        </w:tc>
        <w:tc>
          <w:tcPr>
            <w:tcW w:w="4517" w:type="dxa"/>
            <w:tcBorders/>
            <w:vAlign w:val="bottom"/>
          </w:tcPr>
          <w:p>
            <w:pPr>
              <w:pStyle w:val="BodyTextkl-details"/>
              <w:bidi w:val="0"/>
              <w:spacing w:lineRule="auto" w:line="300" w:before="2" w:after="2"/>
              <w:jc w:val="right"/>
              <w:rPr/>
            </w:pPr>
            <w:r>
              <w:rPr/>
              <w:t>Kingfisher Yard, 22 Ropewalk</w:t>
              <w:br/>
              <w:t>Marlbridge WX6 1KS</w:t>
              <w:br/>
              <w:t>Telephone 01632 960260</w:t>
              <w:br/>
              <w:t>hello@kestrel-software.example</w:t>
            </w:r>
          </w:p>
        </w:tc>
      </w:tr>
    </w:tbl>
    <w:p>
      <w:pPr>
        <w:pStyle w:val="BodyTextkl-rule"/>
        <w:bidi w:val="0"/>
        <w:jc w:val="left"/>
        <w:rPr/>
      </w:pPr>
      <w:r>
        <w:rPr/>
        <w:t> </w:t>
      </w:r>
    </w:p>
    <w:p>
      <w:pPr>
        <w:pStyle w:val="BodyTextkl-title"/>
        <w:bidi w:val="0"/>
        <w:jc w:val="left"/>
        <w:rPr/>
      </w:pPr>
      <w:r>
        <w:rPr/>
        <w:t>Kestrel Rota – Customer Licence Terms</w:t>
      </w:r>
    </w:p>
    <w:p>
      <w:pPr>
        <w:pStyle w:val="BodyTextkl-ver"/>
        <w:bidi w:val="0"/>
        <w:jc w:val="left"/>
        <w:rPr/>
      </w:pPr>
      <w:r>
        <w:rPr/>
        <w:t>Version 3.2, January 2025</w:t>
      </w:r>
    </w:p>
    <w:p>
      <w:pPr>
        <w:pStyle w:val="BodyText"/>
        <w:bidi w:val="0"/>
        <w:jc w:val="left"/>
        <w:rPr/>
      </w:pPr>
      <w:r>
        <w:rPr/>
        <w:t>These terms apply to every customer of Kestrel Rota, the staff-scheduling service for care homes and clinics that Kestrel Software Ltd (</w:t>
      </w:r>
      <w:r>
        <w:rPr>
          <w:b/>
        </w:rPr>
        <w:t>we</w:t>
      </w:r>
      <w:r>
        <w:rPr/>
        <w:t xml:space="preserve">, </w:t>
      </w:r>
      <w:r>
        <w:rPr>
          <w:b/>
        </w:rPr>
        <w:t>us</w:t>
      </w:r>
      <w:r>
        <w:rPr/>
        <w:t>) supplies. They are the licence between us and the organisation named in the order form (</w:t>
      </w:r>
      <w:r>
        <w:rPr>
          <w:b/>
        </w:rPr>
        <w:t>you</w:t>
      </w:r>
      <w:r>
        <w:rPr/>
        <w:t>).</w:t>
      </w:r>
    </w:p>
    <w:p>
      <w:pPr>
        <w:pStyle w:val="BodyTexthd"/>
        <w:bidi w:val="0"/>
        <w:jc w:val="left"/>
        <w:rPr/>
      </w:pPr>
      <w:r>
        <w:rPr/>
        <w:t>1.    Meanings</w:t>
      </w:r>
    </w:p>
    <w:p>
      <w:pPr>
        <w:pStyle w:val="BodyTextcl"/>
        <w:bidi w:val="0"/>
        <w:rPr/>
      </w:pPr>
      <w:r>
        <w:rPr/>
        <w:t xml:space="preserve">1.1    The </w:t>
      </w:r>
      <w:r>
        <w:rPr>
          <w:b/>
        </w:rPr>
        <w:t>Service</w:t>
      </w:r>
      <w:r>
        <w:rPr/>
        <w:t xml:space="preserve"> is the hosted Kestrel Rota service, which you reach through your web browser. The </w:t>
      </w:r>
      <w:r>
        <w:rPr>
          <w:b/>
        </w:rPr>
        <w:t>Desktop App</w:t>
      </w:r>
      <w:r>
        <w:rPr/>
        <w:t xml:space="preserve"> is the Kestrel Rota desktop scheduler, a program you install on computers at your sites.</w:t>
      </w:r>
    </w:p>
    <w:p>
      <w:pPr>
        <w:pStyle w:val="BodyTextcl"/>
        <w:bidi w:val="0"/>
        <w:rPr/>
      </w:pPr>
      <w:r>
        <w:rPr/>
        <w:t>1.2    </w:t>
      </w:r>
      <w:r>
        <w:rPr>
          <w:b/>
        </w:rPr>
        <w:t>Customer Data</w:t>
      </w:r>
      <w:r>
        <w:rPr/>
        <w:t xml:space="preserve"> is everything you or your staff put into the Service or the Desktop App, including personal data of your staff. The </w:t>
      </w:r>
      <w:r>
        <w:rPr>
          <w:b/>
        </w:rPr>
        <w:t>Fees</w:t>
      </w:r>
      <w:r>
        <w:rPr/>
        <w:t xml:space="preserve"> are those in the order form. A </w:t>
      </w:r>
      <w:r>
        <w:rPr>
          <w:b/>
        </w:rPr>
        <w:t>Year</w:t>
      </w:r>
      <w:r>
        <w:rPr/>
        <w:t xml:space="preserve"> is the 12 months from the start date in the order form, and each 12 months after.</w:t>
      </w:r>
    </w:p>
    <w:p>
      <w:pPr>
        <w:pStyle w:val="BodyTexthd"/>
        <w:bidi w:val="0"/>
        <w:jc w:val="left"/>
        <w:rPr/>
      </w:pPr>
      <w:r>
        <w:rPr/>
        <w:t>2.    The licence</w:t>
      </w:r>
    </w:p>
    <w:p>
      <w:pPr>
        <w:pStyle w:val="BodyTextcl"/>
        <w:bidi w:val="0"/>
        <w:rPr/>
      </w:pPr>
      <w:r>
        <w:rPr/>
        <w:t>2.1    We give you a non-exclusive licence for each Year to use the Service for the number of sites and users in the order form.</w:t>
      </w:r>
    </w:p>
    <w:p>
      <w:pPr>
        <w:pStyle w:val="BodyTextcl"/>
        <w:bidi w:val="0"/>
        <w:rPr/>
      </w:pPr>
      <w:r>
        <w:rPr/>
        <w:t>2.2    We also give you a licence to install the Desktop App on computers at those sites, and to use it only to schedule your own staff.</w:t>
      </w:r>
    </w:p>
    <w:p>
      <w:pPr>
        <w:pStyle w:val="BodyTextcl"/>
        <w:bidi w:val="0"/>
        <w:rPr/>
      </w:pPr>
      <w:r>
        <w:rPr/>
        <w:t>2.3    You may not copy, change, rent or resell the Service or the Desktop App, or try to find their source code, except as the law allows.</w:t>
      </w:r>
    </w:p>
    <w:p>
      <w:pPr>
        <w:pStyle w:val="BodyTextcl"/>
        <w:bidi w:val="0"/>
        <w:rPr/>
      </w:pPr>
      <w:r>
        <w:rPr/>
        <w:t>2.4    You are responsible for how your staff use the Service and the Desktop App, and for keeping their passwords secret.</w:t>
      </w:r>
    </w:p>
    <w:p>
      <w:pPr>
        <w:pStyle w:val="BodyTextcl"/>
        <w:bidi w:val="0"/>
        <w:rPr/>
      </w:pPr>
      <w:r>
        <w:rPr/>
        <w:t>2.5    We may release updates to the Desktop App. You shall install each update within 30 days after we release it, and we are not responsible for a fault that an update would have put right.</w:t>
      </w:r>
    </w:p>
    <w:p>
      <w:pPr>
        <w:pStyle w:val="BodyTexthd"/>
        <w:bidi w:val="0"/>
        <w:jc w:val="left"/>
        <w:rPr/>
      </w:pPr>
      <w:r>
        <w:rPr/>
        <w:t>3.    Fees</w:t>
      </w:r>
    </w:p>
    <w:p>
      <w:pPr>
        <w:pStyle w:val="BodyTextcl"/>
        <w:bidi w:val="0"/>
        <w:rPr/>
      </w:pPr>
      <w:r>
        <w:rPr/>
        <w:t>3.1    You pay the Fees yearly in advance. We invoice on the start date and on each renewal date, and you shall pay within 30 days of the invoice.</w:t>
      </w:r>
    </w:p>
    <w:p>
      <w:pPr>
        <w:pStyle w:val="BodyTextcl"/>
        <w:bidi w:val="0"/>
        <w:rPr/>
      </w:pPr>
      <w:r>
        <w:rPr/>
        <w:t>3.2    The Fees do not include VAT, which you shall also pay.</w:t>
      </w:r>
    </w:p>
    <w:p>
      <w:pPr>
        <w:pStyle w:val="BodyTextcl"/>
        <w:bidi w:val="0"/>
        <w:rPr/>
      </w:pPr>
      <w:r>
        <w:rPr/>
        <w:t>3.3    We may raise the Fees when the licence renews, by no more than 5%, if we tell you at least 60 days before the renewal date.</w:t>
      </w:r>
    </w:p>
    <w:p>
      <w:pPr>
        <w:pStyle w:val="BodyTextcl"/>
        <w:bidi w:val="0"/>
        <w:rPr/>
      </w:pPr>
      <w:r>
        <w:rPr/>
        <w:t>3.4    If you do not pay an invoice when it is due, we may suspend the Service after giving you 14 days’ written notice, until you pay.</w:t>
      </w:r>
    </w:p>
    <w:p>
      <w:pPr>
        <w:pStyle w:val="BodyTexthd"/>
        <w:bidi w:val="0"/>
        <w:jc w:val="left"/>
        <w:rPr/>
      </w:pPr>
      <w:r>
        <w:rPr/>
        <w:t>4.    Starting and ending</w:t>
      </w:r>
    </w:p>
    <w:p>
      <w:pPr>
        <w:pStyle w:val="BodyTextcl"/>
        <w:bidi w:val="0"/>
        <w:rPr/>
      </w:pPr>
      <w:r>
        <w:rPr/>
        <w:t>4.1    The licence starts on the start date in the order form and runs for one Year.</w:t>
      </w:r>
    </w:p>
    <w:p>
      <w:pPr>
        <w:pStyle w:val="BodyTextcl"/>
        <w:bidi w:val="0"/>
        <w:rPr/>
      </w:pPr>
      <w:r>
        <w:rPr/>
        <w:t>4.2    At the end of each Year the licence renews for a further 12 months on the same terms, unless one of us has given the other at least 30 days’ written notice before the end of that Year that it will not renew.</w:t>
      </w:r>
    </w:p>
    <w:p>
      <w:pPr>
        <w:pStyle w:val="BodyTextcl"/>
        <w:bidi w:val="0"/>
        <w:rPr/>
      </w:pPr>
      <w:r>
        <w:rPr/>
        <w:t>4.3    Either of us may end the licence at once by written notice if the other seriously breaks it and does not put that right within 30 days of being told, or if the other becomes insolvent.</w:t>
      </w:r>
    </w:p>
    <w:p>
      <w:pPr>
        <w:pStyle w:val="BodyTextcl"/>
        <w:bidi w:val="0"/>
        <w:rPr/>
      </w:pPr>
      <w:r>
        <w:rPr/>
        <w:t>4.4    When the licence ends you shall stop using the Service and the Desktop App. We shall let you download your Customer Data for 30 days, and then delete it.</w:t>
      </w:r>
    </w:p>
    <w:p>
      <w:pPr>
        <w:pStyle w:val="BodyTexthd"/>
        <w:bidi w:val="0"/>
        <w:jc w:val="left"/>
        <w:rPr/>
      </w:pPr>
      <w:r>
        <w:rPr/>
        <w:t>5.    Support and availability</w:t>
      </w:r>
    </w:p>
    <w:p>
      <w:pPr>
        <w:pStyle w:val="BodyTextcl"/>
        <w:bidi w:val="0"/>
        <w:rPr/>
      </w:pPr>
      <w:r>
        <w:rPr/>
        <w:t>5.1    We give support by telephone and email from 08:00 to 18:00 on working days. We shall answer an urgent fault, which is one that stops you scheduling your staff, within two hours of your report in those hours, and any other fault within one working day.</w:t>
      </w:r>
    </w:p>
    <w:p>
      <w:pPr>
        <w:pStyle w:val="BodyTextcl"/>
        <w:bidi w:val="0"/>
        <w:rPr/>
      </w:pPr>
      <w:r>
        <w:rPr/>
        <w:t>5.2    We shall make the Service available for at least 99.5% of each month. Planned maintenance does not count against that if we do it between 22:00 and 06:00 and give you 48 hours’ notice.</w:t>
      </w:r>
    </w:p>
    <w:p>
      <w:pPr>
        <w:pStyle w:val="BodyTextcl"/>
        <w:bidi w:val="0"/>
        <w:rPr/>
      </w:pPr>
      <w:r>
        <w:rPr/>
        <w:t>5.3    If the Service is available for less than 99.5% of a month, we shall give you a service credit of 5% of that month’s share of the Fees for each full half of a per cent by which it falls short.</w:t>
      </w:r>
    </w:p>
    <w:p>
      <w:pPr>
        <w:pStyle w:val="BodyTextcl"/>
        <w:bidi w:val="0"/>
        <w:rPr/>
      </w:pPr>
      <w:r>
        <w:rPr/>
        <w:t>5.4    There is no limit on the service credits we shall give you. We take them off your next invoice or, if the licence has ended, pay them to you.</w:t>
      </w:r>
    </w:p>
    <w:p>
      <w:pPr>
        <w:pStyle w:val="BodyTextcl"/>
        <w:bidi w:val="0"/>
        <w:rPr/>
      </w:pPr>
      <w:r>
        <w:rPr/>
        <w:t>5.5    For example:</w:t>
      </w:r>
    </w:p>
    <w:tbl>
      <w:tblPr>
        <w:tblW w:w="4400" w:type="pct"/>
        <w:jc w:val="left"/>
        <w:tblInd w:w="45" w:type="dxa"/>
        <w:tblLayout w:type="fixed"/>
        <w:tblCellMar>
          <w:top w:w="45" w:type="dxa"/>
          <w:left w:w="45" w:type="dxa"/>
          <w:bottom w:w="45" w:type="dxa"/>
          <w:right w:w="45" w:type="dxa"/>
        </w:tblCellMar>
      </w:tblPr>
      <w:tblGrid>
        <w:gridCol w:w="4969"/>
        <w:gridCol w:w="3312"/>
      </w:tblGrid>
      <w:tr>
        <w:trPr/>
        <w:tc>
          <w:tcPr>
            <w:tcW w:w="4969" w:type="dxa"/>
            <w:tcBorders>
              <w:top w:val="single" w:sz="6" w:space="0" w:color="999999"/>
              <w:left w:val="single" w:sz="6" w:space="0" w:color="999999"/>
              <w:bottom w:val="single" w:sz="2" w:space="0" w:color="999999"/>
              <w:right w:val="single" w:sz="6" w:space="0" w:color="999999"/>
            </w:tcBorders>
            <w:shd w:fill="F5ECE3" w:val="clear"/>
            <w:vAlign w:val="center"/>
          </w:tcPr>
          <w:p>
            <w:pPr>
              <w:pStyle w:val="BodyTextcell"/>
              <w:bidi w:val="0"/>
              <w:spacing w:before="40" w:after="40"/>
              <w:jc w:val="left"/>
              <w:rPr>
                <w:b/>
              </w:rPr>
            </w:pPr>
            <w:r>
              <w:rPr>
                <w:b/>
              </w:rPr>
              <w:t>Availability in the month</w:t>
            </w:r>
          </w:p>
        </w:tc>
        <w:tc>
          <w:tcPr>
            <w:tcW w:w="3312" w:type="dxa"/>
            <w:tcBorders>
              <w:top w:val="single" w:sz="6" w:space="0" w:color="999999"/>
              <w:left w:val="single" w:sz="2" w:space="0" w:color="999999"/>
              <w:bottom w:val="single" w:sz="2" w:space="0" w:color="999999"/>
              <w:right w:val="single" w:sz="6" w:space="0" w:color="999999"/>
            </w:tcBorders>
            <w:shd w:fill="F5ECE3" w:val="clear"/>
            <w:vAlign w:val="center"/>
          </w:tcPr>
          <w:p>
            <w:pPr>
              <w:pStyle w:val="BodyTextcell"/>
              <w:bidi w:val="0"/>
              <w:spacing w:before="40" w:after="40"/>
              <w:jc w:val="left"/>
              <w:rPr>
                <w:b/>
              </w:rPr>
            </w:pPr>
            <w:r>
              <w:rPr>
                <w:b/>
              </w:rPr>
              <w:t>Service credit</w:t>
            </w:r>
          </w:p>
        </w:tc>
      </w:tr>
      <w:tr>
        <w:trPr/>
        <w:tc>
          <w:tcPr>
            <w:tcW w:w="496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99.5% or more</w:t>
            </w:r>
          </w:p>
        </w:tc>
        <w:tc>
          <w:tcPr>
            <w:tcW w:w="3312" w:type="dxa"/>
            <w:tcBorders>
              <w:left w:val="single" w:sz="2" w:space="0" w:color="999999"/>
              <w:bottom w:val="single" w:sz="2" w:space="0" w:color="999999"/>
              <w:right w:val="single" w:sz="6" w:space="0" w:color="999999"/>
            </w:tcBorders>
            <w:vAlign w:val="center"/>
          </w:tcPr>
          <w:p>
            <w:pPr>
              <w:pStyle w:val="BodyTextcell"/>
              <w:bidi w:val="0"/>
              <w:spacing w:lineRule="auto" w:line="276" w:before="40" w:after="40"/>
              <w:jc w:val="left"/>
              <w:rPr/>
            </w:pPr>
            <w:r>
              <w:rPr/>
              <w:t>None</w:t>
            </w:r>
          </w:p>
        </w:tc>
      </w:tr>
      <w:tr>
        <w:trPr/>
        <w:tc>
          <w:tcPr>
            <w:tcW w:w="496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99.0% to 99.49%</w:t>
            </w:r>
          </w:p>
        </w:tc>
        <w:tc>
          <w:tcPr>
            <w:tcW w:w="3312" w:type="dxa"/>
            <w:tcBorders>
              <w:left w:val="single" w:sz="2" w:space="0" w:color="999999"/>
              <w:bottom w:val="single" w:sz="2" w:space="0" w:color="999999"/>
              <w:right w:val="single" w:sz="6" w:space="0" w:color="999999"/>
            </w:tcBorders>
            <w:vAlign w:val="center"/>
          </w:tcPr>
          <w:p>
            <w:pPr>
              <w:pStyle w:val="BodyTextcell"/>
              <w:bidi w:val="0"/>
              <w:spacing w:lineRule="auto" w:line="276" w:before="40" w:after="40"/>
              <w:jc w:val="left"/>
              <w:rPr/>
            </w:pPr>
            <w:r>
              <w:rPr/>
              <w:t>5% of the month’s share of the Fees</w:t>
            </w:r>
          </w:p>
        </w:tc>
      </w:tr>
      <w:tr>
        <w:trPr/>
        <w:tc>
          <w:tcPr>
            <w:tcW w:w="4969" w:type="dxa"/>
            <w:tcBorders>
              <w:left w:val="single" w:sz="6" w:space="0" w:color="999999"/>
              <w:bottom w:val="single" w:sz="2" w:space="0" w:color="999999"/>
              <w:right w:val="single" w:sz="6" w:space="0" w:color="999999"/>
            </w:tcBorders>
            <w:vAlign w:val="center"/>
          </w:tcPr>
          <w:p>
            <w:pPr>
              <w:pStyle w:val="BodyTextcell"/>
              <w:bidi w:val="0"/>
              <w:spacing w:lineRule="auto" w:line="276" w:before="40" w:after="40"/>
              <w:jc w:val="left"/>
              <w:rPr/>
            </w:pPr>
            <w:r>
              <w:rPr/>
              <w:t>98.5% to 98.99%</w:t>
            </w:r>
          </w:p>
        </w:tc>
        <w:tc>
          <w:tcPr>
            <w:tcW w:w="3312" w:type="dxa"/>
            <w:tcBorders>
              <w:left w:val="single" w:sz="2" w:space="0" w:color="999999"/>
              <w:bottom w:val="single" w:sz="2" w:space="0" w:color="999999"/>
              <w:right w:val="single" w:sz="6" w:space="0" w:color="999999"/>
            </w:tcBorders>
            <w:vAlign w:val="center"/>
          </w:tcPr>
          <w:p>
            <w:pPr>
              <w:pStyle w:val="BodyTextcell"/>
              <w:bidi w:val="0"/>
              <w:spacing w:lineRule="auto" w:line="276" w:before="40" w:after="40"/>
              <w:jc w:val="left"/>
              <w:rPr/>
            </w:pPr>
            <w:r>
              <w:rPr/>
              <w:t>10% of the month’s share of the Fees</w:t>
            </w:r>
          </w:p>
        </w:tc>
      </w:tr>
      <w:tr>
        <w:trPr/>
        <w:tc>
          <w:tcPr>
            <w:tcW w:w="4969" w:type="dxa"/>
            <w:tcBorders>
              <w:left w:val="single" w:sz="6" w:space="0" w:color="999999"/>
              <w:bottom w:val="single" w:sz="6" w:space="0" w:color="999999"/>
              <w:right w:val="single" w:sz="6" w:space="0" w:color="999999"/>
            </w:tcBorders>
            <w:vAlign w:val="center"/>
          </w:tcPr>
          <w:p>
            <w:pPr>
              <w:pStyle w:val="BodyTextcell"/>
              <w:bidi w:val="0"/>
              <w:spacing w:lineRule="auto" w:line="276" w:before="40" w:after="40"/>
              <w:jc w:val="left"/>
              <w:rPr/>
            </w:pPr>
            <w:r>
              <w:rPr/>
              <w:t>98.0% to 98.49%</w:t>
            </w:r>
          </w:p>
        </w:tc>
        <w:tc>
          <w:tcPr>
            <w:tcW w:w="3312" w:type="dxa"/>
            <w:tcBorders>
              <w:left w:val="single" w:sz="2" w:space="0" w:color="999999"/>
              <w:bottom w:val="single" w:sz="6" w:space="0" w:color="999999"/>
              <w:right w:val="single" w:sz="6" w:space="0" w:color="999999"/>
            </w:tcBorders>
            <w:vAlign w:val="center"/>
          </w:tcPr>
          <w:p>
            <w:pPr>
              <w:pStyle w:val="BodyTextcell"/>
              <w:bidi w:val="0"/>
              <w:spacing w:lineRule="auto" w:line="276" w:before="40" w:after="40"/>
              <w:jc w:val="left"/>
              <w:rPr/>
            </w:pPr>
            <w:r>
              <w:rPr/>
              <w:t>15% of the month’s share of the Fees</w:t>
            </w:r>
          </w:p>
        </w:tc>
      </w:tr>
    </w:tbl>
    <w:p>
      <w:pPr>
        <w:pStyle w:val="BodyTexthd"/>
        <w:bidi w:val="0"/>
        <w:jc w:val="left"/>
        <w:rPr/>
      </w:pPr>
      <w:r>
        <w:rPr/>
        <w:t>6.    Your data</w:t>
      </w:r>
    </w:p>
    <w:p>
      <w:pPr>
        <w:pStyle w:val="BodyTextcl"/>
        <w:bidi w:val="0"/>
        <w:rPr/>
      </w:pPr>
      <w:r>
        <w:rPr/>
        <w:t>6.1    You own the Customer Data. We process the personal data in it only for you, on your written instructions, and for the purpose of giving you the Service and the Desktop App.</w:t>
      </w:r>
    </w:p>
    <w:p>
      <w:pPr>
        <w:pStyle w:val="BodyTextcl"/>
        <w:bidi w:val="0"/>
        <w:rPr/>
      </w:pPr>
      <w:r>
        <w:rPr/>
        <w:t>6.2    We keep the Customer Data secure, with measures that suit the risk: it is encrypted when it is sent and stored, only our staff who need it can reach it, and we back it up every day and keep the backups for 30 days.</w:t>
      </w:r>
    </w:p>
    <w:p>
      <w:pPr>
        <w:pStyle w:val="BodyTextcl"/>
        <w:bidi w:val="0"/>
        <w:rPr/>
      </w:pPr>
      <w:r>
        <w:rPr/>
        <w:t>6.3    We use only the sub-processors on the list on our website, and we tell you 30 days before we add one. You may object to a new one, and if we cannot meet your objection you may end the licence and we shall refund the Fees for the rest of the Year.</w:t>
      </w:r>
    </w:p>
    <w:p>
      <w:pPr>
        <w:pStyle w:val="BodyTextcl"/>
        <w:bidi w:val="0"/>
        <w:rPr/>
      </w:pPr>
      <w:r>
        <w:rPr/>
        <w:t>6.4    We shall tell you without delay, and within 48 hours at most, after we become aware of a data breach that affects the Customer Data, and shall help you with what the law requires you to do about it.</w:t>
      </w:r>
    </w:p>
    <w:p>
      <w:pPr>
        <w:pStyle w:val="BodyTextcl"/>
        <w:bidi w:val="0"/>
        <w:rPr/>
      </w:pPr>
      <w:r>
        <w:rPr/>
        <w:t>6.5    We shall help you answer requests from your staff about their personal data in the Customer Data.</w:t>
      </w:r>
    </w:p>
    <w:p>
      <w:pPr>
        <w:pStyle w:val="BodyTexthd"/>
        <w:bidi w:val="0"/>
        <w:jc w:val="left"/>
        <w:rPr/>
      </w:pPr>
      <w:r>
        <w:rPr/>
        <w:t>7.    What we expect of you, and confidentiality</w:t>
      </w:r>
    </w:p>
    <w:p>
      <w:pPr>
        <w:pStyle w:val="BodyTextcl"/>
        <w:bidi w:val="0"/>
        <w:rPr/>
      </w:pPr>
      <w:r>
        <w:rPr/>
        <w:t>7.1    You shall use the Service and the Desktop App lawfully, shall not put into them anything harmful, and shall make sure you have the right to give us the Customer Data.</w:t>
      </w:r>
    </w:p>
    <w:p>
      <w:pPr>
        <w:pStyle w:val="BodyTextcl"/>
        <w:bidi w:val="0"/>
        <w:rPr/>
      </w:pPr>
      <w:r>
        <w:rPr/>
        <w:t>7.2    Each of us shall keep confidential what the other tells it in confidence in connection with the licence, and shall use it only for the licence, unless the law requires it to be disclosed.</w:t>
      </w:r>
    </w:p>
    <w:p>
      <w:pPr>
        <w:pStyle w:val="BodyTexthd"/>
        <w:bidi w:val="0"/>
        <w:jc w:val="left"/>
        <w:rPr/>
      </w:pPr>
      <w:r>
        <w:rPr/>
        <w:t>8.    Intellectual property</w:t>
      </w:r>
    </w:p>
    <w:p>
      <w:pPr>
        <w:pStyle w:val="BodyTextcl"/>
        <w:bidi w:val="0"/>
        <w:rPr/>
      </w:pPr>
      <w:r>
        <w:rPr/>
        <w:t>8.1    We and our licensors own the Service, the Desktop App and everything in them. Nothing in these terms gives you any right in them other than the licence in clause 2.</w:t>
      </w:r>
    </w:p>
    <w:p>
      <w:pPr>
        <w:pStyle w:val="BodyTextcl"/>
        <w:bidi w:val="0"/>
        <w:rPr/>
      </w:pPr>
      <w:r>
        <w:rPr/>
        <w:t>8.2    If someone claims that your use of the Service or the Desktop App, as these terms allow, infringes their intellectual property, we shall defend the claim at our cost and pay any costs and damages a court awards against you, if you tell us at once and let us run the defence.</w:t>
      </w:r>
    </w:p>
    <w:p>
      <w:pPr>
        <w:pStyle w:val="BodyTexthd"/>
        <w:bidi w:val="0"/>
        <w:jc w:val="left"/>
        <w:rPr/>
      </w:pPr>
      <w:r>
        <w:rPr/>
        <w:t>9.    Liability</w:t>
      </w:r>
    </w:p>
    <w:p>
      <w:pPr>
        <w:pStyle w:val="BodyTextcl"/>
        <w:bidi w:val="0"/>
        <w:rPr/>
      </w:pPr>
      <w:r>
        <w:rPr/>
        <w:t>9.1    Our total liability to you for everything arising under or in connection with the licence is limited to the Fees you paid in the 12 months before the event that gave rise to the claim.</w:t>
      </w:r>
    </w:p>
    <w:p>
      <w:pPr>
        <w:pStyle w:val="BodyTextcl"/>
        <w:bidi w:val="0"/>
        <w:rPr/>
      </w:pPr>
      <w:r>
        <w:rPr/>
        <w:t>9.2    Neither of us is liable to the other for loss of profit, loss of goodwill or any indirect loss.</w:t>
      </w:r>
    </w:p>
    <w:p>
      <w:pPr>
        <w:pStyle w:val="BodyTextcl"/>
        <w:bidi w:val="0"/>
        <w:rPr/>
      </w:pPr>
      <w:r>
        <w:rPr/>
        <w:t>9.3    The limit in clause 9.1 does not apply to our liability for a data breach, which is not limited.</w:t>
      </w:r>
    </w:p>
    <w:p>
      <w:pPr>
        <w:pStyle w:val="BodyTextcl"/>
        <w:bidi w:val="0"/>
        <w:rPr/>
      </w:pPr>
      <w:r>
        <w:rPr/>
        <w:t>9.4    Nothing in these terms limits liability for death or personal injury caused by negligence, for fraud, or for anything else the law does not allow to be limited.</w:t>
      </w:r>
    </w:p>
    <w:p>
      <w:pPr>
        <w:pStyle w:val="BodyTexthd"/>
        <w:bidi w:val="0"/>
        <w:jc w:val="left"/>
        <w:rPr/>
      </w:pPr>
      <w:r>
        <w:rPr/>
        <w:t>10.   General</w:t>
      </w:r>
    </w:p>
    <w:p>
      <w:pPr>
        <w:pStyle w:val="BodyTextcl"/>
        <w:bidi w:val="0"/>
        <w:rPr/>
      </w:pPr>
      <w:r>
        <w:rPr/>
        <w:t>10.1   A notice under these terms must be in writing, and sent by email to the addresses in the order form or by post to the other’s address.</w:t>
      </w:r>
    </w:p>
    <w:p>
      <w:pPr>
        <w:pStyle w:val="BodyTextcl"/>
        <w:bidi w:val="0"/>
        <w:rPr/>
      </w:pPr>
      <w:r>
        <w:rPr/>
        <w:t>10.2   We may change these terms when the licence renews, if we tell you the change at least 60 days before the renewal date.</w:t>
      </w:r>
    </w:p>
    <w:p>
      <w:pPr>
        <w:pStyle w:val="BodyTextcl"/>
        <w:bidi w:val="0"/>
        <w:rPr/>
      </w:pPr>
      <w:r>
        <w:rPr/>
        <w:t>10.3   These terms and the order form are the whole agreement between us about the Service and the Desktop App. Nobody who is not a party to the licence has any right to enforce it.</w:t>
      </w:r>
    </w:p>
    <w:p>
      <w:pPr>
        <w:pStyle w:val="BodyTextcl"/>
        <w:bidi w:val="0"/>
        <w:rPr/>
      </w:pPr>
      <w:r>
        <w:rPr/>
        <w:t>10.4   Neither of us is liable for a delay or failure caused by something outside its reasonable control, other than a failure to pay money.</w:t>
      </w:r>
    </w:p>
    <w:p>
      <w:pPr>
        <w:pStyle w:val="BodyTextcl"/>
        <w:bidi w:val="0"/>
        <w:rPr/>
      </w:pPr>
      <w:r>
        <w:rPr/>
        <w:t>10.5   You may not transfer the licence to anyone else without our written consent. We may transfer it to a company that takes over our business, if we tell you.</w:t>
      </w:r>
    </w:p>
    <w:p>
      <w:pPr>
        <w:pStyle w:val="BodyTextcl"/>
        <w:bidi w:val="0"/>
        <w:spacing w:before="0" w:after="100"/>
        <w:rPr/>
      </w:pPr>
      <w:r>
        <w:rPr/>
        <w:t>10.6   The licence, and any dispute arising from it, is governed by English law, and the courts of England have exclusive jurisdiction.</w:t>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kl-foot"/>
      <w:pBdr>
        <w:top w:val="single" w:sz="4" w:space="3" w:color="999999"/>
      </w:pBdr>
      <w:bidi w:val="0"/>
      <w:spacing w:before="2" w:after="2"/>
      <w:jc w:val="center"/>
      <w:rPr/>
    </w:pPr>
    <w:r>
      <w:rPr/>
      <w:t xml:space="preserve">Kestrel Rota – Customer Licence Terms – version 3.2, January 2025 – Kestrel Software Ltd – 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20"/>
      <w:szCs w:val="20"/>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83" w:before="0" w:after="10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kl-foot">
    <w:name w:val="Body Text.kl-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kl-name">
    <w:name w:val="Body Text.kl-name"/>
    <w:basedOn w:val="TableContents"/>
    <w:qFormat/>
    <w:pPr>
      <w:spacing w:lineRule="auto" w:line="240" w:before="2" w:after="2"/>
    </w:pPr>
    <w:rPr>
      <w:rFonts w:ascii="Arial" w:hAnsi="Arial" w:eastAsia="Arial" w:cs="Arial"/>
      <w:b/>
      <w:bCs/>
      <w:color w:val="8A4B12"/>
      <w:sz w:val="38"/>
      <w:szCs w:val="38"/>
    </w:rPr>
  </w:style>
  <w:style w:type="paragraph" w:styleId="BodyTextkl-sub">
    <w:name w:val="Body Text.kl-sub"/>
    <w:basedOn w:val="TableContents"/>
    <w:qFormat/>
    <w:pPr>
      <w:spacing w:before="2" w:after="2"/>
    </w:pPr>
    <w:rPr>
      <w:rFonts w:ascii="Arial" w:hAnsi="Arial" w:eastAsia="Arial" w:cs="Arial"/>
      <w:color w:val="555555"/>
      <w:sz w:val="18"/>
      <w:szCs w:val="18"/>
    </w:rPr>
  </w:style>
  <w:style w:type="paragraph" w:styleId="BodyTextkl-details">
    <w:name w:val="Body Text.kl-details"/>
    <w:basedOn w:val="TableContents"/>
    <w:qFormat/>
    <w:pPr>
      <w:spacing w:lineRule="auto" w:line="300" w:before="2" w:after="2"/>
      <w:jc w:val="right"/>
    </w:pPr>
    <w:rPr>
      <w:rFonts w:ascii="Arial" w:hAnsi="Arial" w:eastAsia="Arial" w:cs="Arial"/>
      <w:color w:val="333333"/>
      <w:sz w:val="17"/>
      <w:szCs w:val="17"/>
    </w:rPr>
  </w:style>
  <w:style w:type="paragraph" w:styleId="BodyTextkl-rule">
    <w:name w:val="Body Text.kl-rule"/>
    <w:basedOn w:val="BodyText"/>
    <w:qFormat/>
    <w:pPr>
      <w:pBdr>
        <w:bottom w:val="single" w:sz="12" w:space="1" w:color="8A4B12"/>
      </w:pBdr>
      <w:spacing w:lineRule="atLeast" w:line="142" w:before="60" w:after="200"/>
    </w:pPr>
    <w:rPr>
      <w:sz w:val="4"/>
      <w:szCs w:val="4"/>
    </w:rPr>
  </w:style>
  <w:style w:type="paragraph" w:styleId="BodyTextkl-title">
    <w:name w:val="Body Text.kl-title"/>
    <w:basedOn w:val="BodyText"/>
    <w:qFormat/>
    <w:pPr>
      <w:spacing w:before="40" w:after="40"/>
    </w:pPr>
    <w:rPr>
      <w:rFonts w:ascii="Arial" w:hAnsi="Arial" w:eastAsia="Arial" w:cs="Arial"/>
      <w:b/>
      <w:bCs/>
      <w:sz w:val="34"/>
      <w:szCs w:val="34"/>
    </w:rPr>
  </w:style>
  <w:style w:type="paragraph" w:styleId="BodyTextkl-ver">
    <w:name w:val="Body Text.kl-ver"/>
    <w:basedOn w:val="BodyText"/>
    <w:qFormat/>
    <w:pPr>
      <w:spacing w:before="2" w:after="160"/>
    </w:pPr>
    <w:rPr>
      <w:rFonts w:ascii="Arial" w:hAnsi="Arial" w:eastAsia="Arial" w:cs="Arial"/>
      <w:color w:val="333333"/>
      <w:sz w:val="21"/>
      <w:szCs w:val="21"/>
    </w:rPr>
  </w:style>
  <w:style w:type="paragraph" w:styleId="BodyTexthd">
    <w:name w:val="Body Text.hd"/>
    <w:basedOn w:val="BodyText"/>
    <w:qFormat/>
    <w:pPr>
      <w:keepNext w:val="true"/>
      <w:spacing w:before="200" w:after="60"/>
      <w:ind w:hanging="624" w:left="624"/>
    </w:pPr>
    <w:rPr>
      <w:b/>
      <w:bCs/>
      <w:sz w:val="21"/>
      <w:szCs w:val="21"/>
    </w:rPr>
  </w:style>
  <w:style w:type="paragraph" w:styleId="BodyTextcl">
    <w:name w:val="Body Text.cl"/>
    <w:basedOn w:val="BodyText"/>
    <w:qFormat/>
    <w:pPr>
      <w:ind w:hanging="624" w:left="624"/>
      <w:jc w:val="both"/>
    </w:pPr>
    <w:rPr/>
  </w:style>
  <w:style w:type="paragraph" w:styleId="BodyTextcell">
    <w:name w:val="Body Text.cell"/>
    <w:basedOn w:val="TableContents"/>
    <w:qFormat/>
    <w:pPr>
      <w:spacing w:lineRule="auto" w:line="276" w:before="40" w:after="40"/>
    </w:pPr>
    <w:rPr>
      <w:rFonts w:ascii="Arial" w:hAnsi="Arial" w:eastAsia="Arial" w:cs="Arial"/>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2025-01-14T10:00:00Z</dcterms:created>
  <dc:creator>Kestrel Software Ltd</dc:creator>
  <dc:description/>
  <cp:keywords>Kestrel Rota customer licence terms version 3.2</cp:keywords>
  <dc:language>en-US</dc:language>
  <cp:lastModifiedBy>Ines Kowalczyk</cp:lastModifiedBy>
  <dcterms:modified xsi:type="dcterms:W3CDTF">2025-01-21T16:30:00Z</dcterms:modified>
  <cp:revision>0</cp:revision>
  <dc:subject/>
  <dc:title>Kestrel Rota – Customer Licence Terms</dc:title>
</cp:coreProperties>
</file>

<file path=docProps/custom.xml><?xml version="1.0" encoding="utf-8"?>
<Properties xmlns="http://schemas.openxmlformats.org/officeDocument/2006/custom-properties" xmlns:vt="http://schemas.openxmlformats.org/officeDocument/2006/docPropsVTypes"/>
</file>