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0" w:type="dxa"/>
          <w:bottom w:w="0" w:type="dxa"/>
          <w:right w:w="0" w:type="dxa"/>
        </w:tblCellMar>
      </w:tblPr>
      <w:tblGrid>
        <w:gridCol w:w="4893"/>
        <w:gridCol w:w="4518"/>
      </w:tblGrid>
      <w:tr>
        <w:trPr/>
        <w:tc>
          <w:tcPr>
            <w:tcW w:w="4893" w:type="dxa"/>
            <w:tcBorders/>
            <w:vAlign w:val="bottom"/>
          </w:tcPr>
          <w:p>
            <w:pPr>
              <w:pStyle w:val="BodyTextmv-name"/>
              <w:bidi w:val="0"/>
              <w:spacing w:lineRule="auto" w:line="240" w:before="2" w:after="2"/>
              <w:jc w:val="left"/>
              <w:rPr/>
            </w:pPr>
            <w:r>
              <w:rPr/>
              <w:t>Merrowdown Ventures</w:t>
            </w:r>
          </w:p>
          <w:p>
            <w:pPr>
              <w:pStyle w:val="BodyTextmv-sub"/>
              <w:bidi w:val="0"/>
              <w:spacing w:before="2" w:after="2"/>
              <w:jc w:val="left"/>
              <w:rPr/>
            </w:pPr>
            <w:r>
              <w:rPr/>
              <w:t>Merrowdown Ventures LLP  |  Software investors</w:t>
            </w:r>
          </w:p>
        </w:tc>
        <w:tc>
          <w:tcPr>
            <w:tcW w:w="4518" w:type="dxa"/>
            <w:tcBorders/>
            <w:vAlign w:val="bottom"/>
          </w:tcPr>
          <w:p>
            <w:pPr>
              <w:pStyle w:val="BodyTextmv-details"/>
              <w:bidi w:val="0"/>
              <w:spacing w:lineRule="auto" w:line="300" w:before="2" w:after="2"/>
              <w:jc w:val="right"/>
              <w:rPr/>
            </w:pPr>
            <w:r>
              <w:rPr/>
              <w:t>Tidewater House, 31 Dockside</w:t>
              <w:br/>
              <w:t>Marlbridge WX1 5DR</w:t>
              <w:br/>
              <w:t>Telephone 01632 960660</w:t>
              <w:br/>
              <w:t>felix.amberley@merrowdown.example</w:t>
            </w:r>
          </w:p>
        </w:tc>
      </w:tr>
    </w:tbl>
    <w:p>
      <w:pPr>
        <w:pStyle w:val="BodyTextmv-rule"/>
        <w:bidi w:val="0"/>
        <w:jc w:val="left"/>
        <w:rPr/>
      </w:pPr>
      <w:r>
        <w:rPr/>
        <w:t> </w:t>
      </w:r>
    </w:p>
    <w:p>
      <w:pPr>
        <w:pStyle w:val="BodyTextmv-title"/>
        <w:bidi w:val="0"/>
        <w:jc w:val="left"/>
        <w:rPr/>
      </w:pPr>
      <w:r>
        <w:rPr/>
        <w:t>Term Sheet</w:t>
      </w:r>
    </w:p>
    <w:p>
      <w:pPr>
        <w:pStyle w:val="BodyTextmv-sub2"/>
        <w:bidi w:val="0"/>
        <w:jc w:val="left"/>
        <w:rPr/>
      </w:pPr>
      <w:r>
        <w:rPr/>
        <w:t>Series A investment in Kestrel Software Ltd – 18 September 2026</w:t>
      </w:r>
    </w:p>
    <w:p>
      <w:pPr>
        <w:pStyle w:val="BodyTextmv-status"/>
        <w:bidi w:val="0"/>
        <w:jc w:val="left"/>
        <w:rPr/>
      </w:pPr>
      <w:r>
        <w:rPr/>
        <w:t>Non-binding, except the paragraphs on confidentiality, exclusivity and costs</w:t>
      </w:r>
    </w:p>
    <w:p>
      <w:pPr>
        <w:pStyle w:val="BodyText"/>
        <w:bidi w:val="0"/>
        <w:jc w:val="left"/>
        <w:rPr/>
      </w:pPr>
      <w:r>
        <w:rPr/>
        <w:t>This term sheet sets out the terms on which Merrowdown Ventures LLP, as lead investor, and Pellridge Capital Partners LP are ready to invest in Kestrel Software Ltd. Apart from paragraphs 18 to 20, which bind everyone who signs it, it states what we intend and nobody is bound by it. We are not bound to invest until the subscription agreement has been signed.</w:t>
      </w:r>
    </w:p>
    <w:tbl>
      <w:tblPr>
        <w:tblW w:w="5000" w:type="pct"/>
        <w:jc w:val="left"/>
        <w:tblInd w:w="75" w:type="dxa"/>
        <w:tblLayout w:type="fixed"/>
        <w:tblCellMar>
          <w:top w:w="75" w:type="dxa"/>
          <w:left w:w="75" w:type="dxa"/>
          <w:bottom w:w="75" w:type="dxa"/>
          <w:right w:w="75" w:type="dxa"/>
        </w:tblCellMar>
      </w:tblPr>
      <w:tblGrid>
        <w:gridCol w:w="2446"/>
        <w:gridCol w:w="6965"/>
      </w:tblGrid>
      <w:tr>
        <w:trPr/>
        <w:tc>
          <w:tcPr>
            <w:tcW w:w="2446" w:type="dxa"/>
            <w:tcBorders>
              <w:top w:val="single" w:sz="6" w:space="0" w:color="999999"/>
              <w:left w:val="single" w:sz="6" w:space="0" w:color="999999"/>
              <w:bottom w:val="single" w:sz="2" w:space="0" w:color="999999"/>
              <w:right w:val="single" w:sz="6" w:space="0" w:color="999999"/>
            </w:tcBorders>
            <w:shd w:fill="ECECF4" w:val="clear"/>
          </w:tcPr>
          <w:p>
            <w:pPr>
              <w:pStyle w:val="BodyTextcell"/>
              <w:bidi w:val="0"/>
              <w:spacing w:before="40" w:after="40"/>
              <w:jc w:val="left"/>
              <w:rPr>
                <w:b/>
              </w:rPr>
            </w:pPr>
            <w:r>
              <w:rPr>
                <w:b/>
              </w:rPr>
              <w:t>1. The Company</w:t>
            </w:r>
          </w:p>
        </w:tc>
        <w:tc>
          <w:tcPr>
            <w:tcW w:w="6965" w:type="dxa"/>
            <w:tcBorders>
              <w:top w:val="single" w:sz="6" w:space="0" w:color="999999"/>
              <w:left w:val="single" w:sz="2" w:space="0" w:color="999999"/>
              <w:bottom w:val="single" w:sz="2" w:space="0" w:color="999999"/>
              <w:right w:val="single" w:sz="6" w:space="0" w:color="999999"/>
            </w:tcBorders>
          </w:tcPr>
          <w:p>
            <w:pPr>
              <w:pStyle w:val="BodyTextcell"/>
              <w:bidi w:val="0"/>
              <w:spacing w:lineRule="auto" w:line="276" w:before="40" w:after="40"/>
              <w:jc w:val="left"/>
              <w:rPr/>
            </w:pPr>
            <w:r>
              <w:rPr/>
              <w:t>Kestrel Software Ltd, Kingfisher Yard, 22 Ropewalk, Marlbridge WX6 1KS (company number to be inserted), which develops and sells Kestrel Rota, a staff-scheduling service for care homes and clinics.</w:t>
            </w:r>
          </w:p>
        </w:tc>
      </w:tr>
      <w:tr>
        <w:trPr/>
        <w:tc>
          <w:tcPr>
            <w:tcW w:w="2446" w:type="dxa"/>
            <w:tcBorders>
              <w:left w:val="single" w:sz="6" w:space="0" w:color="999999"/>
              <w:bottom w:val="single" w:sz="2" w:space="0" w:color="999999"/>
              <w:right w:val="single" w:sz="6" w:space="0" w:color="999999"/>
            </w:tcBorders>
            <w:shd w:fill="ECECF4" w:val="clear"/>
          </w:tcPr>
          <w:p>
            <w:pPr>
              <w:pStyle w:val="BodyTextcell"/>
              <w:bidi w:val="0"/>
              <w:spacing w:before="40" w:after="40"/>
              <w:jc w:val="left"/>
              <w:rPr>
                <w:b/>
              </w:rPr>
            </w:pPr>
            <w:r>
              <w:rPr>
                <w:b/>
              </w:rPr>
              <w:t>2. The Founders</w:t>
            </w:r>
          </w:p>
        </w:tc>
        <w:tc>
          <w:tcPr>
            <w:tcW w:w="6965" w:type="dxa"/>
            <w:tcBorders>
              <w:left w:val="single" w:sz="2" w:space="0" w:color="999999"/>
              <w:bottom w:val="single" w:sz="2" w:space="0" w:color="999999"/>
              <w:right w:val="single" w:sz="6" w:space="0" w:color="999999"/>
            </w:tcBorders>
          </w:tcPr>
          <w:p>
            <w:pPr>
              <w:pStyle w:val="BodyTextcell"/>
              <w:bidi w:val="0"/>
              <w:spacing w:lineRule="auto" w:line="276" w:before="40" w:after="40"/>
              <w:jc w:val="left"/>
              <w:rPr/>
            </w:pPr>
            <w:r>
              <w:rPr/>
              <w:t>Ines Kowalczyk, Chief Executive, and Tobias Wren, Chief Technology Officer.</w:t>
            </w:r>
          </w:p>
        </w:tc>
      </w:tr>
      <w:tr>
        <w:trPr/>
        <w:tc>
          <w:tcPr>
            <w:tcW w:w="2446" w:type="dxa"/>
            <w:tcBorders>
              <w:left w:val="single" w:sz="6" w:space="0" w:color="999999"/>
              <w:bottom w:val="single" w:sz="2" w:space="0" w:color="999999"/>
              <w:right w:val="single" w:sz="6" w:space="0" w:color="999999"/>
            </w:tcBorders>
            <w:shd w:fill="ECECF4" w:val="clear"/>
          </w:tcPr>
          <w:p>
            <w:pPr>
              <w:pStyle w:val="BodyTextcell"/>
              <w:bidi w:val="0"/>
              <w:spacing w:before="40" w:after="40"/>
              <w:jc w:val="left"/>
              <w:rPr>
                <w:b/>
              </w:rPr>
            </w:pPr>
            <w:r>
              <w:rPr>
                <w:b/>
              </w:rPr>
              <w:t>3. The Investors</w:t>
            </w:r>
          </w:p>
        </w:tc>
        <w:tc>
          <w:tcPr>
            <w:tcW w:w="6965" w:type="dxa"/>
            <w:tcBorders>
              <w:left w:val="single" w:sz="2" w:space="0" w:color="999999"/>
              <w:bottom w:val="single" w:sz="2" w:space="0" w:color="999999"/>
              <w:right w:val="single" w:sz="6" w:space="0" w:color="999999"/>
            </w:tcBorders>
          </w:tcPr>
          <w:p>
            <w:pPr>
              <w:pStyle w:val="BodyTextcell"/>
              <w:bidi w:val="0"/>
              <w:spacing w:lineRule="auto" w:line="276" w:before="40" w:after="40"/>
              <w:jc w:val="left"/>
              <w:rPr/>
            </w:pPr>
            <w:r>
              <w:rPr/>
              <w:t xml:space="preserve">Merrowdown Ventures LLP (the </w:t>
            </w:r>
            <w:r>
              <w:rPr>
                <w:b/>
              </w:rPr>
              <w:t>Lead Investor</w:t>
            </w:r>
            <w:r>
              <w:rPr/>
              <w:t>) and Pellridge Capital Partners LP.</w:t>
            </w:r>
          </w:p>
        </w:tc>
      </w:tr>
      <w:tr>
        <w:trPr/>
        <w:tc>
          <w:tcPr>
            <w:tcW w:w="2446" w:type="dxa"/>
            <w:tcBorders>
              <w:left w:val="single" w:sz="6" w:space="0" w:color="999999"/>
              <w:bottom w:val="single" w:sz="2" w:space="0" w:color="999999"/>
              <w:right w:val="single" w:sz="6" w:space="0" w:color="999999"/>
            </w:tcBorders>
            <w:shd w:fill="ECECF4" w:val="clear"/>
          </w:tcPr>
          <w:p>
            <w:pPr>
              <w:pStyle w:val="BodyTextcell"/>
              <w:bidi w:val="0"/>
              <w:spacing w:before="40" w:after="40"/>
              <w:jc w:val="left"/>
              <w:rPr>
                <w:b/>
              </w:rPr>
            </w:pPr>
            <w:r>
              <w:rPr>
                <w:b/>
              </w:rPr>
              <w:t>4. The investment</w:t>
            </w:r>
          </w:p>
        </w:tc>
        <w:tc>
          <w:tcPr>
            <w:tcW w:w="6965" w:type="dxa"/>
            <w:tcBorders>
              <w:left w:val="single" w:sz="2" w:space="0" w:color="999999"/>
              <w:bottom w:val="single" w:sz="2" w:space="0" w:color="999999"/>
              <w:right w:val="single" w:sz="6" w:space="0" w:color="999999"/>
            </w:tcBorders>
          </w:tcPr>
          <w:p>
            <w:pPr>
              <w:pStyle w:val="BodyTextcell"/>
              <w:bidi w:val="0"/>
              <w:spacing w:lineRule="auto" w:line="276" w:before="40" w:after="40"/>
              <w:jc w:val="left"/>
              <w:rPr/>
            </w:pPr>
            <w:r>
              <w:rPr/>
              <w:t>£4,000,000 for 2,500,000 Series A preferred shares: Merrowdown Ventures LLP £3,000,000 (1,875,000 shares) and Pellridge Capital Partners LP £1,000,000 (625,000 shares).</w:t>
            </w:r>
          </w:p>
        </w:tc>
      </w:tr>
      <w:tr>
        <w:trPr/>
        <w:tc>
          <w:tcPr>
            <w:tcW w:w="2446" w:type="dxa"/>
            <w:tcBorders>
              <w:left w:val="single" w:sz="6" w:space="0" w:color="999999"/>
              <w:bottom w:val="single" w:sz="2" w:space="0" w:color="999999"/>
              <w:right w:val="single" w:sz="6" w:space="0" w:color="999999"/>
            </w:tcBorders>
            <w:shd w:fill="ECECF4" w:val="clear"/>
          </w:tcPr>
          <w:p>
            <w:pPr>
              <w:pStyle w:val="BodyTextcell"/>
              <w:bidi w:val="0"/>
              <w:spacing w:before="40" w:after="40"/>
              <w:jc w:val="left"/>
              <w:rPr>
                <w:b/>
              </w:rPr>
            </w:pPr>
            <w:r>
              <w:rPr>
                <w:b/>
              </w:rPr>
              <w:t>5. Price and valuation</w:t>
            </w:r>
          </w:p>
        </w:tc>
        <w:tc>
          <w:tcPr>
            <w:tcW w:w="6965" w:type="dxa"/>
            <w:tcBorders>
              <w:left w:val="single" w:sz="2" w:space="0" w:color="999999"/>
              <w:bottom w:val="single" w:sz="2" w:space="0" w:color="999999"/>
              <w:right w:val="single" w:sz="6" w:space="0" w:color="999999"/>
            </w:tcBorders>
          </w:tcPr>
          <w:p>
            <w:pPr>
              <w:pStyle w:val="BodyTextcell"/>
              <w:bidi w:val="0"/>
              <w:spacing w:lineRule="auto" w:line="276" w:before="40" w:after="40"/>
              <w:jc w:val="left"/>
              <w:rPr/>
            </w:pPr>
            <w:r>
              <w:rPr/>
              <w:t>£1.60 a share. The pre-money valuation is £16,000,000, fully diluted: 10,000,000 shares, counting the 1,000,000 shares in the Company’s option pool as if they were already issued. After the investment there will be 12,500,000 shares (£20,000,000 post-money) and the Investors will together hold 20% of them.</w:t>
            </w:r>
          </w:p>
        </w:tc>
      </w:tr>
      <w:tr>
        <w:trPr/>
        <w:tc>
          <w:tcPr>
            <w:tcW w:w="2446" w:type="dxa"/>
            <w:tcBorders>
              <w:left w:val="single" w:sz="6" w:space="0" w:color="999999"/>
              <w:bottom w:val="single" w:sz="2" w:space="0" w:color="999999"/>
              <w:right w:val="single" w:sz="6" w:space="0" w:color="999999"/>
            </w:tcBorders>
            <w:shd w:fill="ECECF4" w:val="clear"/>
          </w:tcPr>
          <w:p>
            <w:pPr>
              <w:pStyle w:val="BodyTextcell"/>
              <w:bidi w:val="0"/>
              <w:spacing w:before="40" w:after="40"/>
              <w:jc w:val="left"/>
              <w:rPr>
                <w:b/>
              </w:rPr>
            </w:pPr>
            <w:r>
              <w:rPr>
                <w:b/>
              </w:rPr>
              <w:t>6. Use of the money</w:t>
            </w:r>
          </w:p>
        </w:tc>
        <w:tc>
          <w:tcPr>
            <w:tcW w:w="6965" w:type="dxa"/>
            <w:tcBorders>
              <w:left w:val="single" w:sz="2" w:space="0" w:color="999999"/>
              <w:bottom w:val="single" w:sz="2" w:space="0" w:color="999999"/>
              <w:right w:val="single" w:sz="6" w:space="0" w:color="999999"/>
            </w:tcBorders>
          </w:tcPr>
          <w:p>
            <w:pPr>
              <w:pStyle w:val="BodyTextcell"/>
              <w:bidi w:val="0"/>
              <w:spacing w:lineRule="auto" w:line="276" w:before="40" w:after="40"/>
              <w:jc w:val="left"/>
              <w:rPr/>
            </w:pPr>
            <w:r>
              <w:rPr/>
              <w:t>To grow the engineering and customer-support teams and to build a mobile app for Kestrel Rota, under a plan the board will agree.</w:t>
            </w:r>
          </w:p>
        </w:tc>
      </w:tr>
      <w:tr>
        <w:trPr/>
        <w:tc>
          <w:tcPr>
            <w:tcW w:w="2446" w:type="dxa"/>
            <w:tcBorders>
              <w:left w:val="single" w:sz="6" w:space="0" w:color="999999"/>
              <w:bottom w:val="single" w:sz="2" w:space="0" w:color="999999"/>
              <w:right w:val="single" w:sz="6" w:space="0" w:color="999999"/>
            </w:tcBorders>
            <w:shd w:fill="ECECF4" w:val="clear"/>
          </w:tcPr>
          <w:p>
            <w:pPr>
              <w:pStyle w:val="BodyTextcell"/>
              <w:bidi w:val="0"/>
              <w:spacing w:before="40" w:after="40"/>
              <w:jc w:val="left"/>
              <w:rPr>
                <w:b/>
              </w:rPr>
            </w:pPr>
            <w:r>
              <w:rPr>
                <w:b/>
              </w:rPr>
              <w:t>7. Liquidation preference</w:t>
            </w:r>
          </w:p>
        </w:tc>
        <w:tc>
          <w:tcPr>
            <w:tcW w:w="6965" w:type="dxa"/>
            <w:tcBorders>
              <w:left w:val="single" w:sz="2" w:space="0" w:color="999999"/>
              <w:bottom w:val="single" w:sz="2" w:space="0" w:color="999999"/>
              <w:right w:val="single" w:sz="6" w:space="0" w:color="999999"/>
            </w:tcBorders>
          </w:tcPr>
          <w:p>
            <w:pPr>
              <w:pStyle w:val="BodyTextcell"/>
              <w:bidi w:val="0"/>
              <w:spacing w:lineRule="auto" w:line="276" w:before="40" w:after="40"/>
              <w:jc w:val="left"/>
              <w:rPr/>
            </w:pPr>
            <w:r>
              <w:rPr/>
              <w:t>On a sale or winding up, the Series A shares are paid first, up to 1x their subscription price (1x, non-participating). They do not then share in what is left, unless converting to ordinary shares first would give them more.</w:t>
            </w:r>
          </w:p>
        </w:tc>
      </w:tr>
      <w:tr>
        <w:trPr/>
        <w:tc>
          <w:tcPr>
            <w:tcW w:w="2446" w:type="dxa"/>
            <w:tcBorders>
              <w:left w:val="single" w:sz="6" w:space="0" w:color="999999"/>
              <w:bottom w:val="single" w:sz="2" w:space="0" w:color="999999"/>
              <w:right w:val="single" w:sz="6" w:space="0" w:color="999999"/>
            </w:tcBorders>
            <w:shd w:fill="ECECF4" w:val="clear"/>
          </w:tcPr>
          <w:p>
            <w:pPr>
              <w:pStyle w:val="BodyTextcell"/>
              <w:bidi w:val="0"/>
              <w:spacing w:before="40" w:after="40"/>
              <w:jc w:val="left"/>
              <w:rPr>
                <w:b/>
              </w:rPr>
            </w:pPr>
            <w:r>
              <w:rPr>
                <w:b/>
              </w:rPr>
              <w:t>8. Conversion</w:t>
            </w:r>
          </w:p>
        </w:tc>
        <w:tc>
          <w:tcPr>
            <w:tcW w:w="6965" w:type="dxa"/>
            <w:tcBorders>
              <w:left w:val="single" w:sz="2" w:space="0" w:color="999999"/>
              <w:bottom w:val="single" w:sz="2" w:space="0" w:color="999999"/>
              <w:right w:val="single" w:sz="6" w:space="0" w:color="999999"/>
            </w:tcBorders>
          </w:tcPr>
          <w:p>
            <w:pPr>
              <w:pStyle w:val="BodyTextcell"/>
              <w:bidi w:val="0"/>
              <w:spacing w:lineRule="auto" w:line="276" w:before="40" w:after="40"/>
              <w:jc w:val="left"/>
              <w:rPr/>
            </w:pPr>
            <w:r>
              <w:rPr/>
              <w:t>Each Series A share converts into one ordinary share when its holder chooses, and automatically on a stock market listing.</w:t>
            </w:r>
          </w:p>
        </w:tc>
      </w:tr>
      <w:tr>
        <w:trPr/>
        <w:tc>
          <w:tcPr>
            <w:tcW w:w="2446" w:type="dxa"/>
            <w:tcBorders>
              <w:left w:val="single" w:sz="6" w:space="0" w:color="999999"/>
              <w:bottom w:val="single" w:sz="2" w:space="0" w:color="999999"/>
              <w:right w:val="single" w:sz="6" w:space="0" w:color="999999"/>
            </w:tcBorders>
            <w:shd w:fill="ECECF4" w:val="clear"/>
          </w:tcPr>
          <w:p>
            <w:pPr>
              <w:pStyle w:val="BodyTextcell"/>
              <w:bidi w:val="0"/>
              <w:spacing w:before="40" w:after="40"/>
              <w:jc w:val="left"/>
              <w:rPr>
                <w:b/>
              </w:rPr>
            </w:pPr>
            <w:r>
              <w:rPr>
                <w:b/>
              </w:rPr>
              <w:t>9. Anti-dilution</w:t>
            </w:r>
          </w:p>
        </w:tc>
        <w:tc>
          <w:tcPr>
            <w:tcW w:w="6965" w:type="dxa"/>
            <w:tcBorders>
              <w:left w:val="single" w:sz="2" w:space="0" w:color="999999"/>
              <w:bottom w:val="single" w:sz="2" w:space="0" w:color="999999"/>
              <w:right w:val="single" w:sz="6" w:space="0" w:color="999999"/>
            </w:tcBorders>
          </w:tcPr>
          <w:p>
            <w:pPr>
              <w:pStyle w:val="BodyTextcell"/>
              <w:bidi w:val="0"/>
              <w:spacing w:lineRule="auto" w:line="276" w:before="40" w:after="40"/>
              <w:jc w:val="left"/>
              <w:rPr/>
            </w:pPr>
            <w:r>
              <w:rPr/>
              <w:t>Broad-based weighted-average protection if the Company later issues shares at less than £1.60 a share.</w:t>
            </w:r>
          </w:p>
        </w:tc>
      </w:tr>
      <w:tr>
        <w:trPr/>
        <w:tc>
          <w:tcPr>
            <w:tcW w:w="2446" w:type="dxa"/>
            <w:tcBorders>
              <w:left w:val="single" w:sz="6" w:space="0" w:color="999999"/>
              <w:bottom w:val="single" w:sz="2" w:space="0" w:color="999999"/>
              <w:right w:val="single" w:sz="6" w:space="0" w:color="999999"/>
            </w:tcBorders>
            <w:shd w:fill="ECECF4" w:val="clear"/>
          </w:tcPr>
          <w:p>
            <w:pPr>
              <w:pStyle w:val="BodyTextcell"/>
              <w:bidi w:val="0"/>
              <w:spacing w:before="40" w:after="40"/>
              <w:jc w:val="left"/>
              <w:rPr>
                <w:b/>
              </w:rPr>
            </w:pPr>
            <w:r>
              <w:rPr>
                <w:b/>
              </w:rPr>
              <w:t>10. The board</w:t>
            </w:r>
          </w:p>
        </w:tc>
        <w:tc>
          <w:tcPr>
            <w:tcW w:w="6965" w:type="dxa"/>
            <w:tcBorders>
              <w:left w:val="single" w:sz="2" w:space="0" w:color="999999"/>
              <w:bottom w:val="single" w:sz="2" w:space="0" w:color="999999"/>
              <w:right w:val="single" w:sz="6" w:space="0" w:color="999999"/>
            </w:tcBorders>
          </w:tcPr>
          <w:p>
            <w:pPr>
              <w:pStyle w:val="BodyTextcell"/>
              <w:bidi w:val="0"/>
              <w:spacing w:lineRule="auto" w:line="276" w:before="40" w:after="40"/>
              <w:jc w:val="left"/>
              <w:rPr/>
            </w:pPr>
            <w:r>
              <w:rPr/>
              <w:t>Three directors: the two Founders and one director appointed by the Lead Investor. Felix Amberley will be the first.</w:t>
            </w:r>
          </w:p>
        </w:tc>
      </w:tr>
      <w:tr>
        <w:trPr/>
        <w:tc>
          <w:tcPr>
            <w:tcW w:w="2446" w:type="dxa"/>
            <w:tcBorders>
              <w:left w:val="single" w:sz="6" w:space="0" w:color="999999"/>
              <w:bottom w:val="single" w:sz="2" w:space="0" w:color="999999"/>
              <w:right w:val="single" w:sz="6" w:space="0" w:color="999999"/>
            </w:tcBorders>
            <w:shd w:fill="ECECF4" w:val="clear"/>
          </w:tcPr>
          <w:p>
            <w:pPr>
              <w:pStyle w:val="BodyTextcell"/>
              <w:bidi w:val="0"/>
              <w:spacing w:before="40" w:after="40"/>
              <w:jc w:val="left"/>
              <w:rPr>
                <w:b/>
              </w:rPr>
            </w:pPr>
            <w:r>
              <w:rPr>
                <w:b/>
              </w:rPr>
              <w:t>11. Matters needing investor consent</w:t>
            </w:r>
          </w:p>
        </w:tc>
        <w:tc>
          <w:tcPr>
            <w:tcW w:w="6965" w:type="dxa"/>
            <w:tcBorders>
              <w:left w:val="single" w:sz="2" w:space="0" w:color="999999"/>
              <w:bottom w:val="single" w:sz="2" w:space="0" w:color="999999"/>
              <w:right w:val="single" w:sz="6" w:space="0" w:color="999999"/>
            </w:tcBorders>
          </w:tcPr>
          <w:p>
            <w:pPr>
              <w:pStyle w:val="BodyTextcell"/>
              <w:bidi w:val="0"/>
              <w:spacing w:lineRule="auto" w:line="276" w:before="40" w:after="40"/>
              <w:jc w:val="left"/>
              <w:rPr/>
            </w:pPr>
            <w:r>
              <w:rPr/>
              <w:t>The Company will need the Lead Investor’s written consent to: change its articles or the rights of any shares; issue shares or options other than from the option pool; sell the business or its intellectual property; borrow more than £250,000; pay a dividend; or change the nature of its business.</w:t>
            </w:r>
          </w:p>
        </w:tc>
      </w:tr>
      <w:tr>
        <w:trPr/>
        <w:tc>
          <w:tcPr>
            <w:tcW w:w="2446" w:type="dxa"/>
            <w:tcBorders>
              <w:left w:val="single" w:sz="6" w:space="0" w:color="999999"/>
              <w:bottom w:val="single" w:sz="2" w:space="0" w:color="999999"/>
              <w:right w:val="single" w:sz="6" w:space="0" w:color="999999"/>
            </w:tcBorders>
            <w:shd w:fill="ECECF4" w:val="clear"/>
          </w:tcPr>
          <w:p>
            <w:pPr>
              <w:pStyle w:val="BodyTextcell"/>
              <w:bidi w:val="0"/>
              <w:spacing w:before="40" w:after="40"/>
              <w:jc w:val="left"/>
              <w:rPr>
                <w:b/>
              </w:rPr>
            </w:pPr>
            <w:r>
              <w:rPr>
                <w:b/>
              </w:rPr>
              <w:t>12. Information</w:t>
            </w:r>
          </w:p>
        </w:tc>
        <w:tc>
          <w:tcPr>
            <w:tcW w:w="6965" w:type="dxa"/>
            <w:tcBorders>
              <w:left w:val="single" w:sz="2" w:space="0" w:color="999999"/>
              <w:bottom w:val="single" w:sz="2" w:space="0" w:color="999999"/>
              <w:right w:val="single" w:sz="6" w:space="0" w:color="999999"/>
            </w:tcBorders>
          </w:tcPr>
          <w:p>
            <w:pPr>
              <w:pStyle w:val="BodyTextcell"/>
              <w:bidi w:val="0"/>
              <w:spacing w:lineRule="auto" w:line="276" w:before="40" w:after="40"/>
              <w:jc w:val="left"/>
              <w:rPr/>
            </w:pPr>
            <w:r>
              <w:rPr/>
              <w:t>Annual accounts within 120 days after the year end, management accounts each quarter, and the budget for each year before it starts.</w:t>
            </w:r>
          </w:p>
        </w:tc>
      </w:tr>
      <w:tr>
        <w:trPr/>
        <w:tc>
          <w:tcPr>
            <w:tcW w:w="2446" w:type="dxa"/>
            <w:tcBorders>
              <w:left w:val="single" w:sz="6" w:space="0" w:color="999999"/>
              <w:bottom w:val="single" w:sz="2" w:space="0" w:color="999999"/>
              <w:right w:val="single" w:sz="6" w:space="0" w:color="999999"/>
            </w:tcBorders>
            <w:shd w:fill="ECECF4" w:val="clear"/>
          </w:tcPr>
          <w:p>
            <w:pPr>
              <w:pStyle w:val="BodyTextcell"/>
              <w:bidi w:val="0"/>
              <w:spacing w:before="40" w:after="40"/>
              <w:jc w:val="left"/>
              <w:rPr>
                <w:b/>
              </w:rPr>
            </w:pPr>
            <w:r>
              <w:rPr>
                <w:b/>
              </w:rPr>
              <w:t>13. Warranties</w:t>
            </w:r>
          </w:p>
        </w:tc>
        <w:tc>
          <w:tcPr>
            <w:tcW w:w="6965" w:type="dxa"/>
            <w:tcBorders>
              <w:left w:val="single" w:sz="2" w:space="0" w:color="999999"/>
              <w:bottom w:val="single" w:sz="2" w:space="0" w:color="999999"/>
              <w:right w:val="single" w:sz="6" w:space="0" w:color="999999"/>
            </w:tcBorders>
          </w:tcPr>
          <w:p>
            <w:pPr>
              <w:pStyle w:val="BodyTextcell"/>
              <w:bidi w:val="0"/>
              <w:spacing w:lineRule="auto" w:line="276" w:before="40" w:after="40"/>
              <w:jc w:val="left"/>
              <w:rPr/>
            </w:pPr>
            <w:r>
              <w:rPr/>
              <w:t>The Company and the Founders will give the usual warranties about the business, its accounts, its customers, its software and its people. The limits on claims will be negotiated in the subscription agreement.</w:t>
            </w:r>
          </w:p>
        </w:tc>
      </w:tr>
      <w:tr>
        <w:trPr/>
        <w:tc>
          <w:tcPr>
            <w:tcW w:w="2446" w:type="dxa"/>
            <w:tcBorders>
              <w:left w:val="single" w:sz="6" w:space="0" w:color="999999"/>
              <w:bottom w:val="single" w:sz="2" w:space="0" w:color="999999"/>
              <w:right w:val="single" w:sz="6" w:space="0" w:color="999999"/>
            </w:tcBorders>
            <w:shd w:fill="ECECF4" w:val="clear"/>
          </w:tcPr>
          <w:p>
            <w:pPr>
              <w:pStyle w:val="BodyTextcell"/>
              <w:bidi w:val="0"/>
              <w:spacing w:before="40" w:after="40"/>
              <w:jc w:val="left"/>
              <w:rPr>
                <w:b/>
              </w:rPr>
            </w:pPr>
            <w:r>
              <w:rPr>
                <w:b/>
              </w:rPr>
              <w:t>14. The Founders</w:t>
            </w:r>
          </w:p>
        </w:tc>
        <w:tc>
          <w:tcPr>
            <w:tcW w:w="6965" w:type="dxa"/>
            <w:tcBorders>
              <w:left w:val="single" w:sz="2" w:space="0" w:color="999999"/>
              <w:bottom w:val="single" w:sz="2" w:space="0" w:color="999999"/>
              <w:right w:val="single" w:sz="6" w:space="0" w:color="999999"/>
            </w:tcBorders>
          </w:tcPr>
          <w:p>
            <w:pPr>
              <w:pStyle w:val="BodyTextcell"/>
              <w:bidi w:val="0"/>
              <w:spacing w:lineRule="auto" w:line="276" w:before="40" w:after="40"/>
              <w:jc w:val="left"/>
              <w:rPr/>
            </w:pPr>
            <w:r>
              <w:rPr/>
              <w:t>Each Founder will work for the Company full time and, after leaving, will not compete with it for 12 months.</w:t>
            </w:r>
          </w:p>
        </w:tc>
      </w:tr>
      <w:tr>
        <w:trPr/>
        <w:tc>
          <w:tcPr>
            <w:tcW w:w="2446" w:type="dxa"/>
            <w:tcBorders>
              <w:left w:val="single" w:sz="6" w:space="0" w:color="999999"/>
              <w:bottom w:val="single" w:sz="2" w:space="0" w:color="999999"/>
              <w:right w:val="single" w:sz="6" w:space="0" w:color="999999"/>
            </w:tcBorders>
            <w:shd w:fill="ECECF4" w:val="clear"/>
          </w:tcPr>
          <w:p>
            <w:pPr>
              <w:pStyle w:val="BodyTextcell"/>
              <w:bidi w:val="0"/>
              <w:spacing w:before="40" w:after="40"/>
              <w:jc w:val="left"/>
              <w:rPr>
                <w:b/>
              </w:rPr>
            </w:pPr>
            <w:r>
              <w:rPr>
                <w:b/>
              </w:rPr>
              <w:t>15. Conditions</w:t>
            </w:r>
          </w:p>
        </w:tc>
        <w:tc>
          <w:tcPr>
            <w:tcW w:w="6965" w:type="dxa"/>
            <w:tcBorders>
              <w:left w:val="single" w:sz="2" w:space="0" w:color="999999"/>
              <w:bottom w:val="single" w:sz="2" w:space="0" w:color="999999"/>
              <w:right w:val="single" w:sz="6" w:space="0" w:color="999999"/>
            </w:tcBorders>
          </w:tcPr>
          <w:p>
            <w:pPr>
              <w:pStyle w:val="BodyTextcell"/>
              <w:bidi w:val="0"/>
              <w:spacing w:lineRule="auto" w:line="276" w:before="40" w:after="40"/>
              <w:jc w:val="left"/>
              <w:rPr/>
            </w:pPr>
            <w:r>
              <w:rPr/>
              <w:t>Due diligence that satisfies the Investors on the Company’s finances, contracts, people and law, and on who owns its software; agreed documents; approval by each Investor’s investment committee; and no material change in the business before completion.</w:t>
            </w:r>
          </w:p>
        </w:tc>
      </w:tr>
      <w:tr>
        <w:trPr/>
        <w:tc>
          <w:tcPr>
            <w:tcW w:w="2446" w:type="dxa"/>
            <w:tcBorders>
              <w:left w:val="single" w:sz="6" w:space="0" w:color="999999"/>
              <w:bottom w:val="single" w:sz="2" w:space="0" w:color="999999"/>
              <w:right w:val="single" w:sz="6" w:space="0" w:color="999999"/>
            </w:tcBorders>
            <w:shd w:fill="ECECF4" w:val="clear"/>
          </w:tcPr>
          <w:p>
            <w:pPr>
              <w:pStyle w:val="BodyTextcell"/>
              <w:bidi w:val="0"/>
              <w:spacing w:before="40" w:after="40"/>
              <w:jc w:val="left"/>
              <w:rPr>
                <w:b/>
              </w:rPr>
            </w:pPr>
            <w:r>
              <w:rPr>
                <w:b/>
              </w:rPr>
              <w:t>16. Documents and timetable</w:t>
            </w:r>
          </w:p>
        </w:tc>
        <w:tc>
          <w:tcPr>
            <w:tcW w:w="6965" w:type="dxa"/>
            <w:tcBorders>
              <w:left w:val="single" w:sz="2" w:space="0" w:color="999999"/>
              <w:bottom w:val="single" w:sz="2" w:space="0" w:color="999999"/>
              <w:right w:val="single" w:sz="6" w:space="0" w:color="999999"/>
            </w:tcBorders>
          </w:tcPr>
          <w:p>
            <w:pPr>
              <w:pStyle w:val="BodyTextcell"/>
              <w:bidi w:val="0"/>
              <w:spacing w:lineRule="auto" w:line="276" w:before="40" w:after="40"/>
              <w:jc w:val="left"/>
              <w:rPr/>
            </w:pPr>
            <w:r>
              <w:rPr/>
              <w:t>The Company’s solicitors, Ashcombe Reeve LLP, will prepare the first drafts of the subscription agreement and the new articles. The Investors’ solicitors are Brindley Moss LLP. We aim to complete on 23 October 2026.</w:t>
            </w:r>
          </w:p>
        </w:tc>
      </w:tr>
      <w:tr>
        <w:trPr/>
        <w:tc>
          <w:tcPr>
            <w:tcW w:w="2446" w:type="dxa"/>
            <w:tcBorders>
              <w:left w:val="single" w:sz="6" w:space="0" w:color="999999"/>
              <w:bottom w:val="single" w:sz="2" w:space="0" w:color="999999"/>
              <w:right w:val="single" w:sz="6" w:space="0" w:color="999999"/>
            </w:tcBorders>
            <w:shd w:fill="ECECF4" w:val="clear"/>
          </w:tcPr>
          <w:p>
            <w:pPr>
              <w:pStyle w:val="BodyTextcell"/>
              <w:bidi w:val="0"/>
              <w:spacing w:before="40" w:after="40"/>
              <w:jc w:val="left"/>
              <w:rPr>
                <w:b/>
              </w:rPr>
            </w:pPr>
            <w:r>
              <w:rPr>
                <w:b/>
              </w:rPr>
              <w:t>17. Governing law</w:t>
            </w:r>
          </w:p>
        </w:tc>
        <w:tc>
          <w:tcPr>
            <w:tcW w:w="6965" w:type="dxa"/>
            <w:tcBorders>
              <w:left w:val="single" w:sz="2" w:space="0" w:color="999999"/>
              <w:bottom w:val="single" w:sz="2" w:space="0" w:color="999999"/>
              <w:right w:val="single" w:sz="6" w:space="0" w:color="999999"/>
            </w:tcBorders>
          </w:tcPr>
          <w:p>
            <w:pPr>
              <w:pStyle w:val="BodyTextcell"/>
              <w:bidi w:val="0"/>
              <w:spacing w:lineRule="auto" w:line="276" w:before="40" w:after="40"/>
              <w:jc w:val="left"/>
              <w:rPr/>
            </w:pPr>
            <w:r>
              <w:rPr/>
              <w:t>English law, and the courts of England.</w:t>
            </w:r>
          </w:p>
        </w:tc>
      </w:tr>
      <w:tr>
        <w:trPr/>
        <w:tc>
          <w:tcPr>
            <w:tcW w:w="2446" w:type="dxa"/>
            <w:tcBorders>
              <w:left w:val="single" w:sz="6" w:space="0" w:color="999999"/>
              <w:bottom w:val="single" w:sz="2" w:space="0" w:color="999999"/>
              <w:right w:val="single" w:sz="6" w:space="0" w:color="999999"/>
            </w:tcBorders>
            <w:shd w:fill="DCDCEC" w:val="clear"/>
          </w:tcPr>
          <w:p>
            <w:pPr>
              <w:pStyle w:val="BodyTextcell"/>
              <w:bidi w:val="0"/>
              <w:spacing w:lineRule="auto" w:line="276" w:before="40" w:after="40"/>
              <w:jc w:val="left"/>
              <w:rPr/>
            </w:pPr>
            <w:r>
              <w:rPr>
                <w:b/>
              </w:rPr>
              <w:t>18. Confidentiality</w:t>
            </w:r>
            <w:r>
              <w:rPr/>
              <w:br/>
              <w:t>(binding)</w:t>
            </w:r>
          </w:p>
        </w:tc>
        <w:tc>
          <w:tcPr>
            <w:tcW w:w="6965" w:type="dxa"/>
            <w:tcBorders>
              <w:left w:val="single" w:sz="2" w:space="0" w:color="999999"/>
              <w:bottom w:val="single" w:sz="2" w:space="0" w:color="999999"/>
              <w:right w:val="single" w:sz="6" w:space="0" w:color="999999"/>
            </w:tcBorders>
          </w:tcPr>
          <w:p>
            <w:pPr>
              <w:pStyle w:val="BodyTextcell"/>
              <w:bidi w:val="0"/>
              <w:spacing w:lineRule="auto" w:line="276" w:before="40" w:after="40"/>
              <w:jc w:val="left"/>
              <w:rPr/>
            </w:pPr>
            <w:r>
              <w:rPr/>
              <w:t>Each party will keep this term sheet, and everything it learns about the others in the course of the investment, confidential, and will use it only for the investment. This does not stop a party telling its professional advisers, or disclosing what the law requires.</w:t>
            </w:r>
          </w:p>
        </w:tc>
      </w:tr>
      <w:tr>
        <w:trPr/>
        <w:tc>
          <w:tcPr>
            <w:tcW w:w="2446" w:type="dxa"/>
            <w:tcBorders>
              <w:left w:val="single" w:sz="6" w:space="0" w:color="999999"/>
              <w:bottom w:val="single" w:sz="2" w:space="0" w:color="999999"/>
              <w:right w:val="single" w:sz="6" w:space="0" w:color="999999"/>
            </w:tcBorders>
            <w:shd w:fill="DCDCEC" w:val="clear"/>
          </w:tcPr>
          <w:p>
            <w:pPr>
              <w:pStyle w:val="BodyTextcell"/>
              <w:bidi w:val="0"/>
              <w:spacing w:lineRule="auto" w:line="276" w:before="40" w:after="40"/>
              <w:jc w:val="left"/>
              <w:rPr/>
            </w:pPr>
            <w:r>
              <w:rPr>
                <w:b/>
              </w:rPr>
              <w:t>19. Exclusivity</w:t>
            </w:r>
            <w:r>
              <w:rPr/>
              <w:br/>
              <w:t>(binding)</w:t>
            </w:r>
          </w:p>
        </w:tc>
        <w:tc>
          <w:tcPr>
            <w:tcW w:w="6965" w:type="dxa"/>
            <w:tcBorders>
              <w:left w:val="single" w:sz="2" w:space="0" w:color="999999"/>
              <w:bottom w:val="single" w:sz="2" w:space="0" w:color="999999"/>
              <w:right w:val="single" w:sz="6" w:space="0" w:color="999999"/>
            </w:tcBorders>
          </w:tcPr>
          <w:p>
            <w:pPr>
              <w:pStyle w:val="BodyTextcell"/>
              <w:bidi w:val="0"/>
              <w:spacing w:lineRule="auto" w:line="276" w:before="40" w:after="40"/>
              <w:jc w:val="left"/>
              <w:rPr/>
            </w:pPr>
            <w:r>
              <w:rPr/>
              <w:t>Until 2 November 2026 the Company and the Founders will not seek or accept an investment in the Company, or an offer for it or its business, from anyone else, and will tell the Lead Investor at once of any approach.</w:t>
            </w:r>
          </w:p>
        </w:tc>
      </w:tr>
      <w:tr>
        <w:trPr/>
        <w:tc>
          <w:tcPr>
            <w:tcW w:w="2446" w:type="dxa"/>
            <w:tcBorders>
              <w:left w:val="single" w:sz="6" w:space="0" w:color="999999"/>
              <w:bottom w:val="single" w:sz="6" w:space="0" w:color="999999"/>
              <w:right w:val="single" w:sz="6" w:space="0" w:color="999999"/>
            </w:tcBorders>
            <w:shd w:fill="DCDCEC" w:val="clear"/>
          </w:tcPr>
          <w:p>
            <w:pPr>
              <w:pStyle w:val="BodyTextcell"/>
              <w:bidi w:val="0"/>
              <w:spacing w:lineRule="auto" w:line="276" w:before="40" w:after="40"/>
              <w:jc w:val="left"/>
              <w:rPr/>
            </w:pPr>
            <w:r>
              <w:rPr>
                <w:b/>
              </w:rPr>
              <w:t>20. Costs</w:t>
            </w:r>
            <w:r>
              <w:rPr/>
              <w:br/>
              <w:t>(binding)</w:t>
            </w:r>
          </w:p>
        </w:tc>
        <w:tc>
          <w:tcPr>
            <w:tcW w:w="6965" w:type="dxa"/>
            <w:tcBorders>
              <w:left w:val="single" w:sz="2" w:space="0" w:color="999999"/>
              <w:bottom w:val="single" w:sz="6" w:space="0" w:color="999999"/>
              <w:right w:val="single" w:sz="6" w:space="0" w:color="999999"/>
            </w:tcBorders>
          </w:tcPr>
          <w:p>
            <w:pPr>
              <w:pStyle w:val="BodyTextcell"/>
              <w:bidi w:val="0"/>
              <w:spacing w:lineRule="auto" w:line="276" w:before="40" w:after="40"/>
              <w:jc w:val="left"/>
              <w:rPr/>
            </w:pPr>
            <w:r>
              <w:rPr/>
              <w:t>The Company will pay the Investors’ reasonable legal costs of the investment, up to £25,000 plus VAT, when it completes. Otherwise each party pays its own costs.</w:t>
            </w:r>
          </w:p>
        </w:tc>
      </w:tr>
    </w:tbl>
    <w:p>
      <w:pPr>
        <w:pStyle w:val="BodyText"/>
        <w:bidi w:val="0"/>
        <w:spacing w:before="200" w:after="100"/>
        <w:ind w:hanging="0" w:left="0" w:right="0"/>
        <w:jc w:val="left"/>
        <w:rPr/>
      </w:pPr>
      <w:r>
        <w:rPr>
          <w:b/>
        </w:rPr>
        <w:t>Acceptance.</w:t>
      </w:r>
      <w:r>
        <w:rPr/>
        <w:t xml:space="preserve"> To accept this term sheet, please sign below and return a copy to Felix Amberley. The offer lapses on 25 September 2026 if we have not received it.</w:t>
      </w:r>
    </w:p>
    <w:tbl>
      <w:tblPr>
        <w:tblW w:w="5000" w:type="pct"/>
        <w:jc w:val="left"/>
        <w:tblInd w:w="60" w:type="dxa"/>
        <w:tblLayout w:type="fixed"/>
        <w:tblCellMar>
          <w:top w:w="60" w:type="dxa"/>
          <w:left w:w="60" w:type="dxa"/>
          <w:bottom w:w="60" w:type="dxa"/>
          <w:right w:w="60" w:type="dxa"/>
        </w:tblCellMar>
      </w:tblPr>
      <w:tblGrid>
        <w:gridCol w:w="3106"/>
        <w:gridCol w:w="3106"/>
        <w:gridCol w:w="3199"/>
      </w:tblGrid>
      <w:tr>
        <w:trPr/>
        <w:tc>
          <w:tcPr>
            <w:tcW w:w="3106" w:type="dxa"/>
            <w:tcBorders/>
          </w:tcPr>
          <w:p>
            <w:pPr>
              <w:pStyle w:val="BodyTextsigblock"/>
              <w:bidi w:val="0"/>
              <w:spacing w:lineRule="auto" w:line="312" w:before="2" w:after="40"/>
              <w:jc w:val="left"/>
              <w:rPr/>
            </w:pPr>
            <w:r>
              <w:rPr/>
              <w:t xml:space="preserve">For </w:t>
            </w:r>
            <w:r>
              <w:rPr>
                <w:b/>
              </w:rPr>
              <w:t>Merrowdown Ventures LLP</w:t>
            </w:r>
          </w:p>
          <w:p>
            <w:pPr>
              <w:pStyle w:val="BodyTextsigline"/>
              <w:bidi w:val="0"/>
              <w:spacing w:before="400" w:after="40"/>
              <w:jc w:val="left"/>
              <w:rPr/>
            </w:pPr>
            <w:r>
              <w:rPr/>
              <w:t>________________________</w:t>
            </w:r>
          </w:p>
          <w:p>
            <w:pPr>
              <w:pStyle w:val="BodyTextsigblock"/>
              <w:bidi w:val="0"/>
              <w:spacing w:lineRule="auto" w:line="312" w:before="2" w:after="40"/>
              <w:jc w:val="left"/>
              <w:rPr/>
            </w:pPr>
            <w:r>
              <w:rPr/>
              <w:t>Felix Amberley</w:t>
              <w:br/>
              <w:t>Date: ____________</w:t>
            </w:r>
          </w:p>
        </w:tc>
        <w:tc>
          <w:tcPr>
            <w:tcW w:w="3106" w:type="dxa"/>
            <w:tcBorders/>
          </w:tcPr>
          <w:p>
            <w:pPr>
              <w:pStyle w:val="BodyTextsigblock"/>
              <w:bidi w:val="0"/>
              <w:spacing w:lineRule="auto" w:line="312" w:before="2" w:after="40"/>
              <w:jc w:val="left"/>
              <w:rPr/>
            </w:pPr>
            <w:r>
              <w:rPr/>
              <w:t xml:space="preserve">For </w:t>
            </w:r>
            <w:r>
              <w:rPr>
                <w:b/>
              </w:rPr>
              <w:t>Pellridge Capital Partners LP</w:t>
            </w:r>
          </w:p>
          <w:p>
            <w:pPr>
              <w:pStyle w:val="BodyTextsigline"/>
              <w:bidi w:val="0"/>
              <w:spacing w:before="400" w:after="40"/>
              <w:jc w:val="left"/>
              <w:rPr/>
            </w:pPr>
            <w:r>
              <w:rPr/>
              <w:t>________________________</w:t>
            </w:r>
          </w:p>
          <w:p>
            <w:pPr>
              <w:pStyle w:val="BodyTextsigblock"/>
              <w:bidi w:val="0"/>
              <w:spacing w:lineRule="auto" w:line="312" w:before="2" w:after="40"/>
              <w:jc w:val="left"/>
              <w:rPr/>
            </w:pPr>
            <w:r>
              <w:rPr/>
              <w:t>Maya Lindqvist</w:t>
              <w:br/>
              <w:t>Date: ____________</w:t>
            </w:r>
          </w:p>
        </w:tc>
        <w:tc>
          <w:tcPr>
            <w:tcW w:w="3199" w:type="dxa"/>
            <w:tcBorders/>
          </w:tcPr>
          <w:p>
            <w:pPr>
              <w:pStyle w:val="BodyTextsigblock"/>
              <w:bidi w:val="0"/>
              <w:spacing w:lineRule="auto" w:line="312" w:before="2" w:after="40"/>
              <w:jc w:val="left"/>
              <w:rPr/>
            </w:pPr>
            <w:r>
              <w:rPr/>
              <w:t xml:space="preserve">For </w:t>
            </w:r>
            <w:r>
              <w:rPr>
                <w:b/>
              </w:rPr>
              <w:t>Kestrel Software Ltd</w:t>
            </w:r>
          </w:p>
          <w:p>
            <w:pPr>
              <w:pStyle w:val="BodyTextsigline"/>
              <w:bidi w:val="0"/>
              <w:spacing w:before="400" w:after="40"/>
              <w:jc w:val="left"/>
              <w:rPr/>
            </w:pPr>
            <w:r>
              <w:rPr/>
              <w:t>________________________</w:t>
            </w:r>
          </w:p>
          <w:p>
            <w:pPr>
              <w:pStyle w:val="BodyTextsigblock"/>
              <w:bidi w:val="0"/>
              <w:spacing w:lineRule="auto" w:line="312" w:before="2" w:after="40"/>
              <w:jc w:val="left"/>
              <w:rPr/>
            </w:pPr>
            <w:r>
              <w:rPr/>
              <w:t>Ines Kowalczyk, Chief Executive</w:t>
              <w:br/>
              <w:t>Date: ____________</w:t>
            </w:r>
          </w:p>
        </w:tc>
      </w:tr>
    </w:tbl>
    <w:p>
      <w:pPr>
        <w:pStyle w:val="BodyText"/>
        <w:bidi w:val="0"/>
        <w:spacing w:before="0" w:after="100"/>
        <w:jc w:val="left"/>
        <w:rPr/>
      </w:pPr>
      <w:r>
        <w:rPr/>
      </w:r>
    </w:p>
    <w:sectPr>
      <w:footerReference w:type="default" r:id="rId2"/>
      <w:type w:val="nextPage"/>
      <w:pgSz w:w="11906" w:h="16838"/>
      <w:pgMar w:left="1247" w:right="1247" w:gutter="0" w:header="0" w:top="964" w:footer="964" w:bottom="1211"/>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Calibri">
    <w:charset w:val="01"/>
    <w:family w:val="auto"/>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mv-foot"/>
      <w:pBdr>
        <w:top w:val="single" w:sz="4" w:space="3" w:color="999999"/>
      </w:pBdr>
      <w:bidi w:val="0"/>
      <w:spacing w:lineRule="auto" w:line="288" w:before="2" w:after="2"/>
      <w:jc w:val="center"/>
      <w:rPr/>
    </w:pPr>
    <w:r>
      <w:rPr/>
      <w:t xml:space="preserve">Merrowdown Ventures LLP – term sheet for Kestrel Software Ltd – 18 September 2026 – Confidential – Page </w:t>
    </w:r>
    <w:r>
      <w:rPr/>
      <w:fldChar w:fldCharType="begin"/>
    </w:r>
    <w:r>
      <w:rPr/>
      <w:instrText xml:space="preserve"> PAGE </w:instrText>
    </w:r>
    <w:r>
      <w:rPr/>
      <w:fldChar w:fldCharType="separate"/>
    </w:r>
    <w:r>
      <w:rPr/>
      <w:t>1</w:t>
    </w:r>
    <w:r>
      <w:rPr/>
      <w:fldChar w:fldCharType="end"/>
    </w:r>
    <w:r>
      <w:rPr/>
      <w:t xml:space="preserve"> of </w:t>
    </w:r>
    <w:r>
      <w:rPr/>
      <w:fldChar w:fldCharType="begin"/>
    </w:r>
    <w:r>
      <w:rPr/>
      <w:instrText xml:space="preserve"> NUMPAGES \* ARABIC </w:instrText>
    </w:r>
    <w:r>
      <w:rPr/>
      <w:fldChar w:fldCharType="separate"/>
    </w:r>
    <w:r>
      <w:rPr/>
      <w:t>2</w:t>
    </w:r>
    <w:r>
      <w:rPr/>
      <w:fldChar w:fldCharType="end"/>
    </w:r>
  </w:p>
</w:ftr>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suppressAutoHyphens w:val="true"/>
      </w:pPr>
    </w:pPrDefault>
  </w:docDefaults>
  <w:style w:type="paragraph" w:styleId="Normal">
    <w:name w:val="Normal"/>
    <w:qFormat/>
    <w:pPr>
      <w:widowControl w:val="false"/>
      <w:bidi w:val="0"/>
    </w:pPr>
    <w:rPr>
      <w:rFonts w:ascii="Arial" w:hAnsi="Arial" w:eastAsia="Arial" w:cs="Arial"/>
      <w:color w:val="000000"/>
      <w:sz w:val="19"/>
      <w:szCs w:val="19"/>
      <w:lang w:val="en-GB" w:eastAsia="zh-CN" w:bidi="hi-IN"/>
    </w:rPr>
  </w:style>
  <w:style w:type="paragraph" w:styleId="Heading1">
    <w:name w:val="heading 1"/>
    <w:basedOn w:val="Heading"/>
    <w:next w:val="BodyText"/>
    <w:qFormat/>
    <w:pPr>
      <w:spacing w:before="240" w:after="120"/>
      <w:outlineLvl w:val="0"/>
    </w:pPr>
    <w:rPr>
      <w:rFonts w:ascii="Calibri" w:hAnsi="Calibri" w:eastAsia="Calibri" w:cs="Calibri"/>
      <w:b/>
      <w:bCs/>
      <w:color w:val="1D4E5F"/>
      <w:sz w:val="30"/>
      <w:szCs w:val="30"/>
    </w:rPr>
  </w:style>
  <w:style w:type="paragraph" w:styleId="Heading2">
    <w:name w:val="heading 2"/>
    <w:basedOn w:val="Heading"/>
    <w:next w:val="BodyText"/>
    <w:qFormat/>
    <w:pPr>
      <w:spacing w:before="200" w:after="80"/>
      <w:outlineLvl w:val="1"/>
    </w:pPr>
    <w:rPr>
      <w:rFonts w:ascii="Calibri" w:hAnsi="Calibri" w:eastAsia="Calibri" w:cs="Calibri"/>
      <w:b/>
      <w:bCs/>
      <w:color w:val="1D4E5F"/>
      <w:sz w:val="24"/>
      <w:szCs w:val="24"/>
    </w:rPr>
  </w:style>
  <w:style w:type="paragraph" w:styleId="Heading3">
    <w:name w:val="heading 3"/>
    <w:basedOn w:val="Heading"/>
    <w:next w:val="BodyText"/>
    <w:qFormat/>
    <w:pPr>
      <w:spacing w:before="160" w:after="60"/>
      <w:outlineLvl w:val="2"/>
    </w:pPr>
    <w:rPr>
      <w:rFonts w:ascii="Calibri" w:hAnsi="Calibri" w:eastAsia="Calibri" w:cs="Calibri"/>
      <w:b/>
      <w:bCs/>
      <w:color w:val="000000"/>
      <w:sz w:val="21"/>
      <w:szCs w:val="21"/>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0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BodyTextmv-foot">
    <w:name w:val="Body Text.mv-foot"/>
    <w:basedOn w:val="BodyText"/>
    <w:qFormat/>
    <w:pPr>
      <w:pBdr>
        <w:top w:val="single" w:sz="4" w:space="3" w:color="999999"/>
      </w:pBdr>
      <w:spacing w:lineRule="auto" w:line="288" w:before="2" w:after="2"/>
      <w:jc w:val="center"/>
    </w:pPr>
    <w:rPr>
      <w:rFonts w:ascii="Arial" w:hAnsi="Arial" w:eastAsia="Arial" w:cs="Arial"/>
      <w:color w:val="555555"/>
      <w:sz w:val="15"/>
      <w:szCs w:val="15"/>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odyTextmv-name">
    <w:name w:val="Body Text.mv-name"/>
    <w:basedOn w:val="TableContents"/>
    <w:qFormat/>
    <w:pPr>
      <w:spacing w:lineRule="auto" w:line="240" w:before="2" w:after="2"/>
    </w:pPr>
    <w:rPr>
      <w:rFonts w:ascii="Arial" w:hAnsi="Arial" w:eastAsia="Arial" w:cs="Arial"/>
      <w:b/>
      <w:bCs/>
      <w:color w:val="3B3A6D"/>
      <w:sz w:val="38"/>
      <w:szCs w:val="38"/>
    </w:rPr>
  </w:style>
  <w:style w:type="paragraph" w:styleId="BodyTextmv-sub">
    <w:name w:val="Body Text.mv-sub"/>
    <w:basedOn w:val="TableContents"/>
    <w:qFormat/>
    <w:pPr>
      <w:spacing w:before="2" w:after="2"/>
    </w:pPr>
    <w:rPr>
      <w:rFonts w:ascii="Arial" w:hAnsi="Arial" w:eastAsia="Arial" w:cs="Arial"/>
      <w:color w:val="555555"/>
      <w:sz w:val="18"/>
      <w:szCs w:val="18"/>
    </w:rPr>
  </w:style>
  <w:style w:type="paragraph" w:styleId="BodyTextmv-details">
    <w:name w:val="Body Text.mv-details"/>
    <w:basedOn w:val="TableContents"/>
    <w:qFormat/>
    <w:pPr>
      <w:spacing w:lineRule="auto" w:line="300" w:before="2" w:after="2"/>
      <w:jc w:val="right"/>
    </w:pPr>
    <w:rPr>
      <w:rFonts w:ascii="Arial" w:hAnsi="Arial" w:eastAsia="Arial" w:cs="Arial"/>
      <w:color w:val="333333"/>
      <w:sz w:val="17"/>
      <w:szCs w:val="17"/>
    </w:rPr>
  </w:style>
  <w:style w:type="paragraph" w:styleId="BodyTextmv-rule">
    <w:name w:val="Body Text.mv-rule"/>
    <w:basedOn w:val="BodyText"/>
    <w:qFormat/>
    <w:pPr>
      <w:pBdr>
        <w:bottom w:val="single" w:sz="12" w:space="1" w:color="3B3A6D"/>
      </w:pBdr>
      <w:spacing w:lineRule="atLeast" w:line="142" w:before="60" w:after="200"/>
    </w:pPr>
    <w:rPr>
      <w:sz w:val="4"/>
      <w:szCs w:val="4"/>
    </w:rPr>
  </w:style>
  <w:style w:type="paragraph" w:styleId="BodyTextmv-title">
    <w:name w:val="Body Text.mv-title"/>
    <w:basedOn w:val="BodyText"/>
    <w:qFormat/>
    <w:pPr>
      <w:spacing w:before="40" w:after="40"/>
    </w:pPr>
    <w:rPr>
      <w:rFonts w:ascii="Arial" w:hAnsi="Arial" w:eastAsia="Arial" w:cs="Arial"/>
      <w:b/>
      <w:bCs/>
      <w:sz w:val="34"/>
      <w:szCs w:val="34"/>
    </w:rPr>
  </w:style>
  <w:style w:type="paragraph" w:styleId="BodyTextmv-sub2">
    <w:name w:val="Body Text.mv-sub2"/>
    <w:basedOn w:val="BodyText"/>
    <w:qFormat/>
    <w:pPr>
      <w:spacing w:before="2" w:after="80"/>
    </w:pPr>
    <w:rPr>
      <w:rFonts w:ascii="Arial" w:hAnsi="Arial" w:eastAsia="Arial" w:cs="Arial"/>
      <w:sz w:val="21"/>
      <w:szCs w:val="21"/>
    </w:rPr>
  </w:style>
  <w:style w:type="paragraph" w:styleId="BodyTextmv-status">
    <w:name w:val="Body Text.mv-status"/>
    <w:basedOn w:val="BodyText"/>
    <w:qFormat/>
    <w:pPr>
      <w:spacing w:before="2" w:after="160"/>
    </w:pPr>
    <w:rPr>
      <w:rFonts w:ascii="Arial" w:hAnsi="Arial" w:eastAsia="Arial" w:cs="Arial"/>
      <w:b/>
      <w:bCs/>
      <w:color w:val="7A1A1A"/>
      <w:sz w:val="19"/>
      <w:szCs w:val="19"/>
    </w:rPr>
  </w:style>
  <w:style w:type="paragraph" w:styleId="BodyTextcell">
    <w:name w:val="Body Text.cell"/>
    <w:basedOn w:val="TableContents"/>
    <w:qFormat/>
    <w:pPr>
      <w:spacing w:lineRule="auto" w:line="276" w:before="40" w:after="40"/>
    </w:pPr>
    <w:rPr>
      <w:rFonts w:ascii="Arial" w:hAnsi="Arial" w:eastAsia="Arial" w:cs="Arial"/>
      <w:sz w:val="18"/>
      <w:szCs w:val="18"/>
    </w:rPr>
  </w:style>
  <w:style w:type="paragraph" w:styleId="BodyTextsigblock">
    <w:name w:val="Body Text.sigblock"/>
    <w:basedOn w:val="TableContents"/>
    <w:qFormat/>
    <w:pPr>
      <w:spacing w:lineRule="auto" w:line="312" w:before="2" w:after="40"/>
    </w:pPr>
    <w:rPr/>
  </w:style>
  <w:style w:type="paragraph" w:styleId="BodyTextsigline">
    <w:name w:val="Body Text.sigline"/>
    <w:basedOn w:val="TableContents"/>
    <w:qFormat/>
    <w:pPr>
      <w:spacing w:before="400" w:after="4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LibreOffice/26.2.6.3$Linux_AARCH64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2026-09-18T10:20:00Z</dcterms:created>
  <dc:creator>Felix Amberley</dc:creator>
  <dc:description/>
  <cp:keywords>term sheet Series A Kestrel Software Ltd</cp:keywords>
  <dc:language>en-US</dc:language>
  <cp:lastModifiedBy>Felix Amberley</cp:lastModifiedBy>
  <dcterms:modified xsi:type="dcterms:W3CDTF">2026-09-18T16:05:00Z</dcterms:modified>
  <cp:revision>0</cp:revision>
  <dc:subject/>
  <dc:title>Term Sheet – Series A Investment in Kestrel Software Ltd</dc:title>
</cp:coreProperties>
</file>

<file path=docProps/custom.xml><?xml version="1.0" encoding="utf-8"?>
<Properties xmlns="http://schemas.openxmlformats.org/officeDocument/2006/custom-properties" xmlns:vt="http://schemas.openxmlformats.org/officeDocument/2006/docPropsVTypes"/>
</file>