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3"/>
        <w:gridCol w:w="4518"/>
      </w:tblGrid>
      <w:tr>
        <w:trPr/>
        <w:tc>
          <w:tcPr>
            <w:tcW w:w="4893" w:type="dxa"/>
            <w:tcBorders/>
            <w:vAlign w:val="bottom"/>
          </w:tcPr>
          <w:p>
            <w:pPr>
              <w:pStyle w:val="BodyTextlh-name"/>
              <w:bidi w:val="0"/>
              <w:spacing w:lineRule="auto" w:line="240" w:before="2" w:after="2"/>
              <w:jc w:val="left"/>
              <w:rPr/>
            </w:pPr>
            <w:r>
              <w:rPr/>
              <w:t>Ashcombe Reeve LLP</w:t>
            </w:r>
          </w:p>
          <w:p>
            <w:pPr>
              <w:pStyle w:val="BodyTextlh-sub"/>
              <w:bidi w:val="0"/>
              <w:spacing w:before="2" w:after="2"/>
              <w:jc w:val="left"/>
              <w:rPr/>
            </w:pPr>
            <w:r>
              <w:rPr/>
              <w:t>Solicitors</w:t>
            </w:r>
          </w:p>
        </w:tc>
        <w:tc>
          <w:tcPr>
            <w:tcW w:w="4518" w:type="dxa"/>
            <w:tcBorders/>
            <w:vAlign w:val="bottom"/>
          </w:tcPr>
          <w:p>
            <w:pPr>
              <w:pStyle w:val="BodyTextlh-details"/>
              <w:bidi w:val="0"/>
              <w:spacing w:lineRule="auto" w:line="288" w:before="2" w:after="2"/>
              <w:jc w:val="right"/>
              <w:rPr/>
            </w:pPr>
            <w:r>
              <w:rPr/>
              <w:t>Ashcombe House, 9 Quay Street</w:t>
              <w:br/>
              <w:t>Marlbridge WX1 4AB</w:t>
              <w:br/>
              <w:t>Telephone 01632 960200</w:t>
              <w:br/>
              <w:t>enquiries@ashcombe-reeve.example</w:t>
              <w:br/>
              <w:t>www.ashcombe-reeve.example</w:t>
            </w:r>
          </w:p>
        </w:tc>
      </w:tr>
    </w:tbl>
    <w:p>
      <w:pPr>
        <w:pStyle w:val="BodyTextlh-rule"/>
        <w:bidi w:val="0"/>
        <w:jc w:val="left"/>
        <w:rPr/>
      </w:pPr>
      <w:r>
        <w:rPr/>
        <w:t> </w:t>
      </w:r>
    </w:p>
    <w:p>
      <w:pPr>
        <w:pStyle w:val="BodyTextdoc-title"/>
        <w:bidi w:val="0"/>
        <w:jc w:val="left"/>
        <w:rPr/>
      </w:pPr>
      <w:r>
        <w:rPr/>
        <w:t>Backup and Restore Procedure</w:t>
      </w:r>
    </w:p>
    <w:p>
      <w:pPr>
        <w:pStyle w:val="BodyTextdoc-meta"/>
        <w:bidi w:val="0"/>
        <w:jc w:val="left"/>
        <w:rPr/>
      </w:pPr>
      <w:r>
        <w:rPr/>
        <w:t>Version 1 – 15 October 2026 – owner Sam Okafor, IT and Office Manager – approved by Helen Ashcombe, Partner</w:t>
      </w:r>
    </w:p>
    <w:p>
      <w:pPr>
        <w:pStyle w:val="BodyTextsec"/>
        <w:bidi w:val="0"/>
        <w:jc w:val="left"/>
        <w:rPr/>
      </w:pPr>
      <w:r>
        <w:rPr/>
        <w:t>1.   What we back up</w:t>
      </w:r>
    </w:p>
    <w:tbl>
      <w:tblPr>
        <w:tblW w:w="5000" w:type="pct"/>
        <w:jc w:val="left"/>
        <w:tblInd w:w="60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764"/>
        <w:gridCol w:w="5648"/>
      </w:tblGrid>
      <w:tr>
        <w:trPr/>
        <w:tc>
          <w:tcPr>
            <w:tcW w:w="3764" w:type="dxa"/>
            <w:tcBorders>
              <w:top w:val="single" w:sz="6" w:space="0" w:color="999999"/>
              <w:left w:val="single" w:sz="6" w:space="0" w:color="999999"/>
              <w:bottom w:val="single" w:sz="2" w:space="0" w:color="999999"/>
              <w:right w:val="single" w:sz="6" w:space="0" w:color="999999"/>
            </w:tcBorders>
            <w:shd w:fill="EEF2F3" w:val="clear"/>
            <w:vAlign w:val="cente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What</w:t>
            </w:r>
          </w:p>
        </w:tc>
        <w:tc>
          <w:tcPr>
            <w:tcW w:w="5648" w:type="dxa"/>
            <w:tcBorders>
              <w:top w:val="single" w:sz="6" w:space="0" w:color="999999"/>
              <w:left w:val="single" w:sz="2" w:space="0" w:color="999999"/>
              <w:bottom w:val="single" w:sz="2" w:space="0" w:color="999999"/>
              <w:right w:val="single" w:sz="6" w:space="0" w:color="999999"/>
            </w:tcBorders>
            <w:shd w:fill="EEF2F3" w:val="clear"/>
            <w:vAlign w:val="center"/>
          </w:tcPr>
          <w:p>
            <w:pPr>
              <w:pStyle w:val="BodyTextcell"/>
              <w:bidi w:val="0"/>
              <w:spacing w:before="40" w:after="40"/>
              <w:jc w:val="left"/>
              <w:rPr>
                <w:b/>
              </w:rPr>
            </w:pPr>
            <w:r>
              <w:rPr>
                <w:b/>
              </w:rPr>
              <w:t>Where it lives</w:t>
            </w:r>
          </w:p>
        </w:tc>
      </w:tr>
      <w:tr>
        <w:trPr/>
        <w:tc>
          <w:tcPr>
            <w:tcW w:w="3764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vAlign w:val="center"/>
          </w:tcPr>
          <w:p>
            <w:pPr>
              <w:pStyle w:val="BodyTextcell"/>
              <w:bidi w:val="0"/>
              <w:spacing w:lineRule="auto" w:line="276" w:before="40" w:after="40"/>
              <w:jc w:val="left"/>
              <w:rPr/>
            </w:pPr>
            <w:r>
              <w:rPr/>
              <w:t>Healdan: its database and its document store</w:t>
            </w:r>
          </w:p>
        </w:tc>
        <w:tc>
          <w:tcPr>
            <w:tcW w:w="5648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  <w:vAlign w:val="center"/>
          </w:tcPr>
          <w:p>
            <w:pPr>
              <w:pStyle w:val="BodyTextcell"/>
              <w:bidi w:val="0"/>
              <w:spacing w:lineRule="auto" w:line="276" w:before="40" w:after="40"/>
              <w:jc w:val="left"/>
              <w:rPr/>
            </w:pPr>
            <w:r>
              <w:rPr/>
              <w:t>The server, healdan.ashcombe-reeve.example</w:t>
            </w:r>
          </w:p>
        </w:tc>
      </w:tr>
      <w:tr>
        <w:trPr/>
        <w:tc>
          <w:tcPr>
            <w:tcW w:w="3764" w:type="dxa"/>
            <w:tcBorders>
              <w:left w:val="single" w:sz="6" w:space="0" w:color="999999"/>
              <w:bottom w:val="single" w:sz="2" w:space="0" w:color="999999"/>
              <w:right w:val="single" w:sz="6" w:space="0" w:color="999999"/>
            </w:tcBorders>
            <w:vAlign w:val="center"/>
          </w:tcPr>
          <w:p>
            <w:pPr>
              <w:pStyle w:val="BodyTextcell"/>
              <w:bidi w:val="0"/>
              <w:spacing w:lineRule="auto" w:line="276" w:before="40" w:after="40"/>
              <w:jc w:val="left"/>
              <w:rPr/>
            </w:pPr>
            <w:r>
              <w:rPr/>
              <w:t>The accounts and time-recording system</w:t>
            </w:r>
          </w:p>
        </w:tc>
        <w:tc>
          <w:tcPr>
            <w:tcW w:w="5648" w:type="dxa"/>
            <w:tcBorders>
              <w:left w:val="single" w:sz="2" w:space="0" w:color="999999"/>
              <w:bottom w:val="single" w:sz="2" w:space="0" w:color="999999"/>
              <w:right w:val="single" w:sz="6" w:space="0" w:color="999999"/>
            </w:tcBorders>
            <w:vAlign w:val="center"/>
          </w:tcPr>
          <w:p>
            <w:pPr>
              <w:pStyle w:val="BodyTextcell"/>
              <w:bidi w:val="0"/>
              <w:spacing w:lineRule="auto" w:line="276" w:before="40" w:after="40"/>
              <w:jc w:val="left"/>
              <w:rPr/>
            </w:pPr>
            <w:r>
              <w:rPr/>
              <w:t>The office server, office.ashcombe-reeve.example</w:t>
            </w:r>
          </w:p>
        </w:tc>
      </w:tr>
      <w:tr>
        <w:trPr/>
        <w:tc>
          <w:tcPr>
            <w:tcW w:w="3764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BodyTextcell"/>
              <w:bidi w:val="0"/>
              <w:spacing w:lineRule="auto" w:line="276" w:before="40" w:after="40"/>
              <w:jc w:val="left"/>
              <w:rPr/>
            </w:pPr>
            <w:r>
              <w:rPr/>
              <w:t>The email archive (an export of every mailbox)</w:t>
            </w:r>
          </w:p>
        </w:tc>
        <w:tc>
          <w:tcPr>
            <w:tcW w:w="5648" w:type="dxa"/>
            <w:tcBorders>
              <w:left w:val="single" w:sz="2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>
            <w:pPr>
              <w:pStyle w:val="BodyTextcell"/>
              <w:bidi w:val="0"/>
              <w:spacing w:lineRule="auto" w:line="276" w:before="40" w:after="40"/>
              <w:jc w:val="left"/>
              <w:rPr/>
            </w:pPr>
            <w:r>
              <w:rPr/>
              <w:t>The office server, office.ashcombe-reeve.example</w:t>
            </w:r>
          </w:p>
        </w:tc>
      </w:tr>
    </w:tbl>
    <w:p>
      <w:pPr>
        <w:pStyle w:val="BodyTextsec"/>
        <w:bidi w:val="0"/>
        <w:jc w:val="left"/>
        <w:rPr/>
      </w:pPr>
      <w:r>
        <w:rPr/>
        <w:t>2.   When and where</w:t>
      </w:r>
    </w:p>
    <w:p>
      <w:pPr>
        <w:pStyle w:val="BodyTextclause"/>
        <w:bidi w:val="0"/>
        <w:jc w:val="left"/>
        <w:rPr/>
      </w:pPr>
      <w:r>
        <w:rPr/>
        <w:t>2.1   </w:t>
      </w:r>
      <w:r>
        <w:rPr>
          <w:b/>
        </w:rPr>
        <w:t>Nightly</w:t>
      </w:r>
      <w:r>
        <w:rPr/>
        <w:t xml:space="preserve"> at 23:00, a copy of everything in step 1 goes to the office network storage, nas.ashcombe-reeve.example. We keep 30 nightly copies.</w:t>
      </w:r>
    </w:p>
    <w:p>
      <w:pPr>
        <w:pStyle w:val="BodyTextclause"/>
        <w:bidi w:val="0"/>
        <w:jc w:val="left"/>
        <w:rPr/>
      </w:pPr>
      <w:r>
        <w:rPr/>
        <w:t>2.2   </w:t>
      </w:r>
      <w:r>
        <w:rPr>
          <w:b/>
        </w:rPr>
        <w:t>Weekly</w:t>
      </w:r>
      <w:r>
        <w:rPr/>
        <w:t>, early on Sunday, the newest nightly copy is encrypted and sent to Marlvault Backup Ltd. We keep 12 weekly copies.</w:t>
      </w:r>
    </w:p>
    <w:p>
      <w:pPr>
        <w:pStyle w:val="BodyTextclause"/>
        <w:bidi w:val="0"/>
        <w:jc w:val="left"/>
        <w:rPr/>
      </w:pPr>
      <w:r>
        <w:rPr/>
        <w:t>2.3   </w:t>
      </w:r>
      <w:r>
        <w:rPr>
          <w:b/>
        </w:rPr>
        <w:t>Monthly</w:t>
      </w:r>
      <w:r>
        <w:rPr/>
        <w:t>, on the first Saturday, a copy is written to an encrypted drive that is kept off site. We keep 12 monthly copies.</w:t>
      </w:r>
    </w:p>
    <w:p>
      <w:pPr>
        <w:pStyle w:val="BodyTextsec"/>
        <w:bidi w:val="0"/>
        <w:jc w:val="left"/>
        <w:rPr/>
      </w:pPr>
      <w:r>
        <w:rPr/>
        <w:t>3.   Who does what</w:t>
      </w:r>
    </w:p>
    <w:p>
      <w:pPr>
        <w:pStyle w:val="BodyTextclause"/>
        <w:bidi w:val="0"/>
        <w:jc w:val="left"/>
        <w:rPr/>
      </w:pPr>
      <w:r>
        <w:rPr/>
        <w:t>3.1   </w:t>
      </w:r>
      <w:r>
        <w:rPr>
          <w:b/>
        </w:rPr>
        <w:t>Sam Okafor</w:t>
      </w:r>
      <w:r>
        <w:rPr/>
        <w:t xml:space="preserve"> runs the backups. He reads the backup report that arrives by email each morning, and if a nightly copy has failed he fixes it that day. If two nights in a row fail he tells Helen Ashcombe. Tom Reeve stands in when Sam is away.</w:t>
      </w:r>
    </w:p>
    <w:p>
      <w:pPr>
        <w:pStyle w:val="BodyTextclause"/>
        <w:bidi w:val="0"/>
        <w:jc w:val="left"/>
        <w:rPr/>
      </w:pPr>
      <w:r>
        <w:rPr/>
        <w:t>3.2   </w:t>
      </w:r>
      <w:r>
        <w:rPr>
          <w:b/>
        </w:rPr>
        <w:t>Helen Ashcombe</w:t>
      </w:r>
      <w:r>
        <w:rPr/>
        <w:t xml:space="preserve"> keeps the off-site drive. The key that opens the encrypted copies is in a sealed envelope in the strongroom, and Helen holds a second copy.</w:t>
      </w:r>
    </w:p>
    <w:p>
      <w:pPr>
        <w:pStyle w:val="BodyTextclause"/>
        <w:bidi w:val="0"/>
        <w:jc w:val="left"/>
        <w:rPr/>
      </w:pPr>
      <w:r>
        <w:rPr/>
        <w:t>3.3   </w:t>
      </w:r>
      <w:r>
        <w:rPr>
          <w:b/>
        </w:rPr>
        <w:t>Everyone else</w:t>
      </w:r>
      <w:r>
        <w:rPr/>
        <w:t xml:space="preserve"> keeps client documents in Healdan only, never on a personal device, and tells Sam at once if a file goes missing.</w:t>
      </w:r>
    </w:p>
    <w:p>
      <w:pPr>
        <w:pStyle w:val="BodyTextsec"/>
        <w:bidi w:val="0"/>
        <w:jc w:val="left"/>
        <w:rPr/>
      </w:pPr>
      <w:r>
        <w:rPr/>
        <w:t>4.   Testing a restore</w:t>
      </w:r>
    </w:p>
    <w:p>
      <w:pPr>
        <w:pStyle w:val="BodyTextclause"/>
        <w:bidi w:val="0"/>
        <w:jc w:val="left"/>
        <w:rPr/>
      </w:pPr>
      <w:r>
        <w:rPr/>
        <w:t>4.1   Every quarter, on a Saturday, Sam restores the latest nightly copy of Healdan onto a spare machine, checks that the database is complete and that a sample of documents opens, and writes the result in the backup log.</w:t>
      </w:r>
    </w:p>
    <w:p>
      <w:pPr>
        <w:pStyle w:val="BodyTextclause"/>
        <w:bidi w:val="0"/>
        <w:jc w:val="left"/>
        <w:rPr/>
      </w:pPr>
      <w:r>
        <w:rPr/>
        <w:t>4.2   The last test was on Saturday 25 July 2026. The next is on Saturday 24 October 2026.</w:t>
      </w:r>
    </w:p>
    <w:p>
      <w:pPr>
        <w:pStyle w:val="BodyTextsec"/>
        <w:bidi w:val="0"/>
        <w:jc w:val="left"/>
        <w:rPr/>
      </w:pPr>
      <w:r>
        <w:rPr/>
        <w:t>5.   If a file is lost</w:t>
      </w:r>
    </w:p>
    <w:p>
      <w:pPr>
        <w:pStyle w:val="BodyTextclause"/>
        <w:bidi w:val="0"/>
        <w:jc w:val="left"/>
        <w:rPr/>
      </w:pPr>
      <w:r>
        <w:rPr/>
        <w:t>5.1   Tell Sam the matter, the name of the file and when you last saw it.</w:t>
      </w:r>
    </w:p>
    <w:p>
      <w:pPr>
        <w:pStyle w:val="BodyTextclause"/>
        <w:bidi w:val="0"/>
        <w:jc w:val="left"/>
        <w:rPr/>
      </w:pPr>
      <w:r>
        <w:rPr/>
        <w:t>5.2   Sam first looks in Healdan for the deleted document or an earlier version, which puts most losses right in a few minutes.</w:t>
      </w:r>
    </w:p>
    <w:p>
      <w:pPr>
        <w:pStyle w:val="BodyTextclause"/>
        <w:bidi w:val="0"/>
        <w:jc w:val="left"/>
        <w:rPr/>
      </w:pPr>
      <w:r>
        <w:rPr/>
        <w:t>5.3   If it is not there, Sam restores the document from the newest nightly copy that has it, into a safe place, and checks that it opens.</w:t>
      </w:r>
    </w:p>
    <w:p>
      <w:pPr>
        <w:pStyle w:val="BodyTextclause"/>
        <w:bidi w:val="0"/>
        <w:jc w:val="left"/>
        <w:rPr/>
      </w:pPr>
      <w:r>
        <w:rPr/>
        <w:t>5.4   Sam puts the document back in its matter, tells you, and notes what he did in the backup log.</w:t>
      </w:r>
    </w:p>
    <w:p>
      <w:pPr>
        <w:pStyle w:val="BodyTextsec"/>
        <w:bidi w:val="0"/>
        <w:jc w:val="left"/>
        <w:rPr/>
      </w:pPr>
      <w:r>
        <w:rPr/>
        <w:t>6.   If the server fails</w:t>
      </w:r>
    </w:p>
    <w:p>
      <w:pPr>
        <w:pStyle w:val="BodyTextclause"/>
        <w:bidi w:val="0"/>
        <w:jc w:val="left"/>
        <w:rPr/>
      </w:pPr>
      <w:r>
        <w:rPr/>
        <w:t>6.1   Tell Sam at once. Sam tells Helen, and rings Marlbridge Computer Services Ltd, whose warranty covers the server, on 01632 960610.</w:t>
      </w:r>
    </w:p>
    <w:p>
      <w:pPr>
        <w:pStyle w:val="BodyTextclause"/>
        <w:bidi w:val="0"/>
        <w:jc w:val="left"/>
        <w:rPr/>
      </w:pPr>
      <w:r>
        <w:rPr/>
        <w:t>6.2   Until the server is back, keep working from email and your notes, and do not save client documents anywhere else.</w:t>
      </w:r>
    </w:p>
    <w:p>
      <w:pPr>
        <w:pStyle w:val="BodyTextclause"/>
        <w:bidi w:val="0"/>
        <w:jc w:val="left"/>
        <w:rPr/>
      </w:pPr>
      <w:r>
        <w:rPr/>
        <w:t>6.3   When the server is repaired or replaced, Sam restores Healdan from the newest nightly copy and checks the restored matters before anyone logs in. At most the work since 23:00 the night before is lost.</w:t>
      </w:r>
    </w:p>
    <w:p>
      <w:pPr>
        <w:pStyle w:val="BodyTextclause"/>
        <w:bidi w:val="0"/>
        <w:spacing w:before="0" w:after="120"/>
        <w:jc w:val="left"/>
        <w:rPr/>
      </w:pPr>
      <w:r>
        <w:rPr/>
        <w:t>6.4   If the office network storage has failed too, Sam restores from Marlvault’s newest weekly copy, which can be up to a week old. Staff will then redo the lost work from email and notes. Marlvault’s number is 01632 960622.</w:t>
      </w:r>
    </w:p>
    <w:sectPr>
      <w:footerReference w:type="default" r:id="rId2"/>
      <w:type w:val="nextPage"/>
      <w:pgSz w:w="11906" w:h="16838"/>
      <w:pgMar w:left="1247" w:right="1247" w:gutter="0" w:header="0" w:top="964" w:footer="964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lh-foot"/>
      <w:pBdr>
        <w:top w:val="single" w:sz="4" w:space="3" w:color="999999"/>
      </w:pBdr>
      <w:bidi w:val="0"/>
      <w:spacing w:lineRule="auto" w:line="288" w:before="2" w:after="2"/>
      <w:jc w:val="center"/>
      <w:rPr/>
    </w:pPr>
    <w:r>
      <w:rPr/>
      <w:t>Ashcombe Reeve LLP is a limited liability partnership registered in England and Wales. Authorised and regulated by the Solicitors Regulation Authority.</w:t>
      <w:br/>
      <w:t>A list of the members is open to inspection at Ashcombe House, 9 Quay Street, Marlbridge WX1 4AB.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000000"/>
      <w:sz w:val="21"/>
      <w:szCs w:val="21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Calibri" w:hAnsi="Calibri" w:eastAsia="Calibri" w:cs="Calibri"/>
      <w:b/>
      <w:bCs/>
      <w:color w:val="1D4E5F"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200" w:after="80"/>
      <w:outlineLvl w:val="1"/>
    </w:pPr>
    <w:rPr>
      <w:rFonts w:ascii="Calibri" w:hAnsi="Calibri" w:eastAsia="Calibri" w:cs="Calibri"/>
      <w:b/>
      <w:bCs/>
      <w:color w:val="1D4E5F"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60" w:after="60"/>
      <w:outlineLvl w:val="2"/>
    </w:pPr>
    <w:rPr>
      <w:rFonts w:ascii="Calibri" w:hAnsi="Calibri" w:eastAsia="Calibri" w:cs="Calibri"/>
      <w:b/>
      <w:bCs/>
      <w:color w:val="000000"/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BodyTextlh-foot">
    <w:name w:val="Body Text.lh-foot"/>
    <w:basedOn w:val="BodyText"/>
    <w:qFormat/>
    <w:pPr>
      <w:pBdr>
        <w:top w:val="single" w:sz="4" w:space="3" w:color="999999"/>
      </w:pBdr>
      <w:spacing w:lineRule="auto" w:line="288" w:before="2" w:after="2"/>
      <w:jc w:val="center"/>
    </w:pPr>
    <w:rPr>
      <w:rFonts w:ascii="Calibri" w:hAnsi="Calibri" w:eastAsia="Calibri" w:cs="Calibri"/>
      <w:color w:val="555555"/>
      <w:sz w:val="15"/>
      <w:szCs w:val="1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lh-name">
    <w:name w:val="Body Text.lh-name"/>
    <w:basedOn w:val="TableContents"/>
    <w:qFormat/>
    <w:pPr>
      <w:spacing w:lineRule="auto" w:line="240" w:before="2" w:after="2"/>
    </w:pPr>
    <w:rPr>
      <w:rFonts w:ascii="Calibri" w:hAnsi="Calibri" w:eastAsia="Calibri" w:cs="Calibri"/>
      <w:b/>
      <w:bCs/>
      <w:color w:val="1D4E5F"/>
      <w:sz w:val="44"/>
      <w:szCs w:val="44"/>
    </w:rPr>
  </w:style>
  <w:style w:type="paragraph" w:styleId="BodyTextlh-sub">
    <w:name w:val="Body Text.lh-sub"/>
    <w:basedOn w:val="TableContents"/>
    <w:qFormat/>
    <w:pPr>
      <w:spacing w:before="2" w:after="2"/>
    </w:pPr>
    <w:rPr>
      <w:rFonts w:ascii="Calibri" w:hAnsi="Calibri" w:eastAsia="Calibri" w:cs="Calibri"/>
      <w:smallCaps/>
      <w:color w:val="555555"/>
      <w:sz w:val="18"/>
      <w:szCs w:val="18"/>
    </w:rPr>
  </w:style>
  <w:style w:type="paragraph" w:styleId="BodyTextlh-details">
    <w:name w:val="Body Text.lh-details"/>
    <w:basedOn w:val="TableContents"/>
    <w:qFormat/>
    <w:pPr>
      <w:spacing w:lineRule="auto" w:line="288" w:before="2" w:after="2"/>
      <w:jc w:val="right"/>
    </w:pPr>
    <w:rPr>
      <w:rFonts w:ascii="Calibri" w:hAnsi="Calibri" w:eastAsia="Calibri" w:cs="Calibri"/>
      <w:color w:val="333333"/>
      <w:sz w:val="17"/>
      <w:szCs w:val="17"/>
    </w:rPr>
  </w:style>
  <w:style w:type="paragraph" w:styleId="BodyTextlh-rule">
    <w:name w:val="Body Text.lh-rule"/>
    <w:basedOn w:val="BodyText"/>
    <w:qFormat/>
    <w:pPr>
      <w:pBdr>
        <w:bottom w:val="single" w:sz="12" w:space="1" w:color="1D4E5F"/>
      </w:pBdr>
      <w:spacing w:lineRule="atLeast" w:line="142" w:before="60" w:after="240"/>
    </w:pPr>
    <w:rPr>
      <w:sz w:val="4"/>
      <w:szCs w:val="4"/>
    </w:rPr>
  </w:style>
  <w:style w:type="paragraph" w:styleId="BodyTextdoc-title">
    <w:name w:val="Body Text.doc-title"/>
    <w:basedOn w:val="BodyText"/>
    <w:qFormat/>
    <w:pPr>
      <w:spacing w:before="80" w:after="60"/>
    </w:pPr>
    <w:rPr>
      <w:rFonts w:ascii="Calibri" w:hAnsi="Calibri" w:eastAsia="Calibri" w:cs="Calibri"/>
      <w:b/>
      <w:bCs/>
      <w:color w:val="000000"/>
      <w:sz w:val="32"/>
      <w:szCs w:val="32"/>
    </w:rPr>
  </w:style>
  <w:style w:type="paragraph" w:styleId="BodyTextdoc-meta">
    <w:name w:val="Body Text.doc-meta"/>
    <w:basedOn w:val="BodyText"/>
    <w:qFormat/>
    <w:pPr>
      <w:spacing w:before="2" w:after="160"/>
    </w:pPr>
    <w:rPr>
      <w:color w:val="333333"/>
      <w:sz w:val="19"/>
      <w:szCs w:val="19"/>
    </w:rPr>
  </w:style>
  <w:style w:type="paragraph" w:styleId="BodyTextsec">
    <w:name w:val="Body Text.sec"/>
    <w:basedOn w:val="BodyText"/>
    <w:qFormat/>
    <w:pPr>
      <w:keepNext w:val="true"/>
      <w:spacing w:before="180" w:after="60"/>
    </w:pPr>
    <w:rPr>
      <w:b/>
      <w:bCs/>
      <w:color w:val="1D4E5F"/>
    </w:rPr>
  </w:style>
  <w:style w:type="paragraph" w:styleId="BodyTextcell">
    <w:name w:val="Body Text.cell"/>
    <w:basedOn w:val="TableContents"/>
    <w:qFormat/>
    <w:pPr>
      <w:spacing w:lineRule="auto" w:line="276" w:before="40" w:after="40"/>
    </w:pPr>
    <w:rPr>
      <w:sz w:val="19"/>
      <w:szCs w:val="19"/>
    </w:rPr>
  </w:style>
  <w:style w:type="paragraph" w:styleId="BodyTextclause">
    <w:name w:val="Body Text.clause"/>
    <w:basedOn w:val="BodyText"/>
    <w:qFormat/>
    <w:pPr>
      <w:ind w:hanging="255" w:left="255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LibreOffice/26.2.6.3$Linux_AARCH64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2026-10-13T14:30:00Z</dcterms:created>
  <dc:creator>Sam Okafor</dc:creator>
  <dc:description/>
  <cp:keywords>backup restore procedure IT</cp:keywords>
  <dc:language>en-US</dc:language>
  <cp:lastModifiedBy>Sam Okafor</cp:lastModifiedBy>
  <dcterms:modified xsi:type="dcterms:W3CDTF">2026-10-15T09:35:00Z</dcterms:modified>
  <cp:revision>0</cp:revision>
  <dc:subject/>
  <dc:title>Backup and Restore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