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0" w:type="dxa"/>
          <w:bottom w:w="0" w:type="dxa"/>
          <w:right w:w="0" w:type="dxa"/>
        </w:tblCellMar>
      </w:tblPr>
      <w:tblGrid>
        <w:gridCol w:w="4893"/>
        <w:gridCol w:w="4518"/>
      </w:tblGrid>
      <w:tr>
        <w:trPr/>
        <w:tc>
          <w:tcPr>
            <w:tcW w:w="4893" w:type="dxa"/>
            <w:tcBorders/>
            <w:vAlign w:val="bottom"/>
          </w:tcPr>
          <w:p>
            <w:pPr>
              <w:pStyle w:val="BodyTextlh-name"/>
              <w:bidi w:val="0"/>
              <w:spacing w:lineRule="auto" w:line="240" w:before="2" w:after="2"/>
              <w:jc w:val="left"/>
              <w:rPr/>
            </w:pPr>
            <w:r>
              <w:rPr/>
              <w:t>Ashcombe Reeve LLP</w:t>
            </w:r>
          </w:p>
          <w:p>
            <w:pPr>
              <w:pStyle w:val="BodyTextlh-sub"/>
              <w:bidi w:val="0"/>
              <w:spacing w:before="2" w:after="2"/>
              <w:jc w:val="left"/>
              <w:rPr/>
            </w:pPr>
            <w:r>
              <w:rPr/>
              <w:t>Solicitors</w:t>
            </w:r>
          </w:p>
        </w:tc>
        <w:tc>
          <w:tcPr>
            <w:tcW w:w="4518" w:type="dxa"/>
            <w:tcBorders/>
            <w:vAlign w:val="bottom"/>
          </w:tcPr>
          <w:p>
            <w:pPr>
              <w:pStyle w:val="BodyTextlh-details"/>
              <w:bidi w:val="0"/>
              <w:spacing w:lineRule="auto" w:line="288" w:before="2" w:after="2"/>
              <w:jc w:val="right"/>
              <w:rPr/>
            </w:pPr>
            <w:r>
              <w:rPr/>
              <w:t>Ashcombe House, 9 Quay Street</w:t>
              <w:br/>
              <w:t>Marlbridge WX1 4AB</w:t>
              <w:br/>
              <w:t>Telephone 01632 960200</w:t>
              <w:br/>
              <w:t>enquiries@ashcombe-reeve.example</w:t>
              <w:br/>
              <w:t>www.ashcombe-reeve.example</w:t>
            </w:r>
          </w:p>
        </w:tc>
      </w:tr>
    </w:tbl>
    <w:p>
      <w:pPr>
        <w:pStyle w:val="BodyTextlh-rule"/>
        <w:bidi w:val="0"/>
        <w:jc w:val="left"/>
        <w:rPr/>
      </w:pPr>
      <w:r>
        <w:rPr/>
        <w:t> </w:t>
      </w:r>
    </w:p>
    <w:tbl>
      <w:tblPr>
        <w:tblW w:w="5000" w:type="pct"/>
        <w:jc w:val="left"/>
        <w:tblInd w:w="0" w:type="dxa"/>
        <w:tblLayout w:type="fixed"/>
        <w:tblCellMar>
          <w:top w:w="0" w:type="dxa"/>
          <w:left w:w="0" w:type="dxa"/>
          <w:bottom w:w="0" w:type="dxa"/>
          <w:right w:w="0" w:type="dxa"/>
        </w:tblCellMar>
      </w:tblPr>
      <w:tblGrid>
        <w:gridCol w:w="4894"/>
        <w:gridCol w:w="4517"/>
      </w:tblGrid>
      <w:tr>
        <w:trPr/>
        <w:tc>
          <w:tcPr>
            <w:tcW w:w="4894" w:type="dxa"/>
            <w:tcBorders/>
            <w:vAlign w:val="center"/>
          </w:tcPr>
          <w:p>
            <w:pPr>
              <w:pStyle w:val="BodyTextaddr"/>
              <w:bidi w:val="0"/>
              <w:spacing w:lineRule="auto" w:line="288" w:before="2" w:after="2"/>
              <w:jc w:val="left"/>
              <w:rPr/>
            </w:pPr>
            <w:r>
              <w:rPr/>
              <w:t>Ms Imogen Pryce</w:t>
              <w:br/>
              <w:t>Dunmere Pryce LLP</w:t>
              <w:br/>
              <w:t>40 Harbour Row</w:t>
              <w:br/>
              <w:t>Eastwick EW2 7LP</w:t>
            </w:r>
          </w:p>
        </w:tc>
        <w:tc>
          <w:tcPr>
            <w:tcW w:w="4517" w:type="dxa"/>
            <w:tcBorders/>
            <w:vAlign w:val="center"/>
          </w:tcPr>
          <w:p>
            <w:pPr>
              <w:pStyle w:val="BodyTextrefs"/>
              <w:bidi w:val="0"/>
              <w:spacing w:lineRule="auto" w:line="300" w:before="2" w:after="2"/>
              <w:jc w:val="left"/>
              <w:rPr/>
            </w:pPr>
            <w:r>
              <w:rPr>
                <w:b/>
              </w:rPr>
              <w:t>Our ref</w:t>
            </w:r>
            <w:r>
              <w:rPr/>
              <w:t>  TR/1001.1/PN</w:t>
              <w:br/>
            </w:r>
            <w:r>
              <w:rPr>
                <w:b/>
              </w:rPr>
              <w:t>Your ref</w:t>
            </w:r>
            <w:r>
              <w:rPr/>
              <w:t>  IP/KT/2291</w:t>
              <w:br/>
            </w:r>
            <w:r>
              <w:rPr>
                <w:b/>
              </w:rPr>
              <w:t>Direct dial</w:t>
            </w:r>
            <w:r>
              <w:rPr/>
              <w:t>  01632 960214</w:t>
              <w:br/>
            </w:r>
            <w:r>
              <w:rPr>
                <w:b/>
              </w:rPr>
              <w:t>Email</w:t>
            </w:r>
            <w:r>
              <w:rPr/>
              <w:t>  tom.reeve@ashcombe-reeve.example</w:t>
              <w:br/>
            </w:r>
            <w:r>
              <w:rPr>
                <w:b/>
              </w:rPr>
              <w:t>Date</w:t>
            </w:r>
            <w:r>
              <w:rPr/>
              <w:t>  23 September 2026</w:t>
            </w:r>
          </w:p>
        </w:tc>
      </w:tr>
    </w:tbl>
    <w:p>
      <w:pPr>
        <w:pStyle w:val="BodyTextvia"/>
        <w:bidi w:val="0"/>
        <w:jc w:val="left"/>
        <w:rPr/>
      </w:pPr>
      <w:r>
        <w:rPr/>
        <w:t>Without prejudice save as to costs</w:t>
        <w:br/>
        <w:t>By email and post</w:t>
      </w:r>
    </w:p>
    <w:p>
      <w:pPr>
        <w:pStyle w:val="BodyText"/>
        <w:bidi w:val="0"/>
        <w:jc w:val="left"/>
        <w:rPr/>
      </w:pPr>
      <w:r>
        <w:rPr/>
        <w:t>Dear Ms Pryce</w:t>
      </w:r>
    </w:p>
    <w:p>
      <w:pPr>
        <w:pStyle w:val="BodyTextsubject"/>
        <w:bidi w:val="0"/>
        <w:jc w:val="left"/>
        <w:rPr/>
      </w:pPr>
      <w:r>
        <w:rPr/>
        <w:t>Kingsholm Tonnage Ltd and Saltmarsh Shipping Ltd – MV Northern Star – laytime and demurrage at Hartmouth</w:t>
      </w:r>
    </w:p>
    <w:p>
      <w:pPr>
        <w:pStyle w:val="BodyText"/>
        <w:bidi w:val="0"/>
        <w:jc w:val="left"/>
        <w:rPr/>
      </w:pPr>
      <w:r>
        <w:rPr/>
        <w:t>We act for Saltmarsh Shipping Ltd, the charterers of the MV Northern Star under a voyage charterparty dated 12 March 2026. We refer to your letter of 15 September 2026, which claims demurrage of USD 184,500.00 for the discharge at Hartmouth.</w:t>
      </w:r>
    </w:p>
    <w:p>
      <w:pPr>
        <w:pStyle w:val="BodyText"/>
        <w:bidi w:val="0"/>
        <w:jc w:val="left"/>
        <w:rPr/>
      </w:pPr>
      <w:r>
        <w:rPr/>
        <w:t>Our client does not accept that figure. Clause 9 allows six weather working days for discharge, Sundays and holidays excepted unless used, and excludes any time when discharge cannot go on because of weather. The vessel's own log records a heavy swell at the berth from 7 to 10 August 2026, and the terminal closed its pilot station for the same period. Your calculation counts all of that time. It also counts Sunday 9 August, when nothing was discharged.</w:t>
      </w:r>
    </w:p>
    <w:p>
      <w:pPr>
        <w:pStyle w:val="BodyText"/>
        <w:bidi w:val="0"/>
        <w:jc w:val="left"/>
        <w:rPr/>
      </w:pPr>
      <w:r>
        <w:rPr/>
        <w:t>Calculated as the charterparty requires, laytime was exceeded by 5 days 8 hours 24 minutes. At the charterparty rate of USD 18,000.00 a day, pro rata, demurrage is USD 96,300.00. Our client's calculation is enclosed. Our client will pay that sum in full and final settlement of the demurrage claim if your client accepts it by 7 October 2026.</w:t>
      </w:r>
    </w:p>
    <w:p>
      <w:pPr>
        <w:pStyle w:val="BodyText"/>
        <w:bidi w:val="0"/>
        <w:jc w:val="left"/>
        <w:rPr/>
      </w:pPr>
      <w:r>
        <w:rPr/>
        <w:t>If your client does not accept, please tell us whether it will agree to refer the dispute to arbitration under clause 24. All of our client's rights, including its right to claim its costs, are reserved.</w:t>
      </w:r>
    </w:p>
    <w:p>
      <w:pPr>
        <w:pStyle w:val="BodyText"/>
        <w:bidi w:val="0"/>
        <w:jc w:val="left"/>
        <w:rPr/>
      </w:pPr>
      <w:r>
        <w:rPr/>
        <w:t>Please acknowledge this letter.</w:t>
      </w:r>
    </w:p>
    <w:p>
      <w:pPr>
        <w:pStyle w:val="BodyTextsignoff"/>
        <w:bidi w:val="0"/>
        <w:jc w:val="left"/>
        <w:rPr/>
      </w:pPr>
      <w:r>
        <w:rPr/>
        <w:t>Yours sincerely</w:t>
      </w:r>
    </w:p>
    <w:p>
      <w:pPr>
        <w:pStyle w:val="BodyTextsignature"/>
        <w:bidi w:val="0"/>
        <w:jc w:val="left"/>
        <w:rPr/>
      </w:pPr>
      <w:r>
        <w:rPr>
          <w:b/>
        </w:rPr>
        <w:t>Tom Reeve</w:t>
      </w:r>
      <w:r>
        <w:rPr/>
        <w:br/>
        <w:t>Partner</w:t>
        <w:br/>
        <w:t>Ashcombe Reeve LLP</w:t>
      </w:r>
    </w:p>
    <w:p>
      <w:pPr>
        <w:pStyle w:val="BodyTextsmall"/>
        <w:bidi w:val="0"/>
        <w:spacing w:before="0" w:after="120"/>
        <w:jc w:val="left"/>
        <w:rPr/>
      </w:pPr>
      <w:r>
        <w:rPr/>
        <w:t>Enc: Saltmarsh Shipping Ltd – laytime calculation, MV Northern Star</w:t>
      </w:r>
    </w:p>
    <w:sectPr>
      <w:footerReference w:type="default" r:id="rId2"/>
      <w:type w:val="nextPage"/>
      <w:pgSz w:w="11906" w:h="16838"/>
      <w:pgMar w:left="1247" w:right="1247" w:gutter="0" w:header="0" w:top="964" w:footer="964" w:bottom="14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lh-foot"/>
      <w:pBdr>
        <w:top w:val="single" w:sz="4" w:space="3" w:color="999999"/>
      </w:pBdr>
      <w:bidi w:val="0"/>
      <w:spacing w:lineRule="auto" w:line="288" w:before="2" w:after="2"/>
      <w:jc w:val="center"/>
      <w:rPr/>
    </w:pPr>
    <w:r>
      <w:rPr/>
      <w:t>Ashcombe Reeve LLP is a limited liability partnership registered in England and Wales. Authorised and regulated by the Solicitors Regulation Authority.</w:t>
      <w:br/>
      <w:t>A list of the members is open to inspection at Ashcombe House, 9 Quay Street, Marlbridge WX1 4AB.</w:t>
    </w:r>
  </w:p>
</w:ft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Calibri" w:hAnsi="Calibri" w:eastAsia="Calibri" w:cs="Calibri"/>
      <w:color w:val="000000"/>
      <w:sz w:val="21"/>
      <w:szCs w:val="21"/>
      <w:lang w:val="en-GB" w:eastAsia="zh-CN" w:bidi="hi-IN"/>
    </w:rPr>
  </w:style>
  <w:style w:type="paragraph" w:styleId="Heading1">
    <w:name w:val="heading 1"/>
    <w:basedOn w:val="Heading"/>
    <w:next w:val="BodyText"/>
    <w:qFormat/>
    <w:pPr>
      <w:spacing w:before="240" w:after="120"/>
      <w:outlineLvl w:val="0"/>
    </w:pPr>
    <w:rPr>
      <w:rFonts w:ascii="Calibri" w:hAnsi="Calibri" w:eastAsia="Calibri" w:cs="Calibri"/>
      <w:b/>
      <w:bCs/>
      <w:color w:val="1D4E5F"/>
      <w:sz w:val="30"/>
      <w:szCs w:val="30"/>
    </w:rPr>
  </w:style>
  <w:style w:type="paragraph" w:styleId="Heading2">
    <w:name w:val="heading 2"/>
    <w:basedOn w:val="Heading"/>
    <w:next w:val="BodyText"/>
    <w:qFormat/>
    <w:pPr>
      <w:spacing w:before="200" w:after="80"/>
      <w:outlineLvl w:val="1"/>
    </w:pPr>
    <w:rPr>
      <w:rFonts w:ascii="Calibri" w:hAnsi="Calibri" w:eastAsia="Calibri" w:cs="Calibri"/>
      <w:b/>
      <w:bCs/>
      <w:color w:val="1D4E5F"/>
      <w:sz w:val="24"/>
      <w:szCs w:val="24"/>
    </w:rPr>
  </w:style>
  <w:style w:type="paragraph" w:styleId="Heading3">
    <w:name w:val="heading 3"/>
    <w:basedOn w:val="Heading"/>
    <w:next w:val="BodyText"/>
    <w:qFormat/>
    <w:pPr>
      <w:spacing w:before="160" w:after="60"/>
      <w:outlineLvl w:val="2"/>
    </w:pPr>
    <w:rPr>
      <w:rFonts w:ascii="Calibri" w:hAnsi="Calibri" w:eastAsia="Calibri" w:cs="Calibri"/>
      <w:b/>
      <w:bCs/>
      <w:color w:val="000000"/>
      <w:sz w:val="21"/>
      <w:szCs w:val="21"/>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2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odyTextlh-foot">
    <w:name w:val="Body Text.lh-foot"/>
    <w:basedOn w:val="BodyText"/>
    <w:qFormat/>
    <w:pPr>
      <w:pBdr>
        <w:top w:val="single" w:sz="4" w:space="3" w:color="999999"/>
      </w:pBdr>
      <w:spacing w:lineRule="auto" w:line="288" w:before="2" w:after="2"/>
      <w:jc w:val="center"/>
    </w:pPr>
    <w:rPr>
      <w:rFonts w:ascii="Calibri" w:hAnsi="Calibri" w:eastAsia="Calibri" w:cs="Calibri"/>
      <w:color w:val="555555"/>
      <w:sz w:val="15"/>
      <w:szCs w:val="15"/>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lh-name">
    <w:name w:val="Body Text.lh-name"/>
    <w:basedOn w:val="TableContents"/>
    <w:qFormat/>
    <w:pPr>
      <w:spacing w:lineRule="auto" w:line="240" w:before="2" w:after="2"/>
    </w:pPr>
    <w:rPr>
      <w:rFonts w:ascii="Calibri" w:hAnsi="Calibri" w:eastAsia="Calibri" w:cs="Calibri"/>
      <w:b/>
      <w:bCs/>
      <w:color w:val="1D4E5F"/>
      <w:sz w:val="44"/>
      <w:szCs w:val="44"/>
    </w:rPr>
  </w:style>
  <w:style w:type="paragraph" w:styleId="BodyTextlh-sub">
    <w:name w:val="Body Text.lh-sub"/>
    <w:basedOn w:val="TableContents"/>
    <w:qFormat/>
    <w:pPr>
      <w:spacing w:before="2" w:after="2"/>
    </w:pPr>
    <w:rPr>
      <w:rFonts w:ascii="Calibri" w:hAnsi="Calibri" w:eastAsia="Calibri" w:cs="Calibri"/>
      <w:smallCaps/>
      <w:color w:val="555555"/>
      <w:sz w:val="18"/>
      <w:szCs w:val="18"/>
    </w:rPr>
  </w:style>
  <w:style w:type="paragraph" w:styleId="BodyTextlh-details">
    <w:name w:val="Body Text.lh-details"/>
    <w:basedOn w:val="TableContents"/>
    <w:qFormat/>
    <w:pPr>
      <w:spacing w:lineRule="auto" w:line="288" w:before="2" w:after="2"/>
      <w:jc w:val="right"/>
    </w:pPr>
    <w:rPr>
      <w:rFonts w:ascii="Calibri" w:hAnsi="Calibri" w:eastAsia="Calibri" w:cs="Calibri"/>
      <w:color w:val="333333"/>
      <w:sz w:val="17"/>
      <w:szCs w:val="17"/>
    </w:rPr>
  </w:style>
  <w:style w:type="paragraph" w:styleId="BodyTextlh-rule">
    <w:name w:val="Body Text.lh-rule"/>
    <w:basedOn w:val="BodyText"/>
    <w:qFormat/>
    <w:pPr>
      <w:pBdr>
        <w:bottom w:val="single" w:sz="12" w:space="1" w:color="1D4E5F"/>
      </w:pBdr>
      <w:spacing w:lineRule="atLeast" w:line="142" w:before="60" w:after="240"/>
    </w:pPr>
    <w:rPr>
      <w:sz w:val="4"/>
      <w:szCs w:val="4"/>
    </w:rPr>
  </w:style>
  <w:style w:type="paragraph" w:styleId="BodyTextaddr">
    <w:name w:val="Body Text.addr"/>
    <w:basedOn w:val="TableContents"/>
    <w:qFormat/>
    <w:pPr>
      <w:spacing w:lineRule="auto" w:line="288" w:before="2" w:after="2"/>
    </w:pPr>
    <w:rPr/>
  </w:style>
  <w:style w:type="paragraph" w:styleId="BodyTextrefs">
    <w:name w:val="Body Text.refs"/>
    <w:basedOn w:val="TableContents"/>
    <w:qFormat/>
    <w:pPr>
      <w:spacing w:lineRule="auto" w:line="300" w:before="2" w:after="2"/>
    </w:pPr>
    <w:rPr>
      <w:sz w:val="19"/>
      <w:szCs w:val="19"/>
    </w:rPr>
  </w:style>
  <w:style w:type="paragraph" w:styleId="BodyTextvia">
    <w:name w:val="Body Text.via"/>
    <w:basedOn w:val="BodyText"/>
    <w:qFormat/>
    <w:pPr>
      <w:spacing w:before="200" w:after="160"/>
    </w:pPr>
    <w:rPr>
      <w:b/>
      <w:bCs/>
    </w:rPr>
  </w:style>
  <w:style w:type="paragraph" w:styleId="BodyTextsubject">
    <w:name w:val="Body Text.subject"/>
    <w:basedOn w:val="BodyText"/>
    <w:qFormat/>
    <w:pPr>
      <w:spacing w:before="120" w:after="120"/>
    </w:pPr>
    <w:rPr>
      <w:b/>
      <w:bCs/>
    </w:rPr>
  </w:style>
  <w:style w:type="paragraph" w:styleId="BodyTextsignoff">
    <w:name w:val="Body Text.signoff"/>
    <w:basedOn w:val="BodyText"/>
    <w:qFormat/>
    <w:pPr>
      <w:spacing w:before="200" w:after="2"/>
    </w:pPr>
    <w:rPr/>
  </w:style>
  <w:style w:type="paragraph" w:styleId="BodyTextsignature">
    <w:name w:val="Body Text.signature"/>
    <w:basedOn w:val="BodyText"/>
    <w:qFormat/>
    <w:pPr>
      <w:spacing w:before="560" w:after="160"/>
    </w:pPr>
    <w:rPr/>
  </w:style>
  <w:style w:type="paragraph" w:styleId="BodyTextsmall">
    <w:name w:val="Body Text.small"/>
    <w:basedOn w:val="BodyText"/>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LibreOffice/26.2.6.3$Linux_AARCH64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2026-09-23T10:40:00Z</dcterms:created>
  <dc:creator>Priya Nair</dc:creator>
  <dc:description/>
  <cp:keywords>laytime demurrage MV Northern Star</cp:keywords>
  <dc:language>en-US</dc:language>
  <cp:lastModifiedBy>Priya Nair</cp:lastModifiedBy>
  <dcterms:modified xsi:type="dcterms:W3CDTF">2026-09-23T11:20:00Z</dcterms:modified>
  <cp:revision>0</cp:revision>
  <dc:subject/>
  <dc:title>Letter to Dunmere Pryce LLP – Laytime and Demurrage</dc:title>
</cp:coreProperties>
</file>

<file path=docProps/custom.xml><?xml version="1.0" encoding="utf-8"?>
<Properties xmlns="http://schemas.openxmlformats.org/officeDocument/2006/custom-properties" xmlns:vt="http://schemas.openxmlformats.org/officeDocument/2006/docPropsVTypes"/>
</file>