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Curaleaf / Rocky API — open items for confirmation</w:t>
      </w:r>
    </w:p>
    <w:p>
      <w:pPr>
        <w:pBdr>
          <w:bottom w:val="single" w:color="1D9E75" w:sz="6" w:space="1"/>
        </w:pBdr>
        <w:spacing w:after="200"/>
      </w:pPr>
      <w:r>
        <w:rPr>
          <w:rFonts w:ascii="Arial" w:cs="Arial" w:eastAsia="Arial" w:hAnsi="Arial"/>
          <w:color w:val="6B6B66"/>
          <w:sz w:val="20"/>
          <w:szCs w:val="20"/>
        </w:rPr>
        <w:t xml:space="preserve">Holistic Health Hub × Curaleaf  ·  prepared by Shaylen Patel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Part 1 — Email to Mike Baker (cc Phil Jones)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 </w:t>
      </w:r>
      <w:r>
        <w:rPr>
          <w:rFonts w:ascii="Arial" w:cs="Arial" w:eastAsia="Arial" w:hAnsi="Arial"/>
          <w:sz w:val="22"/>
          <w:szCs w:val="22"/>
        </w:rPr>
        <w:t xml:space="preserve">Mike Baker (Curaleaf)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Cc:  </w:t>
      </w:r>
      <w:r>
        <w:rPr>
          <w:rFonts w:ascii="Arial" w:cs="Arial" w:eastAsia="Arial" w:hAnsi="Arial"/>
          <w:sz w:val="22"/>
          <w:szCs w:val="22"/>
        </w:rPr>
        <w:t xml:space="preserve">Phil Jones (CTO, Curaleaf)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 </w:t>
      </w:r>
      <w:r>
        <w:rPr>
          <w:rFonts w:ascii="Arial" w:cs="Arial" w:eastAsia="Arial" w:hAnsi="Arial"/>
          <w:sz w:val="22"/>
          <w:szCs w:val="22"/>
        </w:rPr>
        <w:t xml:space="preserve">Rocky API integration — remaining open items (HHH × Curaleaf)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 Mike,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Phil — copying you for visibility.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We’re building the HHH ordering and payment platform against Rocky. Working from the documented endpoint payloads, most of the detail is already clear, so the list below is deliberately short — it covers only what the documentation leaves open (marked TBC) or what needs a Curaleaf commitment. I’d suggest a brief call (30 minutes) for the architectural points; the rest can be answered inline.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Build-shaping — suggest a quick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availability: please confirm GET /products and POST /prescription will be exposed via the API (currently internal/web only), and a rough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/purchase-order — multiple prescription references: the documented payload shows prescription_refs as an array, but it’s marked TBC. Can Rocky accept multiple prescription references in a single order? This is the key architectural decision (consolidated order vs one purchase order per prescription); we’re designing each prescription as an independently approvable, dispatchable sub-order.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Authentication: the documentation gives us a per-pharmacy API key + username pair — we just need to confirm how that pair is passed on each request (the exact HTTP header scheme, e.g. an Authorization header vs a custom API-key header).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/ goods-in: does the GET /shipments status reliably reach a “delivered” / received-at-pharmacy value, and is it sourced from your courier (DPD and others) delivery events? We’ll trigger “ready for collection” from pharmacy goods-in regardless, using your shipment data for in-transit visibility.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Detail confirmations — fields the documentation marks TBC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/products: this is the one endpoint without a documented response payload — please confirm its response schema and the exact stock-status values, including any quantity or threshold that drives the amber “low stock”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/prescription: the maximum scan file size (formats JPEG/PNG/PDF are already documented).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/shipments: please confirm the final set of status values (the docs list a provisional set marked TBC), that 5-minute polling for active orders is acceptable, and any rate limits.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Already settled by the documentation (not re-asking)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is a per-pharmacy API key + username pair, issued by Curaleaf and scoped per pharmacy (only the transmission/header scheme above is outstanding).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address is pre-set per pharmacy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/prescription accepts an items array (multiple line items per script).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core endpoint payload schemas (POST /prescription, POST /purchase-order, GET /shipments) are documented; only the TBC fields above remain.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we have your answers I’ll fold them into the Technical Requirements Document (currently v1.5) and close the items out. Happy to work around your calendars for the call.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Shaylen Patel</w:t>
      </w:r>
    </w:p>
    <w:p>
      <w:pPr>
        <w:spacing w:after="120"/>
      </w:pPr>
      <w:r>
        <w:rPr>
          <w:rFonts w:ascii="Arial" w:cs="Arial" w:eastAsia="Arial" w:hAnsi="Arial"/>
          <w:color w:val="6B6B66"/>
          <w:sz w:val="22"/>
          <w:szCs w:val="22"/>
        </w:rPr>
        <w:t xml:space="preserve">Holistic Health Hub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Part 2 — Technical call agenda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 </w:t>
      </w:r>
      <w:r>
        <w:rPr>
          <w:rFonts w:ascii="Arial" w:cs="Arial" w:eastAsia="Arial" w:hAnsi="Arial"/>
          <w:sz w:val="22"/>
          <w:szCs w:val="22"/>
        </w:rPr>
        <w:t xml:space="preserve">Confirm the open architectural points that unblock the platform build.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Attendees:  </w:t>
      </w:r>
      <w:r>
        <w:rPr>
          <w:rFonts w:ascii="Arial" w:cs="Arial" w:eastAsia="Arial" w:hAnsi="Arial"/>
          <w:sz w:val="22"/>
          <w:szCs w:val="22"/>
        </w:rPr>
        <w:t xml:space="preserve">Shaylen Patel (HHH); Mike Baker (Curaleaf); Phil Jones (CTO, Curaleaf) — optional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 </w:t>
      </w:r>
      <w:r>
        <w:rPr>
          <w:rFonts w:ascii="Arial" w:cs="Arial" w:eastAsia="Arial" w:hAnsi="Arial"/>
          <w:sz w:val="22"/>
          <w:szCs w:val="22"/>
        </w:rPr>
        <w:t xml:space="preserve">30 minutes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Pre-read:  </w:t>
      </w:r>
      <w:r>
        <w:rPr>
          <w:rFonts w:ascii="Arial" w:cs="Arial" w:eastAsia="Arial" w:hAnsi="Arial"/>
          <w:sz w:val="22"/>
          <w:szCs w:val="22"/>
        </w:rPr>
        <w:t xml:space="preserve">TRD v1.5; the open-items list (Notion tracker).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availability (3 min) — </w:t>
      </w:r>
      <w:r>
        <w:rPr>
          <w:rFonts w:ascii="Arial" w:cs="Arial" w:eastAsia="Arial" w:hAnsi="Arial"/>
          <w:sz w:val="22"/>
          <w:szCs w:val="22"/>
        </w:rPr>
        <w:t xml:space="preserve">confirm GET /products and POST /prescription will be API-exposed, plus a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/ PO model (10 min) — </w:t>
      </w:r>
      <w:r>
        <w:rPr>
          <w:rFonts w:ascii="Arial" w:cs="Arial" w:eastAsia="Arial" w:hAnsi="Arial"/>
          <w:sz w:val="22"/>
          <w:szCs w:val="22"/>
        </w:rPr>
        <w:t xml:space="preserve">can POST /purchase-order take multiple prescription references in one order (doc marks TBC)? Confirm each prescription can be approved and dispatched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 (3 min) — </w:t>
      </w:r>
      <w:r>
        <w:rPr>
          <w:rFonts w:ascii="Arial" w:cs="Arial" w:eastAsia="Arial" w:hAnsi="Arial"/>
          <w:sz w:val="22"/>
          <w:szCs w:val="22"/>
        </w:rPr>
        <w:t xml:space="preserve">confirm the header scheme for passing the per-pharmacy API key + username 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&amp; goods-in (5 min) — </w:t>
      </w:r>
      <w:r>
        <w:rPr>
          <w:rFonts w:ascii="Arial" w:cs="Arial" w:eastAsia="Arial" w:hAnsi="Arial"/>
          <w:sz w:val="22"/>
          <w:szCs w:val="22"/>
        </w:rPr>
        <w:t xml:space="preserve">does Rocky report a reliable delivered / received-at-pharmacy status from courier (DPD) events?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Loose schema fields (7 min) — </w:t>
      </w:r>
      <w:r>
        <w:rPr>
          <w:rFonts w:ascii="Arial" w:cs="Arial" w:eastAsia="Arial" w:hAnsi="Arial"/>
          <w:sz w:val="22"/>
          <w:szCs w:val="22"/>
        </w:rPr>
        <w:t xml:space="preserve">GET /products response schema + stock-status values and amber threshold; scan max file size; shipment status set + polling/rate limits.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steps (2 min) — </w:t>
      </w:r>
      <w:r>
        <w:rPr>
          <w:rFonts w:ascii="Arial" w:cs="Arial" w:eastAsia="Arial" w:hAnsi="Arial"/>
          <w:sz w:val="22"/>
          <w:szCs w:val="22"/>
        </w:rPr>
        <w:t xml:space="preserve">HHH to update the TRD and Notion tracker; schedule a follow-up if anything remains open.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Decisions we need to leave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prescription references per order — supported (yes/no).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header scheme —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22"/>
        </w:rPr>
        <w:t xml:space="preserve">Endpoint build timeline for GET /products and POST /prescription.</w:t>
      </w:r>
    </w:p>
    <w:p>
      <w:r>
        <w:rPr>
          <w:sz w:val="18"/>
        </w:rPr>
        <w:br w:type="page"/>
      </w:r>
    </w:p>
    <w:p>
      <w:pPr>
        <w:spacing w:after="160"/>
      </w:pPr>
      <w:r>
        <w:rPr>
          <w:b/>
          <w:sz w:val="18"/>
        </w:rPr>
        <w:t>Response status — 5 August 2026</w:t>
      </w:r>
    </w:p>
    <w:p>
      <w:r>
        <w:rPr>
          <w:sz w:val="18"/>
        </w:rPr>
        <w:t>Phil responded to the thirteen integration questions. The table below records what is confirmed, implemented, conditional, or still awaiting Curaleaf, Ellis, or legal/commercial colleagues.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DCEAF0"/>
            <w:vAlign w:val="center"/>
          </w:tcPr>
          <w:p>
            <w:pPr>
              <w:spacing w:after="20" w:before="20"/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type="dxa" w:w="3384"/>
            <w:shd w:fill="DCEAF0"/>
            <w:vAlign w:val="center"/>
          </w:tcPr>
          <w:p>
            <w:pPr>
              <w:spacing w:after="20" w:before="20"/>
            </w:pPr>
            <w:r>
              <w:rPr>
                <w:b/>
                <w:sz w:val="14"/>
              </w:rPr>
              <w:t>Curaleaf response</w:t>
            </w:r>
          </w:p>
        </w:tc>
        <w:tc>
          <w:tcPr>
            <w:tcW w:type="dxa" w:w="4392"/>
            <w:shd w:fill="DCEAF0"/>
            <w:vAlign w:val="center"/>
          </w:tcPr>
          <w:p>
            <w:pPr>
              <w:spacing w:after="20" w:before="20"/>
            </w:pPr>
            <w:r>
              <w:rPr>
                <w:b/>
                <w:sz w:val="14"/>
              </w:rPr>
              <w:t>HHH requirement / action</w:t>
            </w:r>
          </w:p>
        </w:tc>
        <w:tc>
          <w:tcPr>
            <w:tcW w:type="dxa" w:w="1224"/>
            <w:shd w:fill="DCEAF0"/>
            <w:vAlign w:val="center"/>
          </w:tcPr>
          <w:p>
            <w:pPr>
              <w:spacing w:after="20" w:before="20"/>
            </w:pPr>
            <w:r>
              <w:rPr>
                <w:b/>
                <w:sz w:val="14"/>
              </w:rPr>
              <w:t>Position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Q1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customerId is Curaleaf’s stable internal pharmacy identifier.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Store it as an internal/PHAR identifier; never infer a GPhC mapping.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Confirmed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Q2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Customer-specific catalogues and prices are possible; applicability to HHH awaits Ellis.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Keep catalogue and quote data isolated per pharmacy key and cache.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Open with Ellis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Q3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No master/partner API key is available.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Use a separate read/write key per pharmacy; optional separate read-only key.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Confirmed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Q4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Stocked development products are still to be supplied.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Keep stocked quote/PO/shipment sandbox testing blocked.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Curaleaf action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Q5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Existing and second dev-pharmacy keys are still to be supplied.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Complete two-tenant isolation UAT when both keys arrive.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Curaleaf action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Q6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After joint integration acceptance and Ellis approval, later pharmacies may go directly live.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Document a conditional onboarding route; do not enable it before written approval.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Conditional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Q7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Prescription scan maximum is 16 MB.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Enforce 16,000,000 bytes server-side; accept PDF, JPEG and PNG only.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Implemented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Q8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Customer service will contact the pharmacy on prescription review exceptions; no formal API process exists.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Create an audited support case without assuming CANCELLED means declined.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Implemented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Q9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Soft limit is 1 request/second; use 429 headers; recommended polling is every 10 seconds.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Use per-pharmacy throttling, event cursors, retry-after handling and a task watchdog.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Implemented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Q10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 prescriber is required for every prescription and Curaleaf validates credentials before shipping.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Search/create the prescriber first and show PENDING as supplier credential validation/review.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Implemented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Q11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Purchase-order cancellation requires customer service; no API endpoint exists.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Record an audited request only while PO is CREATED; wait for Curaleaf confirmation.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Implemented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Q12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Catalogue price is recommended patient price; /quotes is authoritative for order cost and discounts.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Requote immediately before PO placement and hold stock/price changes for the agreed workflow.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Implemented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Q13</w:t>
            </w:r>
          </w:p>
        </w:tc>
        <w:tc>
          <w:tcPr>
            <w:tcW w:type="dxa" w:w="338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DPA, data-sharing and prescription-scan retention terms remain with legal/commercial.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Block production patient/prescription-data go-live until received and approved.</w:t>
            </w:r>
          </w:p>
        </w:tc>
        <w:tc>
          <w:tcPr>
            <w:tcW w:type="dxa" w:w="122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Legal gate</w:t>
            </w:r>
          </w:p>
        </w:tc>
      </w:tr>
    </w:tbl>
    <w:p>
      <w:pPr>
        <w:spacing w:before="200" w:after="80"/>
      </w:pPr>
      <w:r>
        <w:rPr>
          <w:b/>
          <w:sz w:val="18"/>
        </w:rPr>
        <w:t>Operational release gates</w:t>
      </w:r>
    </w:p>
    <w:p>
      <w:r>
        <w:rPr>
          <w:b/>
          <w:sz w:val="18"/>
        </w:rPr>
        <w:t xml:space="preserve">Release gate. </w:t>
      </w:r>
      <w:r>
        <w:rPr>
          <w:sz w:val="18"/>
        </w:rPr>
        <w:t>Do not enable production patient or prescription data until Q13 legal terms and retention rules are approved.</w:t>
      </w:r>
    </w:p>
    <w:p>
      <w:r>
        <w:rPr>
          <w:b/>
          <w:sz w:val="18"/>
        </w:rPr>
        <w:t xml:space="preserve">Release gate. </w:t>
      </w:r>
      <w:r>
        <w:rPr>
          <w:sz w:val="18"/>
        </w:rPr>
        <w:t>Do not declare multi-pharmacy sandbox UAT complete until Q4 and Q5 provide stocked products and two tenant keys.</w:t>
      </w:r>
    </w:p>
    <w:p>
      <w:r>
        <w:rPr>
          <w:b/>
          <w:sz w:val="18"/>
        </w:rPr>
        <w:t xml:space="preserve">Release gate. </w:t>
      </w:r>
      <w:r>
        <w:rPr>
          <w:sz w:val="18"/>
        </w:rPr>
        <w:t>Do not enable direct-to-live onboarding until Ellis and Curaleaf confirm the post-acceptance route in writing.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2026-06-24T11:08:51.804Z</dcterms:created>
  <dcterms:modified xsi:type="dcterms:W3CDTF">2026-06-24T11:08:51.804Z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