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sz w:val="22"/>
          <w:szCs w:val="22"/>
        </w:rPr>
        <w:t xml:space="preserve">Curaleaf / Rocky API — open items for confirmation</w:t>
      </w:r>
    </w:p>
    <w:p>
      <w:pPr>
        <w:pBdr>
          <w:bottom w:val="single" w:color="1D9E75" w:sz="6" w:space="1"/>
        </w:pBdr>
        <w:spacing w:after="200"/>
      </w:pPr>
      <w:r>
        <w:rPr>
          <w:rFonts w:ascii="Arial" w:cs="Arial" w:eastAsia="Arial" w:hAnsi="Arial"/>
          <w:color w:val="6B6B66"/>
          <w:sz w:val="20"/>
          <w:szCs w:val="20"/>
        </w:rPr>
        <w:t xml:space="preserve">Holistic Health Hub × Curaleaf  ·  prepared by Shaylen Patel</w:t>
      </w:r>
    </w:p>
    <w:p>
      <w:pPr>
        <w:pStyle w:val="Heading2"/>
      </w:pPr>
      <w:r>
        <w:rPr>
          <w:rFonts w:ascii="Arial" w:cs="Arial" w:eastAsia="Arial" w:hAnsi="Arial"/>
          <w:sz w:val="22"/>
          <w:szCs w:val="22"/>
        </w:rPr>
        <w:t xml:space="preserve">Part 1 — Email to Mike Baker (cc Phil Jones)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To:  </w:t>
      </w:r>
      <w:r>
        <w:rPr>
          <w:rFonts w:ascii="Arial" w:cs="Arial" w:eastAsia="Arial" w:hAnsi="Arial"/>
          <w:sz w:val="22"/>
          <w:szCs w:val="22"/>
        </w:rPr>
        <w:t xml:space="preserve">Mike Baker (Curaleaf)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Cc:  </w:t>
      </w:r>
      <w:r>
        <w:rPr>
          <w:rFonts w:ascii="Arial" w:cs="Arial" w:eastAsia="Arial" w:hAnsi="Arial"/>
          <w:sz w:val="22"/>
          <w:szCs w:val="22"/>
        </w:rPr>
        <w:t xml:space="preserve">Phil Jones (CTO, Curaleaf)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Subject:  </w:t>
      </w:r>
      <w:r>
        <w:rPr>
          <w:rFonts w:ascii="Arial" w:cs="Arial" w:eastAsia="Arial" w:hAnsi="Arial"/>
          <w:sz w:val="22"/>
          <w:szCs w:val="22"/>
        </w:rPr>
        <w:t xml:space="preserve">Rocky API integration — remaining open items (HHH × Curaleaf)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Hi Mike,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Phil — copying you for visibility.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We’re building the HHH ordering and payment platform against Rocky. Working from the documented endpoint payloads, most of the detail is already clear, so the list below is deliberately short — it covers only what the documentation leaves open (marked TBC) or what needs a Curaleaf commitment. I’d suggest a brief call (30 minutes) for the architectural points; the rest can be answered inline.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1. Build-shaping — suggest a quick call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Endpoint availability: please confirm GET /products and POST /prescription will be exposed via the API (currently internal/web only), and a rough timeline.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POST /purchase-order — multiple prescription references: the documented payload shows prescription_refs as an array, but it’s marked TBC. Can Rocky accept multiple prescription references in a single order? This is the key architectural decision (consolidated order vs one purchase order per prescription); we’re designing each prescription as an independently approvable, dispatchable sub-order.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Authentication: the documentation gives us a per-pharmacy API key + username pair — we just need to confirm how that pair is passed on each request (the exact HTTP header scheme, e.g. an Authorization header vs a custom API-key header).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Delivery / goods-in: does the GET /shipments status reliably reach a “delivered” / received-at-pharmacy value, and is it sourced from your courier (DPD and others) delivery events? We’ll trigger “ready for collection” from pharmacy goods-in regardless, using your shipment data for in-transit visibility.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2. Detail confirmations — fields the documentation marks TBC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GET /products: this is the one endpoint without a documented response payload — please confirm its response schema and the exact stock-status values, including any quantity or threshold that drives the amber “low stock” state.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POST /prescription: the maximum scan file size (formats JPEG/PNG/PDF are already documented).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GET /shipments: please confirm the final set of status values (the docs list a provisional set marked TBC), that 5-minute polling for active orders is acceptable, and any rate limits.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Already settled by the documentation (not re-asking)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Authentication is a per-pharmacy API key + username pair, issued by Curaleaf and scoped per pharmacy (only the transmission/header scheme above is outstanding).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Delivery address is pre-set per pharmacy account.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POST /prescription accepts an items array (multiple line items per script).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 core endpoint payload schemas (POST /prescription, POST /purchase-order, GET /shipments) are documented; only the TBC fields above remain.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Once we have your answers I’ll fold them into the Technical Requirements Document (currently v1.5) and close the items out. Happy to work around your calendars for the call.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Best regards,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Shaylen Patel</w:t>
      </w:r>
    </w:p>
    <w:p>
      <w:pPr>
        <w:spacing w:after="120"/>
      </w:pPr>
      <w:r>
        <w:rPr>
          <w:rFonts w:ascii="Arial" w:cs="Arial" w:eastAsia="Arial" w:hAnsi="Arial"/>
          <w:color w:val="6B6B66"/>
          <w:sz w:val="22"/>
          <w:szCs w:val="22"/>
        </w:rPr>
        <w:t xml:space="preserve">Holistic Health Hub</w:t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  <w:sz w:val="22"/>
          <w:szCs w:val="22"/>
        </w:rPr>
        <w:t xml:space="preserve">Part 2 — Technical call agenda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 </w:t>
      </w:r>
      <w:r>
        <w:rPr>
          <w:rFonts w:ascii="Arial" w:cs="Arial" w:eastAsia="Arial" w:hAnsi="Arial"/>
          <w:sz w:val="22"/>
          <w:szCs w:val="22"/>
        </w:rPr>
        <w:t xml:space="preserve">Confirm the open architectural points that unblock the platform build.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Attendees:  </w:t>
      </w:r>
      <w:r>
        <w:rPr>
          <w:rFonts w:ascii="Arial" w:cs="Arial" w:eastAsia="Arial" w:hAnsi="Arial"/>
          <w:sz w:val="22"/>
          <w:szCs w:val="22"/>
        </w:rPr>
        <w:t xml:space="preserve">Shaylen Patel (HHH); Mike Baker (Curaleaf); Phil Jones (CTO, Curaleaf) — optional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Duration:  </w:t>
      </w:r>
      <w:r>
        <w:rPr>
          <w:rFonts w:ascii="Arial" w:cs="Arial" w:eastAsia="Arial" w:hAnsi="Arial"/>
          <w:sz w:val="22"/>
          <w:szCs w:val="22"/>
        </w:rPr>
        <w:t xml:space="preserve">30 minutes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Pre-read:  </w:t>
      </w:r>
      <w:r>
        <w:rPr>
          <w:rFonts w:ascii="Arial" w:cs="Arial" w:eastAsia="Arial" w:hAnsi="Arial"/>
          <w:sz w:val="22"/>
          <w:szCs w:val="22"/>
        </w:rPr>
        <w:t xml:space="preserve">TRD v1.5; the open-items list (Notion tracker).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Agenda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Endpoint availability (3 min) — </w:t>
      </w:r>
      <w:r>
        <w:rPr>
          <w:rFonts w:ascii="Arial" w:cs="Arial" w:eastAsia="Arial" w:hAnsi="Arial"/>
          <w:sz w:val="22"/>
          <w:szCs w:val="22"/>
        </w:rPr>
        <w:t xml:space="preserve">confirm GET /products and POST /prescription will be API-exposed, plus a timeline.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Order / PO model (10 min) — </w:t>
      </w:r>
      <w:r>
        <w:rPr>
          <w:rFonts w:ascii="Arial" w:cs="Arial" w:eastAsia="Arial" w:hAnsi="Arial"/>
          <w:sz w:val="22"/>
          <w:szCs w:val="22"/>
        </w:rPr>
        <w:t xml:space="preserve">can POST /purchase-order take multiple prescription references in one order (doc marks TBC)? Confirm each prescription can be approved and dispatched independently.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Authentication (3 min) — </w:t>
      </w:r>
      <w:r>
        <w:rPr>
          <w:rFonts w:ascii="Arial" w:cs="Arial" w:eastAsia="Arial" w:hAnsi="Arial"/>
          <w:sz w:val="22"/>
          <w:szCs w:val="22"/>
        </w:rPr>
        <w:t xml:space="preserve">confirm the header scheme for passing the per-pharmacy API key + username pair.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Delivery &amp; goods-in (5 min) — </w:t>
      </w:r>
      <w:r>
        <w:rPr>
          <w:rFonts w:ascii="Arial" w:cs="Arial" w:eastAsia="Arial" w:hAnsi="Arial"/>
          <w:sz w:val="22"/>
          <w:szCs w:val="22"/>
        </w:rPr>
        <w:t xml:space="preserve">does Rocky report a reliable delivered / received-at-pharmacy status from courier (DPD) events?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Loose schema fields (7 min) — </w:t>
      </w:r>
      <w:r>
        <w:rPr>
          <w:rFonts w:ascii="Arial" w:cs="Arial" w:eastAsia="Arial" w:hAnsi="Arial"/>
          <w:sz w:val="22"/>
          <w:szCs w:val="22"/>
        </w:rPr>
        <w:t xml:space="preserve">GET /products response schema + stock-status values and amber threshold; scan max file size; shipment status set + polling/rate limits.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Next steps (2 min) — </w:t>
      </w:r>
      <w:r>
        <w:rPr>
          <w:rFonts w:ascii="Arial" w:cs="Arial" w:eastAsia="Arial" w:hAnsi="Arial"/>
          <w:sz w:val="22"/>
          <w:szCs w:val="22"/>
        </w:rPr>
        <w:t xml:space="preserve">HHH to update the TRD and Notion tracker; schedule a follow-up if anything remains open.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Decisions we need to leave with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Multiple prescription references per order — supported (yes/no).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Authentication header scheme — confirmed.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Endpoint build timeline for GET /products and POST /prescription.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2026-06-24T11:08:51.804Z</dcterms:created>
  <dcterms:modified xsi:type="dcterms:W3CDTF">2026-06-24T11:08:51.804Z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