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1367CFB0" w:rsidR="001E1FBE" w:rsidRPr="0089542C" w:rsidRDefault="00B6794E" w:rsidP="00A068CD">
      <w:pPr>
        <w:pStyle w:val="Heading1"/>
        <w:rPr>
          <w:i/>
          <w:iCs/>
        </w:rPr>
      </w:pPr>
      <w:r>
        <w:rPr>
          <w:i/>
          <w:iCs/>
        </w:rPr>
        <w:t>Nottinghamshire Healthcare NHS Foundation Trust</w:t>
      </w:r>
      <w:r w:rsidR="0065504D" w:rsidRPr="0089542C">
        <w:rPr>
          <w:i/>
          <w:iCs/>
        </w:rPr>
        <w:t xml:space="preserve">: </w:t>
      </w:r>
      <w:r w:rsidR="00C27958">
        <w:rPr>
          <w:i/>
          <w:iCs/>
        </w:rPr>
        <w:t>Academic F2</w:t>
      </w:r>
      <w:r w:rsidR="00FD6922">
        <w:rPr>
          <w:i/>
          <w:iCs/>
        </w:rPr>
        <w:t xml:space="preserve"> systematic review support</w:t>
      </w:r>
    </w:p>
    <w:p w14:paraId="314763F9" w14:textId="77777777" w:rsidR="00C33E2A" w:rsidRPr="00C33E2A" w:rsidRDefault="00C33E2A" w:rsidP="00C33E2A"/>
    <w:p w14:paraId="6EA967A0" w14:textId="69D113BD" w:rsidR="0089542C" w:rsidRPr="0089542C" w:rsidRDefault="00B801DD" w:rsidP="0089542C">
      <w:pPr>
        <w:rPr>
          <w:i/>
          <w:iCs/>
        </w:rPr>
      </w:pPr>
      <w:r>
        <w:t>22</w:t>
      </w:r>
      <w:r w:rsidRPr="00B801DD">
        <w:rPr>
          <w:vertAlign w:val="superscript"/>
        </w:rPr>
        <w:t>nd</w:t>
      </w:r>
      <w:r>
        <w:t xml:space="preserve"> March</w:t>
      </w:r>
      <w:r w:rsidR="00B6794E">
        <w:t xml:space="preserve"> 2021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32554B4F" w14:textId="77777777" w:rsidR="00B801DD" w:rsidRDefault="00B801DD" w:rsidP="00B801DD">
      <w:pPr>
        <w:rPr>
          <w:rFonts w:cs="Arial"/>
          <w:sz w:val="22"/>
          <w:szCs w:val="22"/>
        </w:rPr>
      </w:pPr>
      <w:r>
        <w:rPr>
          <w:rFonts w:cs="Arial"/>
          <w:sz w:val="22"/>
          <w:szCs w:val="22"/>
        </w:rPr>
        <w:t>Academic F2 junior doctors are on four-month rotations around the county in different specialisms. When they are on their psychiatry rotation, they're part of the Medical Education department and have to undertake a systematic review as part of their training programme. The Library and Knowledge Services have a partnership with the Medical Education department, and we teach them how to search the healthcare databases and support them to formulate their search strategies and run the search for their systematic review.</w:t>
      </w:r>
    </w:p>
    <w:p w14:paraId="0D36DF5B" w14:textId="362C90CE" w:rsidR="00B801DD" w:rsidRDefault="00B801DD" w:rsidP="00B801DD">
      <w:pPr>
        <w:rPr>
          <w:rFonts w:cs="Arial"/>
          <w:sz w:val="22"/>
          <w:szCs w:val="22"/>
        </w:rPr>
      </w:pPr>
      <w:r>
        <w:rPr>
          <w:rFonts w:cs="Arial"/>
          <w:sz w:val="22"/>
          <w:szCs w:val="22"/>
        </w:rPr>
        <w:t xml:space="preserve">During 2020-2021 the Library and Knowledge Services supported </w:t>
      </w:r>
      <w:r w:rsidR="007E6F31">
        <w:rPr>
          <w:rFonts w:cs="Arial"/>
          <w:sz w:val="22"/>
          <w:szCs w:val="22"/>
        </w:rPr>
        <w:t>three</w:t>
      </w:r>
      <w:r>
        <w:rPr>
          <w:rFonts w:cs="Arial"/>
          <w:sz w:val="22"/>
          <w:szCs w:val="22"/>
        </w:rPr>
        <w:t xml:space="preserve"> F2s to undertake the following systematic reviews:</w:t>
      </w:r>
    </w:p>
    <w:p w14:paraId="0D236EBE" w14:textId="77777777" w:rsidR="00B801DD" w:rsidRDefault="00B801DD" w:rsidP="00B801DD">
      <w:pPr>
        <w:pStyle w:val="ListParagraph"/>
        <w:numPr>
          <w:ilvl w:val="0"/>
          <w:numId w:val="1"/>
        </w:numPr>
        <w:rPr>
          <w:rFonts w:ascii="Arial" w:hAnsi="Arial" w:cs="Arial"/>
          <w:sz w:val="22"/>
          <w:szCs w:val="22"/>
        </w:rPr>
      </w:pPr>
      <w:r>
        <w:rPr>
          <w:rFonts w:ascii="Arial" w:hAnsi="Arial" w:cs="Arial"/>
          <w:sz w:val="22"/>
          <w:szCs w:val="22"/>
        </w:rPr>
        <w:t>"Mental health professionals' perspectives on the expansion of telepsychiatry"</w:t>
      </w:r>
    </w:p>
    <w:p w14:paraId="4F9C16C3" w14:textId="66BC120A" w:rsidR="00B6794E" w:rsidRPr="007E6F31" w:rsidRDefault="00B801DD" w:rsidP="00B801DD">
      <w:pPr>
        <w:pStyle w:val="ListParagraph"/>
        <w:numPr>
          <w:ilvl w:val="0"/>
          <w:numId w:val="1"/>
        </w:numPr>
        <w:rPr>
          <w:rFonts w:ascii="Arial" w:hAnsi="Arial" w:cs="Arial"/>
        </w:rPr>
      </w:pPr>
      <w:r w:rsidRPr="00B801DD">
        <w:rPr>
          <w:rFonts w:ascii="Arial" w:hAnsi="Arial" w:cs="Arial"/>
          <w:sz w:val="22"/>
          <w:szCs w:val="22"/>
        </w:rPr>
        <w:t>"Patient involvement in the design of mood monitoring apps for depression/anxiety"</w:t>
      </w:r>
    </w:p>
    <w:p w14:paraId="580CF65A" w14:textId="60305A51" w:rsidR="007E6F31" w:rsidRPr="007E6F31" w:rsidRDefault="007E6F31" w:rsidP="00B801DD">
      <w:pPr>
        <w:pStyle w:val="ListParagraph"/>
        <w:numPr>
          <w:ilvl w:val="0"/>
          <w:numId w:val="1"/>
        </w:numPr>
        <w:rPr>
          <w:rFonts w:ascii="Arial" w:hAnsi="Arial" w:cs="Arial"/>
          <w:sz w:val="22"/>
          <w:szCs w:val="22"/>
        </w:rPr>
      </w:pPr>
      <w:r>
        <w:rPr>
          <w:rFonts w:ascii="Arial" w:hAnsi="Arial" w:cs="Arial"/>
          <w:sz w:val="22"/>
          <w:szCs w:val="22"/>
        </w:rPr>
        <w:t>"</w:t>
      </w:r>
      <w:r w:rsidRPr="007E6F31">
        <w:rPr>
          <w:rFonts w:ascii="Arial" w:hAnsi="Arial" w:cs="Arial"/>
          <w:sz w:val="22"/>
          <w:szCs w:val="22"/>
        </w:rPr>
        <w:t>Systematic review of the efficacy of pharmacological and non-pharmacological interventions for improving quality of life in people with dementia</w:t>
      </w:r>
      <w:r>
        <w:rPr>
          <w:rFonts w:ascii="Arial" w:hAnsi="Arial" w:cs="Arial"/>
          <w:sz w:val="22"/>
          <w:szCs w:val="22"/>
        </w:rPr>
        <w:t>"</w:t>
      </w:r>
    </w:p>
    <w:p w14:paraId="68D536EC" w14:textId="77777777" w:rsidR="00B801DD" w:rsidRPr="00107CF7" w:rsidRDefault="00B801DD" w:rsidP="00B801DD"/>
    <w:p w14:paraId="2B96EC37" w14:textId="573DBCB5" w:rsidR="00F84F64" w:rsidRDefault="00A34FFC" w:rsidP="00A90546">
      <w:pPr>
        <w:pStyle w:val="Heading2"/>
      </w:pPr>
      <w:r>
        <w:t xml:space="preserve">What the </w:t>
      </w:r>
      <w:r w:rsidR="0065504D">
        <w:t>knowledge and library specialist</w:t>
      </w:r>
      <w:r>
        <w:t xml:space="preserve"> did</w:t>
      </w:r>
    </w:p>
    <w:p w14:paraId="077482E9" w14:textId="4F6EDDF0" w:rsidR="00F10735" w:rsidRDefault="00F10735" w:rsidP="00F10735">
      <w:pPr>
        <w:rPr>
          <w:rFonts w:cs="Arial"/>
          <w:sz w:val="22"/>
          <w:szCs w:val="22"/>
        </w:rPr>
      </w:pPr>
      <w:r>
        <w:rPr>
          <w:rFonts w:cs="Arial"/>
          <w:sz w:val="22"/>
          <w:szCs w:val="22"/>
        </w:rPr>
        <w:t>The Library and Knowledge Service supported the F2s into both understanding how to generally search the healthcare databases and supporting their individual research topics. We arranged a training session to navigate and search so that they understood the terminology and the process of searching for their future careers. One database was used as an example to train on, then a meeting was set up with the F2 and their supervisor to discuss the concepts of their research. Databases were agreed upon, and the Library ran the search, deduplicated the results and advised on the PRISMA statement.</w:t>
      </w:r>
    </w:p>
    <w:p w14:paraId="6B451F92" w14:textId="55D906A5" w:rsidR="0058174B" w:rsidRDefault="0058174B" w:rsidP="00F10735">
      <w:pPr>
        <w:rPr>
          <w:rFonts w:cs="Arial"/>
          <w:sz w:val="22"/>
          <w:szCs w:val="22"/>
        </w:rPr>
      </w:pPr>
    </w:p>
    <w:p w14:paraId="01E0C348" w14:textId="5A833F36" w:rsidR="0058174B" w:rsidRPr="0058174B" w:rsidRDefault="0058174B" w:rsidP="00F10735">
      <w:pPr>
        <w:rPr>
          <w:rFonts w:cs="Arial"/>
          <w:sz w:val="22"/>
          <w:szCs w:val="22"/>
        </w:rPr>
      </w:pPr>
      <w:r>
        <w:rPr>
          <w:rFonts w:cs="Arial"/>
          <w:sz w:val="22"/>
          <w:szCs w:val="22"/>
        </w:rPr>
        <w:t>Quote: "</w:t>
      </w:r>
      <w:r w:rsidRPr="0058174B">
        <w:rPr>
          <w:rFonts w:cs="Arial"/>
          <w:i/>
          <w:iCs/>
          <w:sz w:val="22"/>
          <w:szCs w:val="22"/>
        </w:rPr>
        <w:t>Trainees have particularly commented on how much they have learnt during their time with the Library Service for their systematic reviews. This is at the heart of the programme and that they will take long into the future.</w:t>
      </w:r>
      <w:r>
        <w:rPr>
          <w:rFonts w:cs="Arial"/>
          <w:sz w:val="22"/>
          <w:szCs w:val="22"/>
        </w:rPr>
        <w:t>"</w:t>
      </w:r>
    </w:p>
    <w:p w14:paraId="75298D78" w14:textId="7C4C5FB6" w:rsidR="000F2384" w:rsidRDefault="008850FC" w:rsidP="00A068CD">
      <w:pPr>
        <w:pStyle w:val="Heading1"/>
      </w:pPr>
      <w:r>
        <w:t xml:space="preserve">Impact of </w:t>
      </w:r>
      <w:r w:rsidR="00DA3AA8">
        <w:t>input from the library and knowledge service</w:t>
      </w:r>
    </w:p>
    <w:p w14:paraId="499A5F38" w14:textId="6E233145" w:rsidR="00A12EFA" w:rsidRDefault="00A12EFA" w:rsidP="00A12EFA">
      <w:pPr>
        <w:rPr>
          <w:rFonts w:cs="Arial"/>
          <w:sz w:val="22"/>
          <w:szCs w:val="22"/>
        </w:rPr>
      </w:pPr>
      <w:r>
        <w:rPr>
          <w:rFonts w:cs="Arial"/>
          <w:sz w:val="22"/>
          <w:szCs w:val="22"/>
        </w:rPr>
        <w:t>The support enabled the junior (and supporting senior) doctors to perform high-quality systematic reviews. It was helpful both in relation to research and training.</w:t>
      </w:r>
    </w:p>
    <w:p w14:paraId="5726271D" w14:textId="6DB777E5" w:rsidR="00225480" w:rsidRDefault="00225480" w:rsidP="00A12EFA">
      <w:pPr>
        <w:rPr>
          <w:rFonts w:cs="Arial"/>
          <w:sz w:val="22"/>
          <w:szCs w:val="22"/>
        </w:rPr>
      </w:pPr>
    </w:p>
    <w:p w14:paraId="237D2954" w14:textId="77777777" w:rsidR="00225480" w:rsidRPr="00247E03" w:rsidRDefault="00225480" w:rsidP="00225480">
      <w:pPr>
        <w:rPr>
          <w:rFonts w:cs="Arial"/>
          <w:sz w:val="22"/>
          <w:szCs w:val="22"/>
        </w:rPr>
      </w:pPr>
      <w:r>
        <w:rPr>
          <w:rFonts w:cs="Arial"/>
          <w:sz w:val="22"/>
          <w:szCs w:val="22"/>
        </w:rPr>
        <w:t>The support enabled the junior (and supporting senior) doctors to perform high-quality systematic reviews. It was helpful both in relation to research and training.</w:t>
      </w:r>
      <w:r w:rsidRPr="4FD468EB">
        <w:rPr>
          <w:rFonts w:cs="Arial"/>
          <w:sz w:val="22"/>
          <w:szCs w:val="22"/>
        </w:rPr>
        <w:t xml:space="preserve"> Often the supervisors for the F2s will be </w:t>
      </w:r>
      <w:r w:rsidRPr="4FD468EB">
        <w:rPr>
          <w:rFonts w:cs="Arial"/>
          <w:sz w:val="22"/>
          <w:szCs w:val="22"/>
        </w:rPr>
        <w:lastRenderedPageBreak/>
        <w:t>based at the Institute of Mental Health, the research hub of the Trust which also has connections with the University of Nottingham. The Library support of the F2s helps to bring the Trust and the university together.</w:t>
      </w:r>
    </w:p>
    <w:p w14:paraId="217EB869" w14:textId="77777777" w:rsidR="00B6794E" w:rsidRDefault="00B6794E"/>
    <w:p w14:paraId="4130A3D9" w14:textId="5BB2CED4" w:rsidR="00AB29B5" w:rsidRPr="00A97722" w:rsidRDefault="00CF74D1" w:rsidP="00A97722">
      <w:pPr>
        <w:pStyle w:val="Heading2"/>
      </w:pPr>
      <w:r>
        <w:t>Immediate Impact</w:t>
      </w:r>
    </w:p>
    <w:p w14:paraId="59A0E420" w14:textId="6F540FBA" w:rsidR="00B6794E" w:rsidRDefault="00A90C2D" w:rsidP="00933394">
      <w:pPr>
        <w:rPr>
          <w:sz w:val="22"/>
          <w:szCs w:val="22"/>
        </w:rPr>
      </w:pPr>
      <w:r>
        <w:rPr>
          <w:b/>
          <w:bCs/>
          <w:sz w:val="22"/>
          <w:szCs w:val="22"/>
        </w:rPr>
        <w:t xml:space="preserve">Contributed to personal or professional developments: </w:t>
      </w:r>
      <w:r>
        <w:rPr>
          <w:sz w:val="22"/>
          <w:szCs w:val="22"/>
        </w:rPr>
        <w:t>This was all working towards their systematic reviews for their training programme.</w:t>
      </w:r>
    </w:p>
    <w:p w14:paraId="06EC497C" w14:textId="31CBD7B7" w:rsidR="00325B9A" w:rsidRDefault="00325B9A" w:rsidP="00933394">
      <w:pPr>
        <w:rPr>
          <w:sz w:val="22"/>
          <w:szCs w:val="22"/>
        </w:rPr>
      </w:pPr>
    </w:p>
    <w:p w14:paraId="741F4DC3" w14:textId="2C25A1F5" w:rsidR="00325B9A" w:rsidRDefault="00325B9A" w:rsidP="00933394">
      <w:pPr>
        <w:rPr>
          <w:sz w:val="22"/>
          <w:szCs w:val="22"/>
        </w:rPr>
      </w:pPr>
      <w:r w:rsidRPr="00782B2F">
        <w:rPr>
          <w:b/>
          <w:bCs/>
          <w:sz w:val="22"/>
          <w:szCs w:val="22"/>
        </w:rPr>
        <w:t>Productivity and efficiency:</w:t>
      </w:r>
      <w:r>
        <w:rPr>
          <w:sz w:val="22"/>
          <w:szCs w:val="22"/>
        </w:rPr>
        <w:t xml:space="preserve"> </w:t>
      </w:r>
      <w:r w:rsidR="00782B2F">
        <w:rPr>
          <w:sz w:val="22"/>
          <w:szCs w:val="22"/>
        </w:rPr>
        <w:t>The support a</w:t>
      </w:r>
      <w:r>
        <w:rPr>
          <w:sz w:val="22"/>
          <w:szCs w:val="22"/>
        </w:rPr>
        <w:t xml:space="preserve">llows </w:t>
      </w:r>
      <w:r w:rsidR="00782B2F">
        <w:rPr>
          <w:sz w:val="22"/>
          <w:szCs w:val="22"/>
        </w:rPr>
        <w:t>the F2s</w:t>
      </w:r>
      <w:r>
        <w:rPr>
          <w:sz w:val="22"/>
          <w:szCs w:val="22"/>
        </w:rPr>
        <w:t xml:space="preserve"> to progress quicker with their systematic review and produce a review that contains quality research.</w:t>
      </w:r>
    </w:p>
    <w:p w14:paraId="3AC2EBE7" w14:textId="62E0C3B9" w:rsidR="007E6F31" w:rsidRDefault="007E6F31" w:rsidP="00933394">
      <w:pPr>
        <w:rPr>
          <w:sz w:val="22"/>
          <w:szCs w:val="22"/>
        </w:rPr>
      </w:pPr>
    </w:p>
    <w:p w14:paraId="63C182FF" w14:textId="5485B679" w:rsidR="007E6F31" w:rsidRPr="00A90C2D" w:rsidRDefault="007E6F31" w:rsidP="00933394">
      <w:pPr>
        <w:rPr>
          <w:sz w:val="22"/>
          <w:szCs w:val="22"/>
        </w:rPr>
      </w:pPr>
      <w:r w:rsidRPr="007E6F31">
        <w:rPr>
          <w:b/>
          <w:bCs/>
          <w:sz w:val="22"/>
          <w:szCs w:val="22"/>
        </w:rPr>
        <w:t>Facilitated collaborative working</w:t>
      </w:r>
      <w:r>
        <w:rPr>
          <w:sz w:val="22"/>
          <w:szCs w:val="22"/>
        </w:rPr>
        <w:t>: Established a relationship between the Library Service and Medical Education, so future F2s are signposted to the Library at the start of their training programme.</w:t>
      </w:r>
    </w:p>
    <w:p w14:paraId="19F0721E" w14:textId="77777777" w:rsidR="0089542C" w:rsidRPr="00B6794E" w:rsidRDefault="0089542C" w:rsidP="00933394">
      <w:pPr>
        <w:rPr>
          <w:sz w:val="22"/>
          <w:szCs w:val="22"/>
        </w:rPr>
      </w:pPr>
    </w:p>
    <w:p w14:paraId="12FD3E37" w14:textId="2CB0D4C6" w:rsidR="00033A06" w:rsidRPr="00A068CD" w:rsidRDefault="009462CA" w:rsidP="00A068CD">
      <w:pPr>
        <w:pStyle w:val="Heading2"/>
      </w:pPr>
      <w:r>
        <w:t>Probable future Impact</w:t>
      </w:r>
    </w:p>
    <w:p w14:paraId="029E961E" w14:textId="713F15AE" w:rsidR="00B6794E" w:rsidRDefault="00A12EFA" w:rsidP="0089542C">
      <w:pPr>
        <w:rPr>
          <w:sz w:val="22"/>
          <w:szCs w:val="22"/>
        </w:rPr>
      </w:pPr>
      <w:r>
        <w:rPr>
          <w:b/>
          <w:bCs/>
          <w:sz w:val="22"/>
          <w:szCs w:val="22"/>
        </w:rPr>
        <w:t xml:space="preserve">Improved the quality of patient care: </w:t>
      </w:r>
      <w:r>
        <w:rPr>
          <w:sz w:val="22"/>
          <w:szCs w:val="22"/>
        </w:rPr>
        <w:t>By knowing how to search for evidence-based research it will improve the quality of patient care in the F2s future careers.</w:t>
      </w:r>
    </w:p>
    <w:p w14:paraId="1C2FB2EB" w14:textId="6CEF9AD7" w:rsidR="00376FD4" w:rsidRDefault="00376FD4" w:rsidP="0089542C">
      <w:pPr>
        <w:rPr>
          <w:sz w:val="22"/>
          <w:szCs w:val="22"/>
        </w:rPr>
      </w:pPr>
    </w:p>
    <w:p w14:paraId="3F141028" w14:textId="133A242F" w:rsidR="00376FD4" w:rsidRDefault="00376FD4" w:rsidP="0089542C">
      <w:pPr>
        <w:rPr>
          <w:sz w:val="22"/>
          <w:szCs w:val="22"/>
        </w:rPr>
      </w:pPr>
      <w:r>
        <w:rPr>
          <w:b/>
          <w:bCs/>
          <w:sz w:val="22"/>
          <w:szCs w:val="22"/>
        </w:rPr>
        <w:t>Contributed to personal or professional developments</w:t>
      </w:r>
      <w:r w:rsidR="0058174B">
        <w:rPr>
          <w:b/>
          <w:bCs/>
          <w:sz w:val="22"/>
          <w:szCs w:val="22"/>
        </w:rPr>
        <w:t xml:space="preserve"> </w:t>
      </w:r>
      <w:r w:rsidR="0058174B">
        <w:rPr>
          <w:sz w:val="22"/>
          <w:szCs w:val="22"/>
        </w:rPr>
        <w:t xml:space="preserve">and </w:t>
      </w:r>
      <w:r w:rsidR="0058174B">
        <w:rPr>
          <w:b/>
          <w:bCs/>
          <w:sz w:val="22"/>
          <w:szCs w:val="22"/>
        </w:rPr>
        <w:t>Productivity and effici</w:t>
      </w:r>
      <w:r w:rsidR="00EE47BE">
        <w:rPr>
          <w:b/>
          <w:bCs/>
          <w:sz w:val="22"/>
          <w:szCs w:val="22"/>
        </w:rPr>
        <w:t xml:space="preserve">ency: </w:t>
      </w:r>
      <w:r>
        <w:rPr>
          <w:sz w:val="22"/>
          <w:szCs w:val="22"/>
        </w:rPr>
        <w:t xml:space="preserve">By establishing a relationship with the F2s it will encourage them to </w:t>
      </w:r>
      <w:r w:rsidR="00A90C2D">
        <w:rPr>
          <w:sz w:val="22"/>
          <w:szCs w:val="22"/>
        </w:rPr>
        <w:t>get in touch with Library Services in the future for any CPD projects.</w:t>
      </w:r>
    </w:p>
    <w:p w14:paraId="76FE9144" w14:textId="02013336" w:rsidR="00AB29B5" w:rsidRDefault="00AB29B5" w:rsidP="00933394"/>
    <w:p w14:paraId="031659E4" w14:textId="529B2700" w:rsidR="00033A06" w:rsidRDefault="00210C7D" w:rsidP="005E6D11">
      <w:pPr>
        <w:pStyle w:val="Heading2"/>
      </w:pPr>
      <w:r>
        <w:t>Submission by</w:t>
      </w:r>
      <w:r w:rsidR="00033A06">
        <w:t>:</w:t>
      </w:r>
    </w:p>
    <w:p w14:paraId="5D38EDD0" w14:textId="518793DD" w:rsidR="00B6794E" w:rsidRPr="00B6794E" w:rsidRDefault="00BB7928" w:rsidP="00633253">
      <w:pPr>
        <w:rPr>
          <w:rFonts w:cs="Arial"/>
          <w:iCs/>
          <w:sz w:val="22"/>
          <w:szCs w:val="22"/>
        </w:rPr>
      </w:pPr>
      <w:r>
        <w:rPr>
          <w:rFonts w:cs="Arial"/>
          <w:iCs/>
          <w:sz w:val="22"/>
          <w:szCs w:val="22"/>
        </w:rPr>
        <w:t>Neil Nixon, Associate Professor in Psychiatry / Honorary Consultant in General Adult Psychiatry</w:t>
      </w:r>
    </w:p>
    <w:p w14:paraId="2BA50A61" w14:textId="62526385" w:rsidR="00633253" w:rsidRPr="00B6794E" w:rsidRDefault="00633253" w:rsidP="00633253">
      <w:pPr>
        <w:rPr>
          <w:rFonts w:cs="Arial"/>
          <w:iCs/>
          <w:sz w:val="22"/>
          <w:szCs w:val="22"/>
        </w:rPr>
      </w:pPr>
    </w:p>
    <w:p w14:paraId="0411F731" w14:textId="518E4AAA" w:rsidR="00633253" w:rsidRPr="00B6794E" w:rsidRDefault="00633253" w:rsidP="00933394">
      <w:pPr>
        <w:rPr>
          <w:sz w:val="22"/>
          <w:szCs w:val="22"/>
        </w:rPr>
      </w:pPr>
    </w:p>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even" r:id="rId12"/>
      <w:headerReference w:type="default" r:id="rId13"/>
      <w:footerReference w:type="even" r:id="rId14"/>
      <w:footerReference w:type="default" r:id="rId15"/>
      <w:headerReference w:type="first" r:id="rId16"/>
      <w:footerReference w:type="first" r:id="rId17"/>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105EE" w14:textId="77777777" w:rsidR="00300D49" w:rsidRDefault="00300D49" w:rsidP="00AC72FD">
      <w:r>
        <w:separator/>
      </w:r>
    </w:p>
  </w:endnote>
  <w:endnote w:type="continuationSeparator" w:id="0">
    <w:p w14:paraId="7ECDF62D" w14:textId="77777777" w:rsidR="00300D49" w:rsidRDefault="00300D49"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8F8F7" w14:textId="77777777" w:rsidR="0057289F" w:rsidRDefault="0057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0C30E" w14:textId="77777777" w:rsidR="00300D49" w:rsidRDefault="00300D49" w:rsidP="00AC72FD">
      <w:r>
        <w:separator/>
      </w:r>
    </w:p>
  </w:footnote>
  <w:footnote w:type="continuationSeparator" w:id="0">
    <w:p w14:paraId="5B32674C" w14:textId="77777777" w:rsidR="00300D49" w:rsidRDefault="00300D49"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54E82" w14:textId="77777777" w:rsidR="0057289F" w:rsidRDefault="00572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7E1D7" w14:textId="2B673AB7" w:rsidR="00ED2809" w:rsidRPr="00AC72FD" w:rsidRDefault="00B6794E" w:rsidP="005C7ECA">
    <w:pPr>
      <w:pStyle w:val="Heading2"/>
      <w:spacing w:after="400"/>
    </w:pPr>
    <w:r>
      <w:t xml:space="preserve">Nottinghamshire Healthcare NHS Foundation Trust: </w:t>
    </w:r>
    <w:r w:rsidR="0057289F">
      <w:t>Academic F2 systematic review support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8FF7D" w14:textId="77777777" w:rsidR="0057289F" w:rsidRDefault="00572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D5FF7"/>
    <w:multiLevelType w:val="hybridMultilevel"/>
    <w:tmpl w:val="A40E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73EA"/>
    <w:rsid w:val="00096C23"/>
    <w:rsid w:val="000F002E"/>
    <w:rsid w:val="000F2384"/>
    <w:rsid w:val="000F283C"/>
    <w:rsid w:val="00107CF7"/>
    <w:rsid w:val="001263B4"/>
    <w:rsid w:val="001329F5"/>
    <w:rsid w:val="00135A54"/>
    <w:rsid w:val="00151BF7"/>
    <w:rsid w:val="00184133"/>
    <w:rsid w:val="001A0D65"/>
    <w:rsid w:val="001A3B4D"/>
    <w:rsid w:val="001C3A46"/>
    <w:rsid w:val="001D4F3A"/>
    <w:rsid w:val="001E1FBE"/>
    <w:rsid w:val="001F54D9"/>
    <w:rsid w:val="00210C7D"/>
    <w:rsid w:val="00211BA8"/>
    <w:rsid w:val="00214162"/>
    <w:rsid w:val="00225480"/>
    <w:rsid w:val="00225B63"/>
    <w:rsid w:val="00240BFA"/>
    <w:rsid w:val="0025038D"/>
    <w:rsid w:val="002D4A82"/>
    <w:rsid w:val="002D6889"/>
    <w:rsid w:val="002E49BA"/>
    <w:rsid w:val="00300D49"/>
    <w:rsid w:val="00317F85"/>
    <w:rsid w:val="00325B9A"/>
    <w:rsid w:val="00376FD4"/>
    <w:rsid w:val="003B3DBA"/>
    <w:rsid w:val="003B477B"/>
    <w:rsid w:val="004066DE"/>
    <w:rsid w:val="00424CEC"/>
    <w:rsid w:val="004303E9"/>
    <w:rsid w:val="004901A8"/>
    <w:rsid w:val="004B7E55"/>
    <w:rsid w:val="004D417D"/>
    <w:rsid w:val="004E5925"/>
    <w:rsid w:val="00511668"/>
    <w:rsid w:val="0057289F"/>
    <w:rsid w:val="005744C8"/>
    <w:rsid w:val="0058174B"/>
    <w:rsid w:val="005C02CB"/>
    <w:rsid w:val="005C17D2"/>
    <w:rsid w:val="005C7ECA"/>
    <w:rsid w:val="005E6D11"/>
    <w:rsid w:val="00625DC4"/>
    <w:rsid w:val="00633253"/>
    <w:rsid w:val="00640317"/>
    <w:rsid w:val="0065504D"/>
    <w:rsid w:val="00657F6E"/>
    <w:rsid w:val="007073E5"/>
    <w:rsid w:val="00736F7B"/>
    <w:rsid w:val="00782B2F"/>
    <w:rsid w:val="00782D6A"/>
    <w:rsid w:val="007B7F19"/>
    <w:rsid w:val="007C616C"/>
    <w:rsid w:val="007E6F31"/>
    <w:rsid w:val="007F2CB8"/>
    <w:rsid w:val="00830CA4"/>
    <w:rsid w:val="00832F64"/>
    <w:rsid w:val="00861C74"/>
    <w:rsid w:val="008850FC"/>
    <w:rsid w:val="00892637"/>
    <w:rsid w:val="0089542C"/>
    <w:rsid w:val="008B0C2E"/>
    <w:rsid w:val="008B1E94"/>
    <w:rsid w:val="008C1C14"/>
    <w:rsid w:val="008E4A0A"/>
    <w:rsid w:val="00906015"/>
    <w:rsid w:val="0091039C"/>
    <w:rsid w:val="00933394"/>
    <w:rsid w:val="0094120C"/>
    <w:rsid w:val="009462CA"/>
    <w:rsid w:val="0097729E"/>
    <w:rsid w:val="00991880"/>
    <w:rsid w:val="009D32F5"/>
    <w:rsid w:val="009E2641"/>
    <w:rsid w:val="00A030ED"/>
    <w:rsid w:val="00A068CD"/>
    <w:rsid w:val="00A12698"/>
    <w:rsid w:val="00A12EFA"/>
    <w:rsid w:val="00A27193"/>
    <w:rsid w:val="00A34FFC"/>
    <w:rsid w:val="00A41F17"/>
    <w:rsid w:val="00A628C2"/>
    <w:rsid w:val="00A76867"/>
    <w:rsid w:val="00A77B67"/>
    <w:rsid w:val="00A90546"/>
    <w:rsid w:val="00A90C2D"/>
    <w:rsid w:val="00A97722"/>
    <w:rsid w:val="00AB0B9B"/>
    <w:rsid w:val="00AB29B5"/>
    <w:rsid w:val="00AC72FD"/>
    <w:rsid w:val="00AD3004"/>
    <w:rsid w:val="00AF3F05"/>
    <w:rsid w:val="00B44DC5"/>
    <w:rsid w:val="00B617B1"/>
    <w:rsid w:val="00B6794E"/>
    <w:rsid w:val="00B801DD"/>
    <w:rsid w:val="00BB7928"/>
    <w:rsid w:val="00BB7F13"/>
    <w:rsid w:val="00C01F28"/>
    <w:rsid w:val="00C2795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EE47BE"/>
    <w:rsid w:val="00F1052B"/>
    <w:rsid w:val="00F10735"/>
    <w:rsid w:val="00F275AD"/>
    <w:rsid w:val="00F5593D"/>
    <w:rsid w:val="00F72330"/>
    <w:rsid w:val="00F84F64"/>
    <w:rsid w:val="00FB0FE2"/>
    <w:rsid w:val="00FD69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character" w:customStyle="1" w:styleId="normaltextrun">
    <w:name w:val="normaltextrun"/>
    <w:basedOn w:val="DefaultParagraphFont"/>
    <w:rsid w:val="00B6794E"/>
  </w:style>
  <w:style w:type="character" w:customStyle="1" w:styleId="eop">
    <w:name w:val="eop"/>
    <w:basedOn w:val="DefaultParagraphFont"/>
    <w:rsid w:val="00B6794E"/>
  </w:style>
  <w:style w:type="paragraph" w:customStyle="1" w:styleId="paragraph">
    <w:name w:val="paragraph"/>
    <w:basedOn w:val="Normal"/>
    <w:rsid w:val="00B6794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01DD"/>
    <w:pPr>
      <w:ind w:left="720"/>
      <w:contextualSpacing/>
    </w:pPr>
    <w:rPr>
      <w:rFonts w:ascii="Times New Roman" w:eastAsia="Times New Roman" w:hAnsi="Times New Roman" w:cs="Times New Roman"/>
      <w:lang w:eastAsia="en-GB"/>
    </w:rPr>
  </w:style>
  <w:style w:type="table" w:styleId="TableGrid">
    <w:name w:val="Table Grid"/>
    <w:basedOn w:val="TableNormal"/>
    <w:rsid w:val="00F10735"/>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65983">
      <w:bodyDiv w:val="1"/>
      <w:marLeft w:val="0"/>
      <w:marRight w:val="0"/>
      <w:marTop w:val="0"/>
      <w:marBottom w:val="0"/>
      <w:divBdr>
        <w:top w:val="none" w:sz="0" w:space="0" w:color="auto"/>
        <w:left w:val="none" w:sz="0" w:space="0" w:color="auto"/>
        <w:bottom w:val="none" w:sz="0" w:space="0" w:color="auto"/>
        <w:right w:val="none" w:sz="0" w:space="0" w:color="auto"/>
      </w:divBdr>
      <w:divsChild>
        <w:div w:id="168178501">
          <w:marLeft w:val="0"/>
          <w:marRight w:val="0"/>
          <w:marTop w:val="0"/>
          <w:marBottom w:val="0"/>
          <w:divBdr>
            <w:top w:val="none" w:sz="0" w:space="0" w:color="auto"/>
            <w:left w:val="none" w:sz="0" w:space="0" w:color="auto"/>
            <w:bottom w:val="none" w:sz="0" w:space="0" w:color="auto"/>
            <w:right w:val="none" w:sz="0" w:space="0" w:color="auto"/>
          </w:divBdr>
        </w:div>
        <w:div w:id="1051141">
          <w:marLeft w:val="0"/>
          <w:marRight w:val="0"/>
          <w:marTop w:val="0"/>
          <w:marBottom w:val="0"/>
          <w:divBdr>
            <w:top w:val="none" w:sz="0" w:space="0" w:color="auto"/>
            <w:left w:val="none" w:sz="0" w:space="0" w:color="auto"/>
            <w:bottom w:val="none" w:sz="0" w:space="0" w:color="auto"/>
            <w:right w:val="none" w:sz="0" w:space="0" w:color="auto"/>
          </w:divBdr>
        </w:div>
        <w:div w:id="1696692830">
          <w:marLeft w:val="0"/>
          <w:marRight w:val="0"/>
          <w:marTop w:val="0"/>
          <w:marBottom w:val="0"/>
          <w:divBdr>
            <w:top w:val="none" w:sz="0" w:space="0" w:color="auto"/>
            <w:left w:val="none" w:sz="0" w:space="0" w:color="auto"/>
            <w:bottom w:val="none" w:sz="0" w:space="0" w:color="auto"/>
            <w:right w:val="none" w:sz="0" w:space="0" w:color="auto"/>
          </w:divBdr>
        </w:div>
        <w:div w:id="424036356">
          <w:marLeft w:val="0"/>
          <w:marRight w:val="0"/>
          <w:marTop w:val="0"/>
          <w:marBottom w:val="0"/>
          <w:divBdr>
            <w:top w:val="none" w:sz="0" w:space="0" w:color="auto"/>
            <w:left w:val="none" w:sz="0" w:space="0" w:color="auto"/>
            <w:bottom w:val="none" w:sz="0" w:space="0" w:color="auto"/>
            <w:right w:val="none" w:sz="0" w:space="0" w:color="auto"/>
          </w:divBdr>
        </w:div>
        <w:div w:id="1355307899">
          <w:marLeft w:val="0"/>
          <w:marRight w:val="0"/>
          <w:marTop w:val="0"/>
          <w:marBottom w:val="0"/>
          <w:divBdr>
            <w:top w:val="none" w:sz="0" w:space="0" w:color="auto"/>
            <w:left w:val="none" w:sz="0" w:space="0" w:color="auto"/>
            <w:bottom w:val="none" w:sz="0" w:space="0" w:color="auto"/>
            <w:right w:val="none" w:sz="0" w:space="0" w:color="auto"/>
          </w:divBdr>
        </w:div>
        <w:div w:id="698433747">
          <w:marLeft w:val="0"/>
          <w:marRight w:val="0"/>
          <w:marTop w:val="0"/>
          <w:marBottom w:val="0"/>
          <w:divBdr>
            <w:top w:val="none" w:sz="0" w:space="0" w:color="auto"/>
            <w:left w:val="none" w:sz="0" w:space="0" w:color="auto"/>
            <w:bottom w:val="none" w:sz="0" w:space="0" w:color="auto"/>
            <w:right w:val="none" w:sz="0" w:space="0" w:color="auto"/>
          </w:divBdr>
        </w:div>
        <w:div w:id="1787966827">
          <w:marLeft w:val="0"/>
          <w:marRight w:val="0"/>
          <w:marTop w:val="0"/>
          <w:marBottom w:val="0"/>
          <w:divBdr>
            <w:top w:val="none" w:sz="0" w:space="0" w:color="auto"/>
            <w:left w:val="none" w:sz="0" w:space="0" w:color="auto"/>
            <w:bottom w:val="none" w:sz="0" w:space="0" w:color="auto"/>
            <w:right w:val="none" w:sz="0" w:space="0" w:color="auto"/>
          </w:divBdr>
        </w:div>
        <w:div w:id="1535117824">
          <w:marLeft w:val="0"/>
          <w:marRight w:val="0"/>
          <w:marTop w:val="0"/>
          <w:marBottom w:val="0"/>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A8DFD-A23C-42FE-B2B5-51A3CDB168E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3.xml><?xml version="1.0" encoding="utf-8"?>
<ds:datastoreItem xmlns:ds="http://schemas.openxmlformats.org/officeDocument/2006/customXml" ds:itemID="{EE844C0F-7455-4BF5-9FE9-31EB113CBE9B}"/>
</file>

<file path=customXml/itemProps4.xml><?xml version="1.0" encoding="utf-8"?>
<ds:datastoreItem xmlns:ds="http://schemas.openxmlformats.org/officeDocument/2006/customXml" ds:itemID="{5C8FF280-DB10-4EE8-B079-68D68B0B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Naomi Thorpe</cp:lastModifiedBy>
  <cp:revision>19</cp:revision>
  <cp:lastPrinted>2020-10-02T12:10:00Z</cp:lastPrinted>
  <dcterms:created xsi:type="dcterms:W3CDTF">2021-04-28T11:48:00Z</dcterms:created>
  <dcterms:modified xsi:type="dcterms:W3CDTF">2021-04-28T14:28:00Z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