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rsidR="001E1FBE" w:rsidRDefault="001E1FBE" w:rsidP="00211BA8">
      <w:pPr>
        <w:pStyle w:val="Heading1"/>
      </w:pPr>
      <w:r>
        <w:t xml:space="preserve">Library and Knowledge Services </w:t>
      </w:r>
      <w:r w:rsidR="00211BA8">
        <w:t>case study</w:t>
      </w:r>
    </w:p>
    <w:p w:rsidR="00A6134E" w:rsidRDefault="00A6134E" w:rsidP="00A068CD">
      <w:pPr>
        <w:pStyle w:val="Heading1"/>
        <w:rPr>
          <w:i/>
          <w:iCs/>
        </w:rPr>
      </w:pPr>
      <w:r>
        <w:t>Royal United Hospitals Bath NHS Foundation Trust</w:t>
      </w:r>
      <w:r w:rsidR="0065504D" w:rsidRPr="0089542C">
        <w:rPr>
          <w:i/>
          <w:iCs/>
        </w:rPr>
        <w:t xml:space="preserve">: </w:t>
      </w:r>
    </w:p>
    <w:p w:rsidR="001E1FBE" w:rsidRPr="0089542C" w:rsidRDefault="00A6134E" w:rsidP="00A068CD">
      <w:pPr>
        <w:pStyle w:val="Heading1"/>
        <w:rPr>
          <w:i/>
          <w:iCs/>
        </w:rPr>
      </w:pPr>
      <w:r w:rsidRPr="008A2859">
        <w:rPr>
          <w:b w:val="0"/>
          <w:bCs w:val="0"/>
        </w:rPr>
        <w:t>Surveillance of renal TSC</w:t>
      </w:r>
      <w:r>
        <w:rPr>
          <w:b w:val="0"/>
          <w:bCs w:val="0"/>
        </w:rPr>
        <w:t xml:space="preserve"> </w:t>
      </w:r>
      <w:r w:rsidRPr="008A2859">
        <w:rPr>
          <w:b w:val="0"/>
          <w:bCs w:val="0"/>
        </w:rPr>
        <w:t xml:space="preserve">related </w:t>
      </w:r>
      <w:r>
        <w:rPr>
          <w:b w:val="0"/>
          <w:bCs w:val="0"/>
        </w:rPr>
        <w:t>AML</w:t>
      </w:r>
    </w:p>
    <w:p w:rsidR="00C33E2A" w:rsidRPr="00C33E2A" w:rsidRDefault="00C33E2A" w:rsidP="00C33E2A"/>
    <w:p w:rsidR="0089542C" w:rsidRDefault="0089542C" w:rsidP="0089542C">
      <w:pPr>
        <w:rPr>
          <w:i/>
          <w:iCs/>
        </w:rPr>
      </w:pPr>
      <w:r w:rsidRPr="0089542C">
        <w:t xml:space="preserve">Date </w:t>
      </w:r>
      <w:r w:rsidRPr="0089542C">
        <w:rPr>
          <w:i/>
          <w:iCs/>
        </w:rPr>
        <w:t>[</w:t>
      </w:r>
      <w:r w:rsidR="00A6134E">
        <w:rPr>
          <w:i/>
          <w:iCs/>
        </w:rPr>
        <w:t>06/07/</w:t>
      </w:r>
      <w:r w:rsidR="00DE7D6A">
        <w:rPr>
          <w:i/>
          <w:iCs/>
        </w:rPr>
        <w:t>20</w:t>
      </w:r>
      <w:r w:rsidR="00A6134E">
        <w:rPr>
          <w:i/>
          <w:iCs/>
        </w:rPr>
        <w:t>21</w:t>
      </w:r>
      <w:r>
        <w:rPr>
          <w:i/>
          <w:iCs/>
        </w:rPr>
        <w:t>]</w:t>
      </w:r>
      <w:r w:rsidR="00A6134E">
        <w:rPr>
          <w:i/>
          <w:iCs/>
        </w:rPr>
        <w:t xml:space="preserve"> </w:t>
      </w:r>
    </w:p>
    <w:p w:rsidR="00D525CF" w:rsidRPr="0089542C" w:rsidRDefault="00D525CF" w:rsidP="0089542C">
      <w:pPr>
        <w:rPr>
          <w:i/>
          <w:iCs/>
        </w:rPr>
      </w:pPr>
      <w:r>
        <w:rPr>
          <w:rFonts w:cs="Arial"/>
        </w:rPr>
        <w:t>Date of interview: 11/05/2021</w:t>
      </w:r>
      <w:bookmarkStart w:id="0" w:name="_GoBack"/>
      <w:bookmarkEnd w:id="0"/>
    </w:p>
    <w:p w:rsidR="00107CF7" w:rsidRDefault="00107CF7" w:rsidP="00107CF7"/>
    <w:p w:rsidR="0089542C" w:rsidRDefault="0089542C" w:rsidP="00107CF7"/>
    <w:p w:rsidR="0089542C" w:rsidRDefault="0065504D" w:rsidP="0089542C">
      <w:pPr>
        <w:pStyle w:val="Heading2"/>
      </w:pPr>
      <w:r>
        <w:t>R</w:t>
      </w:r>
      <w:r w:rsidR="00657F6E">
        <w:t>eason for enquiry</w:t>
      </w:r>
    </w:p>
    <w:p w:rsidR="00DE7D6A" w:rsidRDefault="00DE7D6A" w:rsidP="00DE7D6A">
      <w:pPr>
        <w:rPr>
          <w:rFonts w:cs="Arial"/>
          <w:iCs/>
        </w:rPr>
      </w:pPr>
      <w:r>
        <w:rPr>
          <w:rFonts w:cs="Arial"/>
          <w:iCs/>
        </w:rPr>
        <w:t xml:space="preserve">RUH, Bath runs a </w:t>
      </w:r>
      <w:proofErr w:type="spellStart"/>
      <w:r w:rsidRPr="00C9253F">
        <w:rPr>
          <w:rFonts w:cs="Arial"/>
          <w:iCs/>
        </w:rPr>
        <w:t>Supraregional</w:t>
      </w:r>
      <w:proofErr w:type="spellEnd"/>
      <w:r w:rsidRPr="00C9253F">
        <w:rPr>
          <w:rFonts w:cs="Arial"/>
          <w:iCs/>
        </w:rPr>
        <w:t xml:space="preserve"> Tuberous Sclerosis Service for Adults and Children</w:t>
      </w:r>
      <w:r>
        <w:rPr>
          <w:rFonts w:cs="Arial"/>
          <w:iCs/>
        </w:rPr>
        <w:t>.</w:t>
      </w:r>
    </w:p>
    <w:p w:rsidR="00DE7D6A" w:rsidRDefault="00DE7D6A" w:rsidP="00DE7D6A">
      <w:pPr>
        <w:rPr>
          <w:rFonts w:cs="Arial"/>
          <w:iCs/>
        </w:rPr>
      </w:pPr>
    </w:p>
    <w:p w:rsidR="00DE7D6A" w:rsidRDefault="00DE7D6A" w:rsidP="00DE7D6A">
      <w:pPr>
        <w:rPr>
          <w:rFonts w:cs="Arial"/>
          <w:iCs/>
        </w:rPr>
      </w:pPr>
      <w:r w:rsidRPr="002955B5">
        <w:rPr>
          <w:rFonts w:cs="Arial"/>
          <w:iCs/>
        </w:rPr>
        <w:t xml:space="preserve">Patients with TSC related </w:t>
      </w:r>
      <w:proofErr w:type="spellStart"/>
      <w:r w:rsidRPr="002955B5">
        <w:rPr>
          <w:rFonts w:cs="Arial"/>
          <w:iCs/>
        </w:rPr>
        <w:t>angiomyolipomas</w:t>
      </w:r>
      <w:proofErr w:type="spellEnd"/>
      <w:r w:rsidRPr="002955B5">
        <w:rPr>
          <w:rFonts w:cs="Arial"/>
          <w:iCs/>
        </w:rPr>
        <w:t xml:space="preserve"> are scanned </w:t>
      </w:r>
      <w:r>
        <w:rPr>
          <w:rFonts w:cs="Arial"/>
          <w:iCs/>
        </w:rPr>
        <w:t xml:space="preserve">annually </w:t>
      </w:r>
      <w:r w:rsidRPr="002955B5">
        <w:rPr>
          <w:rFonts w:cs="Arial"/>
          <w:iCs/>
        </w:rPr>
        <w:t>throughout their entire lifespa</w:t>
      </w:r>
      <w:r>
        <w:rPr>
          <w:rFonts w:cs="Arial"/>
          <w:iCs/>
        </w:rPr>
        <w:t>n (as suggested by the international guidelines).</w:t>
      </w:r>
    </w:p>
    <w:p w:rsidR="00DE7D6A" w:rsidRDefault="00DE7D6A" w:rsidP="00DE7D6A">
      <w:pPr>
        <w:rPr>
          <w:rFonts w:cs="Arial"/>
          <w:iCs/>
        </w:rPr>
      </w:pPr>
    </w:p>
    <w:p w:rsidR="00DE7D6A" w:rsidRPr="00412A2D" w:rsidRDefault="00DE7D6A" w:rsidP="00DE7D6A">
      <w:pPr>
        <w:rPr>
          <w:rFonts w:cs="Arial"/>
          <w:iCs/>
        </w:rPr>
      </w:pPr>
      <w:r>
        <w:rPr>
          <w:rFonts w:cs="Arial"/>
          <w:iCs/>
        </w:rPr>
        <w:t>L</w:t>
      </w:r>
      <w:r w:rsidRPr="00412A2D">
        <w:rPr>
          <w:rFonts w:cs="Arial"/>
          <w:iCs/>
        </w:rPr>
        <w:t xml:space="preserve">ogistically it can be very difficult for people with learning difficulties (50% of </w:t>
      </w:r>
      <w:r>
        <w:rPr>
          <w:rFonts w:cs="Arial"/>
          <w:iCs/>
        </w:rPr>
        <w:t xml:space="preserve">the </w:t>
      </w:r>
      <w:r w:rsidRPr="00412A2D">
        <w:rPr>
          <w:rFonts w:cs="Arial"/>
          <w:iCs/>
        </w:rPr>
        <w:t xml:space="preserve">cohort) to obtain a general anaesthetic scan. </w:t>
      </w:r>
      <w:r>
        <w:rPr>
          <w:rFonts w:cs="Arial"/>
          <w:iCs/>
        </w:rPr>
        <w:t>On some occasions</w:t>
      </w:r>
      <w:r w:rsidRPr="00412A2D">
        <w:rPr>
          <w:rFonts w:cs="Arial"/>
          <w:iCs/>
        </w:rPr>
        <w:t xml:space="preserve"> the patients with LD can be discriminated against in terms of not being offered a scan, but equally having a scan can be very distressing for this cohort. The </w:t>
      </w:r>
      <w:r>
        <w:rPr>
          <w:rFonts w:cs="Arial"/>
          <w:iCs/>
        </w:rPr>
        <w:t>TS specialists intervene, when needed, to ensure the scan is carried out, but</w:t>
      </w:r>
      <w:r w:rsidRPr="00412A2D">
        <w:rPr>
          <w:rFonts w:cs="Arial"/>
          <w:iCs/>
        </w:rPr>
        <w:t xml:space="preserve"> sometimes </w:t>
      </w:r>
      <w:r>
        <w:rPr>
          <w:rFonts w:cs="Arial"/>
          <w:iCs/>
        </w:rPr>
        <w:t xml:space="preserve">also </w:t>
      </w:r>
      <w:r w:rsidRPr="00412A2D">
        <w:rPr>
          <w:rFonts w:cs="Arial"/>
          <w:iCs/>
        </w:rPr>
        <w:t>have to make a judgement call with regard to balancing risk/benefit for the patient.</w:t>
      </w:r>
    </w:p>
    <w:p w:rsidR="00DE7D6A" w:rsidRDefault="00DE7D6A" w:rsidP="00DE7D6A">
      <w:pPr>
        <w:rPr>
          <w:rFonts w:cs="Arial"/>
          <w:iCs/>
        </w:rPr>
      </w:pPr>
    </w:p>
    <w:p w:rsidR="00DE7D6A" w:rsidRDefault="00DE7D6A" w:rsidP="00DE7D6A">
      <w:pPr>
        <w:rPr>
          <w:rFonts w:cs="Arial"/>
          <w:iCs/>
        </w:rPr>
      </w:pPr>
      <w:r w:rsidRPr="002955B5">
        <w:rPr>
          <w:rFonts w:cs="Arial"/>
          <w:iCs/>
        </w:rPr>
        <w:t xml:space="preserve">Dr </w:t>
      </w:r>
      <w:proofErr w:type="spellStart"/>
      <w:r w:rsidRPr="002955B5">
        <w:rPr>
          <w:rFonts w:cs="Arial"/>
          <w:iCs/>
        </w:rPr>
        <w:t>Loh</w:t>
      </w:r>
      <w:proofErr w:type="spellEnd"/>
      <w:r w:rsidRPr="002955B5">
        <w:rPr>
          <w:rFonts w:cs="Arial"/>
          <w:iCs/>
        </w:rPr>
        <w:t xml:space="preserve"> felt that that once </w:t>
      </w:r>
      <w:r>
        <w:rPr>
          <w:rFonts w:cs="Arial"/>
          <w:iCs/>
        </w:rPr>
        <w:t>TSC patients</w:t>
      </w:r>
      <w:r w:rsidRPr="002955B5">
        <w:rPr>
          <w:rFonts w:cs="Arial"/>
          <w:iCs/>
        </w:rPr>
        <w:t xml:space="preserve"> are above 5</w:t>
      </w:r>
      <w:r>
        <w:rPr>
          <w:rFonts w:cs="Arial"/>
          <w:iCs/>
        </w:rPr>
        <w:t>0</w:t>
      </w:r>
      <w:r w:rsidRPr="002955B5">
        <w:rPr>
          <w:rFonts w:cs="Arial"/>
          <w:iCs/>
        </w:rPr>
        <w:t>yrs</w:t>
      </w:r>
      <w:r>
        <w:rPr>
          <w:rFonts w:cs="Arial"/>
          <w:iCs/>
        </w:rPr>
        <w:t xml:space="preserve"> old they</w:t>
      </w:r>
      <w:r w:rsidRPr="002955B5">
        <w:rPr>
          <w:rFonts w:cs="Arial"/>
          <w:iCs/>
        </w:rPr>
        <w:t xml:space="preserve"> don’t get a bleed or complication</w:t>
      </w:r>
      <w:r>
        <w:rPr>
          <w:rFonts w:cs="Arial"/>
          <w:iCs/>
        </w:rPr>
        <w:t>s</w:t>
      </w:r>
      <w:r w:rsidRPr="002955B5">
        <w:rPr>
          <w:rFonts w:cs="Arial"/>
          <w:iCs/>
        </w:rPr>
        <w:t xml:space="preserve"> from their renal AML.  </w:t>
      </w:r>
    </w:p>
    <w:p w:rsidR="00DE7D6A" w:rsidRPr="002955B5" w:rsidRDefault="00DE7D6A" w:rsidP="00DE7D6A">
      <w:pPr>
        <w:rPr>
          <w:rFonts w:cs="Arial"/>
          <w:iCs/>
        </w:rPr>
      </w:pPr>
    </w:p>
    <w:p w:rsidR="00C01F28" w:rsidRPr="00DE7D6A" w:rsidRDefault="00DE7D6A" w:rsidP="00DE7D6A">
      <w:pPr>
        <w:rPr>
          <w:rFonts w:cs="Arial"/>
          <w:iCs/>
        </w:rPr>
      </w:pPr>
      <w:r w:rsidRPr="002955B5">
        <w:rPr>
          <w:rFonts w:cs="Arial"/>
          <w:iCs/>
        </w:rPr>
        <w:t xml:space="preserve">The </w:t>
      </w:r>
      <w:r>
        <w:rPr>
          <w:rFonts w:cs="Arial"/>
          <w:iCs/>
        </w:rPr>
        <w:t>Academy Library</w:t>
      </w:r>
      <w:r w:rsidRPr="002955B5">
        <w:rPr>
          <w:rFonts w:cs="Arial"/>
          <w:iCs/>
        </w:rPr>
        <w:t xml:space="preserve"> w</w:t>
      </w:r>
      <w:r>
        <w:rPr>
          <w:rFonts w:cs="Arial"/>
          <w:iCs/>
        </w:rPr>
        <w:t>as</w:t>
      </w:r>
      <w:r w:rsidRPr="002955B5">
        <w:rPr>
          <w:rFonts w:cs="Arial"/>
          <w:iCs/>
        </w:rPr>
        <w:t xml:space="preserve"> asked to investigate this, </w:t>
      </w:r>
      <w:r>
        <w:rPr>
          <w:rFonts w:cs="Arial"/>
          <w:iCs/>
        </w:rPr>
        <w:t>to search for</w:t>
      </w:r>
      <w:r w:rsidRPr="002955B5">
        <w:rPr>
          <w:rFonts w:cs="Arial"/>
          <w:iCs/>
        </w:rPr>
        <w:t xml:space="preserve"> any </w:t>
      </w:r>
      <w:r>
        <w:rPr>
          <w:rFonts w:cs="Arial"/>
          <w:iCs/>
        </w:rPr>
        <w:t>evidence</w:t>
      </w:r>
      <w:r w:rsidRPr="002955B5">
        <w:rPr>
          <w:rFonts w:cs="Arial"/>
          <w:iCs/>
        </w:rPr>
        <w:t xml:space="preserve"> of anyone above 50yrs old </w:t>
      </w:r>
      <w:r>
        <w:rPr>
          <w:rFonts w:cs="Arial"/>
          <w:iCs/>
        </w:rPr>
        <w:t xml:space="preserve">experiencing </w:t>
      </w:r>
      <w:r w:rsidRPr="002955B5">
        <w:rPr>
          <w:rFonts w:cs="Arial"/>
          <w:iCs/>
        </w:rPr>
        <w:t>bleeding from their renal AML.</w:t>
      </w:r>
    </w:p>
    <w:p w:rsidR="00657F6E" w:rsidRPr="00107CF7" w:rsidRDefault="00657F6E" w:rsidP="00107CF7"/>
    <w:p w:rsidR="00F84F64" w:rsidRDefault="00A34FFC" w:rsidP="00A90546">
      <w:pPr>
        <w:pStyle w:val="Heading2"/>
      </w:pPr>
      <w:r>
        <w:t xml:space="preserve">What the </w:t>
      </w:r>
      <w:r w:rsidR="0065504D">
        <w:t>knowledge and library specialist</w:t>
      </w:r>
      <w:r>
        <w:t xml:space="preserve"> did</w:t>
      </w:r>
    </w:p>
    <w:p w:rsidR="00DE7D6A" w:rsidRDefault="00DE7D6A" w:rsidP="00DE7D6A">
      <w:pPr>
        <w:rPr>
          <w:rFonts w:cs="Arial"/>
          <w:iCs/>
        </w:rPr>
      </w:pPr>
      <w:r>
        <w:rPr>
          <w:rFonts w:cs="Arial"/>
          <w:iCs/>
        </w:rPr>
        <w:t>An extensive search was carried out on Medline and EMBASE looking at all case studies and articles concerning TSC patients with renal AMLs.</w:t>
      </w:r>
    </w:p>
    <w:p w:rsidR="00DE7D6A" w:rsidRDefault="00DE7D6A" w:rsidP="00DE7D6A">
      <w:pPr>
        <w:rPr>
          <w:rFonts w:cs="Arial"/>
          <w:iCs/>
        </w:rPr>
      </w:pPr>
    </w:p>
    <w:p w:rsidR="00DE7D6A" w:rsidRPr="00DB2DFD" w:rsidRDefault="00DE7D6A" w:rsidP="00DE7D6A">
      <w:pPr>
        <w:rPr>
          <w:rFonts w:cs="Arial"/>
          <w:iCs/>
        </w:rPr>
      </w:pPr>
      <w:r w:rsidRPr="00DB2DFD">
        <w:rPr>
          <w:rFonts w:cs="Arial"/>
          <w:iCs/>
        </w:rPr>
        <w:t>No case studies could be found that explicitly mentioned TSC AML bleeds over 50yrs.  There were some</w:t>
      </w:r>
      <w:r>
        <w:rPr>
          <w:rFonts w:cs="Arial"/>
          <w:iCs/>
        </w:rPr>
        <w:t xml:space="preserve"> articles</w:t>
      </w:r>
      <w:r w:rsidRPr="00DB2DFD">
        <w:rPr>
          <w:rFonts w:cs="Arial"/>
          <w:iCs/>
        </w:rPr>
        <w:t xml:space="preserve"> where it </w:t>
      </w:r>
      <w:r>
        <w:rPr>
          <w:rFonts w:cs="Arial"/>
          <w:iCs/>
        </w:rPr>
        <w:t>was</w:t>
      </w:r>
      <w:r w:rsidRPr="00DB2DFD">
        <w:rPr>
          <w:rFonts w:cs="Arial"/>
          <w:iCs/>
        </w:rPr>
        <w:t xml:space="preserve"> impossible to tell age, or if TSC related. Evidence was provided of general risk factors surrounding bleeds.  Detail of five studies w</w:t>
      </w:r>
      <w:r>
        <w:rPr>
          <w:rFonts w:cs="Arial"/>
          <w:iCs/>
        </w:rPr>
        <w:t>as</w:t>
      </w:r>
      <w:r w:rsidRPr="00DB2DFD">
        <w:rPr>
          <w:rFonts w:cs="Arial"/>
          <w:iCs/>
        </w:rPr>
        <w:t xml:space="preserve"> provided where there was mention of age and bleed in this older age group.  All were under 60yrs old. One study was unclear if TSC related.  One had mention of haematuria, rather than haemorrhage.  </w:t>
      </w:r>
    </w:p>
    <w:p w:rsidR="00DE7D6A" w:rsidRDefault="00DE7D6A" w:rsidP="00DE7D6A">
      <w:pPr>
        <w:rPr>
          <w:rFonts w:cs="Arial"/>
          <w:b/>
          <w:bCs/>
          <w:i/>
        </w:rPr>
      </w:pPr>
    </w:p>
    <w:p w:rsidR="00DE7D6A" w:rsidRPr="00F85882" w:rsidRDefault="00DE7D6A" w:rsidP="00DE7D6A">
      <w:pPr>
        <w:rPr>
          <w:rFonts w:cs="Arial"/>
          <w:b/>
          <w:bCs/>
          <w:i/>
        </w:rPr>
      </w:pPr>
      <w:r w:rsidRPr="00F85882">
        <w:rPr>
          <w:rFonts w:cs="Arial"/>
          <w:b/>
          <w:bCs/>
          <w:i/>
        </w:rPr>
        <w:t>That is really useful for me clinically…thanks again for your amazing efforts</w:t>
      </w:r>
    </w:p>
    <w:p w:rsidR="0089542C" w:rsidRDefault="0089542C">
      <w:pPr>
        <w:rPr>
          <w:rFonts w:cs="Arial"/>
        </w:rPr>
      </w:pPr>
    </w:p>
    <w:p w:rsidR="000F2384" w:rsidRDefault="008850FC" w:rsidP="00A068CD">
      <w:pPr>
        <w:pStyle w:val="Heading1"/>
      </w:pPr>
      <w:r>
        <w:lastRenderedPageBreak/>
        <w:t xml:space="preserve">Impact of </w:t>
      </w:r>
      <w:r w:rsidR="00DA3AA8">
        <w:t>input from the library and knowledge service</w:t>
      </w:r>
    </w:p>
    <w:p w:rsidR="00DE7D6A" w:rsidRPr="00C9253F" w:rsidRDefault="00DE7D6A" w:rsidP="00DE7D6A">
      <w:pPr>
        <w:rPr>
          <w:rFonts w:cs="Arial"/>
          <w:iCs/>
        </w:rPr>
      </w:pPr>
      <w:r w:rsidRPr="00C9253F">
        <w:rPr>
          <w:rFonts w:cs="Arial"/>
          <w:iCs/>
        </w:rPr>
        <w:t>The information provided from the literature search found that after 60yrs old, the chances of complications is reduced dramatically and will help inform how the TS service proceeds with practice.</w:t>
      </w:r>
    </w:p>
    <w:p w:rsidR="0089542C" w:rsidRDefault="0089542C"/>
    <w:p w:rsidR="00AB29B5" w:rsidRPr="00A97722" w:rsidRDefault="00CF74D1" w:rsidP="00A97722">
      <w:pPr>
        <w:pStyle w:val="Heading2"/>
      </w:pPr>
      <w:r>
        <w:t>Immediate Impact</w:t>
      </w:r>
    </w:p>
    <w:p w:rsidR="00DE7D6A" w:rsidRDefault="00DE7D6A" w:rsidP="00DE7D6A">
      <w:pPr>
        <w:numPr>
          <w:ilvl w:val="0"/>
          <w:numId w:val="1"/>
        </w:numPr>
        <w:rPr>
          <w:rFonts w:cs="Arial"/>
        </w:rPr>
      </w:pPr>
      <w:r>
        <w:rPr>
          <w:rFonts w:cs="Arial"/>
        </w:rPr>
        <w:t>Information supplied to guide practice.</w:t>
      </w:r>
    </w:p>
    <w:p w:rsidR="0089542C" w:rsidRPr="00DE7D6A" w:rsidRDefault="00DE7D6A" w:rsidP="00DE7D6A">
      <w:pPr>
        <w:numPr>
          <w:ilvl w:val="0"/>
          <w:numId w:val="1"/>
        </w:numPr>
        <w:rPr>
          <w:rFonts w:cs="Arial"/>
        </w:rPr>
      </w:pPr>
      <w:r w:rsidRPr="00DE7D6A">
        <w:rPr>
          <w:rFonts w:cs="Arial"/>
        </w:rPr>
        <w:t xml:space="preserve">Dr </w:t>
      </w:r>
      <w:proofErr w:type="spellStart"/>
      <w:r w:rsidRPr="00DE7D6A">
        <w:rPr>
          <w:rFonts w:cs="Arial"/>
        </w:rPr>
        <w:t>Loh’s</w:t>
      </w:r>
      <w:proofErr w:type="spellEnd"/>
      <w:r w:rsidRPr="00DE7D6A">
        <w:rPr>
          <w:rFonts w:cs="Arial"/>
        </w:rPr>
        <w:t xml:space="preserve"> thoughts that bleeding risk and complication lessens over 50yrs old were confirmed.  There was minimal evidence of bleeding in 50-60yrs age-band.  No evidence over 60 </w:t>
      </w:r>
      <w:proofErr w:type="spellStart"/>
      <w:r w:rsidRPr="00DE7D6A">
        <w:rPr>
          <w:rFonts w:cs="Arial"/>
        </w:rPr>
        <w:t>yrs</w:t>
      </w:r>
      <w:proofErr w:type="spellEnd"/>
      <w:r w:rsidRPr="00DE7D6A">
        <w:rPr>
          <w:rFonts w:cs="Arial"/>
        </w:rPr>
        <w:t xml:space="preserve"> of age.</w:t>
      </w:r>
    </w:p>
    <w:p w:rsidR="00DE7D6A" w:rsidRDefault="00DE7D6A" w:rsidP="00DE7D6A"/>
    <w:p w:rsidR="00033A06" w:rsidRPr="00A068CD" w:rsidRDefault="009462CA" w:rsidP="00A068CD">
      <w:pPr>
        <w:pStyle w:val="Heading2"/>
      </w:pPr>
      <w:r>
        <w:t>Probable future Impact</w:t>
      </w:r>
    </w:p>
    <w:p w:rsidR="00DE7D6A" w:rsidRDefault="00DE7D6A" w:rsidP="00DE7D6A">
      <w:pPr>
        <w:numPr>
          <w:ilvl w:val="0"/>
          <w:numId w:val="2"/>
        </w:numPr>
        <w:rPr>
          <w:rFonts w:cs="Arial"/>
          <w:iCs/>
        </w:rPr>
      </w:pPr>
      <w:r>
        <w:rPr>
          <w:rFonts w:cs="Arial"/>
          <w:iCs/>
        </w:rPr>
        <w:t>L</w:t>
      </w:r>
      <w:r w:rsidRPr="00F90E24">
        <w:rPr>
          <w:rFonts w:cs="Arial"/>
          <w:iCs/>
        </w:rPr>
        <w:t xml:space="preserve">ess </w:t>
      </w:r>
      <w:r>
        <w:rPr>
          <w:rFonts w:cs="Arial"/>
          <w:iCs/>
        </w:rPr>
        <w:t xml:space="preserve">unnecessary </w:t>
      </w:r>
      <w:r w:rsidRPr="00F90E24">
        <w:rPr>
          <w:rFonts w:cs="Arial"/>
          <w:iCs/>
        </w:rPr>
        <w:t>general anaesthetic scanning</w:t>
      </w:r>
      <w:r>
        <w:rPr>
          <w:rFonts w:cs="Arial"/>
          <w:iCs/>
        </w:rPr>
        <w:t>.</w:t>
      </w:r>
    </w:p>
    <w:p w:rsidR="00DE7D6A" w:rsidRDefault="00DE7D6A" w:rsidP="00DE7D6A">
      <w:pPr>
        <w:numPr>
          <w:ilvl w:val="0"/>
          <w:numId w:val="2"/>
        </w:numPr>
        <w:rPr>
          <w:rFonts w:cs="Arial"/>
          <w:iCs/>
        </w:rPr>
      </w:pPr>
      <w:r>
        <w:rPr>
          <w:rFonts w:cs="Arial"/>
          <w:iCs/>
        </w:rPr>
        <w:t>Therefore, less need for</w:t>
      </w:r>
      <w:r w:rsidRPr="00F90E24">
        <w:rPr>
          <w:rFonts w:cs="Arial"/>
          <w:iCs/>
        </w:rPr>
        <w:t xml:space="preserve"> hospital stays</w:t>
      </w:r>
      <w:r>
        <w:rPr>
          <w:rFonts w:cs="Arial"/>
          <w:iCs/>
        </w:rPr>
        <w:t>.</w:t>
      </w:r>
    </w:p>
    <w:p w:rsidR="00DE7D6A" w:rsidRDefault="00DE7D6A" w:rsidP="00DE7D6A">
      <w:pPr>
        <w:numPr>
          <w:ilvl w:val="0"/>
          <w:numId w:val="2"/>
        </w:numPr>
        <w:rPr>
          <w:rFonts w:cs="Arial"/>
          <w:iCs/>
        </w:rPr>
      </w:pPr>
      <w:r>
        <w:rPr>
          <w:rFonts w:cs="Arial"/>
          <w:iCs/>
        </w:rPr>
        <w:t>Consequently, l</w:t>
      </w:r>
      <w:r w:rsidRPr="00F90E24">
        <w:rPr>
          <w:rFonts w:cs="Arial"/>
          <w:iCs/>
        </w:rPr>
        <w:t xml:space="preserve">ess distress </w:t>
      </w:r>
      <w:r>
        <w:rPr>
          <w:rFonts w:cs="Arial"/>
          <w:iCs/>
        </w:rPr>
        <w:t>for TS patients with LD.</w:t>
      </w:r>
      <w:r w:rsidRPr="00F90E24">
        <w:rPr>
          <w:rFonts w:cs="Arial"/>
          <w:iCs/>
        </w:rPr>
        <w:t> </w:t>
      </w:r>
    </w:p>
    <w:p w:rsidR="00DE7D6A" w:rsidRPr="00F90E24" w:rsidRDefault="00DE7D6A" w:rsidP="00DE7D6A">
      <w:pPr>
        <w:numPr>
          <w:ilvl w:val="0"/>
          <w:numId w:val="2"/>
        </w:numPr>
        <w:rPr>
          <w:rFonts w:cs="Arial"/>
          <w:iCs/>
        </w:rPr>
      </w:pPr>
      <w:r>
        <w:rPr>
          <w:rFonts w:cs="Arial"/>
          <w:iCs/>
        </w:rPr>
        <w:t xml:space="preserve">Resulting </w:t>
      </w:r>
      <w:r w:rsidRPr="00F90E24">
        <w:rPr>
          <w:rFonts w:cs="Arial"/>
          <w:iCs/>
        </w:rPr>
        <w:t xml:space="preserve">opportunistic cost </w:t>
      </w:r>
      <w:r>
        <w:rPr>
          <w:rFonts w:cs="Arial"/>
          <w:iCs/>
        </w:rPr>
        <w:t xml:space="preserve">savings </w:t>
      </w:r>
      <w:r w:rsidRPr="00F90E24">
        <w:rPr>
          <w:rFonts w:cs="Arial"/>
          <w:iCs/>
        </w:rPr>
        <w:t xml:space="preserve">for those that need the </w:t>
      </w:r>
      <w:r>
        <w:rPr>
          <w:rFonts w:cs="Arial"/>
          <w:iCs/>
        </w:rPr>
        <w:t xml:space="preserve">scanning </w:t>
      </w:r>
      <w:r w:rsidRPr="00F90E24">
        <w:rPr>
          <w:rFonts w:cs="Arial"/>
          <w:iCs/>
        </w:rPr>
        <w:t>slots.</w:t>
      </w:r>
    </w:p>
    <w:p w:rsidR="00AB29B5" w:rsidRDefault="00AB29B5" w:rsidP="00933394"/>
    <w:p w:rsidR="00033A06" w:rsidRDefault="00ED3209" w:rsidP="005E6D11">
      <w:pPr>
        <w:pStyle w:val="Heading2"/>
      </w:pPr>
      <w:r>
        <w:t>Name and Job Title</w:t>
      </w:r>
      <w:r w:rsidR="00033A06">
        <w:t>:</w:t>
      </w:r>
    </w:p>
    <w:p w:rsidR="00DE7D6A" w:rsidRPr="00344C3C" w:rsidRDefault="00DE7D6A" w:rsidP="00DE7D6A">
      <w:pPr>
        <w:rPr>
          <w:rFonts w:cs="Arial"/>
          <w:iCs/>
        </w:rPr>
      </w:pPr>
      <w:r w:rsidRPr="00344C3C">
        <w:rPr>
          <w:rFonts w:cs="Arial"/>
          <w:iCs/>
        </w:rPr>
        <w:t>Name</w:t>
      </w:r>
      <w:r>
        <w:rPr>
          <w:rFonts w:cs="Arial"/>
          <w:iCs/>
        </w:rPr>
        <w:t xml:space="preserve">: </w:t>
      </w:r>
      <w:r w:rsidRPr="00397582">
        <w:rPr>
          <w:rFonts w:cs="Arial"/>
          <w:b/>
          <w:bCs/>
          <w:iCs/>
        </w:rPr>
        <w:t xml:space="preserve">Dr Ron </w:t>
      </w:r>
      <w:proofErr w:type="spellStart"/>
      <w:r w:rsidRPr="00397582">
        <w:rPr>
          <w:rFonts w:cs="Arial"/>
          <w:b/>
          <w:bCs/>
          <w:iCs/>
        </w:rPr>
        <w:t>Loh</w:t>
      </w:r>
      <w:proofErr w:type="spellEnd"/>
    </w:p>
    <w:p w:rsidR="00DE7D6A" w:rsidRPr="00344C3C" w:rsidRDefault="00DE7D6A" w:rsidP="00DE7D6A">
      <w:pPr>
        <w:rPr>
          <w:rFonts w:cs="Arial"/>
          <w:iCs/>
        </w:rPr>
      </w:pPr>
      <w:r w:rsidRPr="00344C3C">
        <w:rPr>
          <w:rFonts w:cs="Arial"/>
          <w:iCs/>
        </w:rPr>
        <w:t>Job Title</w:t>
      </w:r>
      <w:r>
        <w:rPr>
          <w:rFonts w:cs="Arial"/>
          <w:iCs/>
        </w:rPr>
        <w:t xml:space="preserve">: Consultant Paediatrician / </w:t>
      </w:r>
      <w:r w:rsidRPr="002F48DD">
        <w:rPr>
          <w:rFonts w:cs="Arial"/>
          <w:iCs/>
        </w:rPr>
        <w:t xml:space="preserve">Joint Head of the </w:t>
      </w:r>
      <w:proofErr w:type="spellStart"/>
      <w:r w:rsidRPr="002F48DD">
        <w:rPr>
          <w:rFonts w:cs="Arial"/>
          <w:iCs/>
        </w:rPr>
        <w:t>Supraregional</w:t>
      </w:r>
      <w:proofErr w:type="spellEnd"/>
      <w:r w:rsidRPr="002F48DD">
        <w:rPr>
          <w:rFonts w:cs="Arial"/>
          <w:iCs/>
        </w:rPr>
        <w:t xml:space="preserve"> TSC Service</w:t>
      </w:r>
    </w:p>
    <w:p w:rsidR="0089542C" w:rsidRDefault="0089542C" w:rsidP="00633253">
      <w:pPr>
        <w:rPr>
          <w:rFonts w:cs="Arial"/>
          <w:iCs/>
        </w:rPr>
      </w:pPr>
    </w:p>
    <w:p w:rsidR="00633253" w:rsidRPr="004B5F25" w:rsidRDefault="0089542C" w:rsidP="00933394">
      <w:pPr>
        <w:rPr>
          <w:rFonts w:cs="Arial"/>
          <w:iCs/>
        </w:rPr>
      </w:pPr>
      <w:r>
        <w:rPr>
          <w:rFonts w:cs="Arial"/>
          <w:iCs/>
        </w:rPr>
        <w:t xml:space="preserve"> </w:t>
      </w:r>
    </w:p>
    <w:p w:rsidR="00933394"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p w:rsidR="004B5F25" w:rsidRDefault="004B5F25" w:rsidP="004B5F25"/>
    <w:p w:rsidR="004B5F25" w:rsidRDefault="004B5F25" w:rsidP="004B5F25"/>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DE7D6A" w:rsidRDefault="00DE7D6A" w:rsidP="004B5F25">
      <w:pPr>
        <w:rPr>
          <w:b/>
          <w:bCs/>
        </w:rPr>
      </w:pPr>
    </w:p>
    <w:p w:rsidR="00AD40B2" w:rsidRDefault="004B5F25" w:rsidP="004B5F25">
      <w:pPr>
        <w:rPr>
          <w:b/>
          <w:bCs/>
        </w:rPr>
      </w:pPr>
      <w:r w:rsidRPr="004B5F25">
        <w:rPr>
          <w:b/>
          <w:bCs/>
        </w:rPr>
        <w:lastRenderedPageBreak/>
        <w:t xml:space="preserve">Submission Details </w:t>
      </w:r>
    </w:p>
    <w:p w:rsidR="004B5F25" w:rsidRDefault="004B5F25" w:rsidP="004B5F25">
      <w:pPr>
        <w:rPr>
          <w:b/>
          <w:bCs/>
        </w:rPr>
      </w:pPr>
      <w:r w:rsidRPr="004B5F25">
        <w:rPr>
          <w:b/>
          <w:bCs/>
        </w:rPr>
        <w:t xml:space="preserve">[To be completed </w:t>
      </w:r>
      <w:r w:rsidR="00AD40B2">
        <w:rPr>
          <w:b/>
          <w:bCs/>
        </w:rPr>
        <w:t xml:space="preserve">by Knowledge and Library Service </w:t>
      </w:r>
      <w:r w:rsidRPr="004B5F25">
        <w:rPr>
          <w:b/>
          <w:bCs/>
        </w:rPr>
        <w:t>at the point of submission]</w:t>
      </w:r>
    </w:p>
    <w:p w:rsidR="00AD40B2" w:rsidRPr="004B5F25" w:rsidRDefault="00AD40B2" w:rsidP="004B5F25">
      <w:pPr>
        <w:rPr>
          <w:b/>
          <w:bCs/>
        </w:rPr>
      </w:pPr>
    </w:p>
    <w:p w:rsidR="004B5F25" w:rsidRDefault="004B5F25" w:rsidP="004B5F25"/>
    <w:p w:rsidR="00D07366" w:rsidRPr="00D07366" w:rsidRDefault="00D07366" w:rsidP="004B5F25">
      <w:pPr>
        <w:rPr>
          <w:i/>
          <w:iCs/>
        </w:rPr>
      </w:pPr>
      <w:bookmarkStart w:id="1" w:name="_Hlk75787540"/>
      <w:r>
        <w:t xml:space="preserve">Name of </w:t>
      </w:r>
      <w:bookmarkEnd w:id="1"/>
      <w:r>
        <w:t xml:space="preserve">Organisation </w:t>
      </w:r>
      <w:r>
        <w:tab/>
      </w:r>
      <w:r>
        <w:tab/>
      </w:r>
      <w:r>
        <w:tab/>
      </w:r>
      <w:r w:rsidR="00A6134E">
        <w:rPr>
          <w:rFonts w:cs="Arial"/>
        </w:rPr>
        <w:t>Royal United Hospitals Bath NHS Foundation Trust</w:t>
      </w:r>
    </w:p>
    <w:p w:rsidR="00D07366" w:rsidRDefault="00D07366" w:rsidP="004B5F25"/>
    <w:p w:rsidR="00D07366" w:rsidRDefault="00D07366" w:rsidP="004B5F25">
      <w:pPr>
        <w:rPr>
          <w:i/>
          <w:iCs/>
        </w:rPr>
      </w:pPr>
      <w:r>
        <w:t>Knowledge and Library Service Contact Email</w:t>
      </w:r>
      <w:r>
        <w:tab/>
      </w:r>
      <w:r>
        <w:tab/>
      </w:r>
      <w:r w:rsidRPr="0089542C">
        <w:rPr>
          <w:i/>
          <w:iCs/>
        </w:rPr>
        <w:t>[</w:t>
      </w:r>
      <w:r w:rsidR="00A6134E">
        <w:rPr>
          <w:i/>
          <w:iCs/>
        </w:rPr>
        <w:t>lisa.hirst2@nhs.net</w:t>
      </w:r>
      <w:r>
        <w:rPr>
          <w:i/>
          <w:iCs/>
        </w:rPr>
        <w:t>]</w:t>
      </w:r>
    </w:p>
    <w:p w:rsidR="00D07366" w:rsidRDefault="00D07366" w:rsidP="004B5F25">
      <w:pPr>
        <w:rPr>
          <w:i/>
          <w:iCs/>
        </w:rPr>
      </w:pPr>
    </w:p>
    <w:p w:rsidR="00D07366" w:rsidRDefault="00D07366" w:rsidP="004B5F25">
      <w:r>
        <w:t>NHS Region</w:t>
      </w:r>
      <w:r>
        <w:tab/>
      </w:r>
      <w:r>
        <w:tab/>
      </w:r>
      <w:r>
        <w:tab/>
      </w:r>
      <w:r>
        <w:tab/>
      </w:r>
      <w:r>
        <w:tab/>
      </w:r>
      <w:r>
        <w:tab/>
      </w:r>
      <w:r>
        <w:tab/>
      </w:r>
      <w:bookmarkStart w:id="2" w:name="_Hlk75787789"/>
      <w:sdt>
        <w:sdtPr>
          <w:alias w:val="NHS Region"/>
          <w:tag w:val="NHS Region"/>
          <w:id w:val="-1392417017"/>
          <w:placeholder>
            <w:docPart w:val="DefaultPlaceholder_-1854013438"/>
          </w:placeholder>
          <w:comboBox>
            <w:listItem w:value="Choose an item."/>
            <w:listItem w:displayText="East of England" w:value="East of England"/>
            <w:listItem w:displayText="London" w:value="London"/>
            <w:listItem w:displayText="Midlands" w:value="Midlands"/>
            <w:listItem w:displayText="North East" w:value="North East"/>
            <w:listItem w:displayText="North West" w:value="North West"/>
            <w:listItem w:displayText="South East" w:value="South East"/>
            <w:listItem w:displayText="South West" w:value="South West"/>
          </w:comboBox>
        </w:sdtPr>
        <w:sdtEndPr/>
        <w:sdtContent>
          <w:r w:rsidR="00A6134E">
            <w:t>South West</w:t>
          </w:r>
        </w:sdtContent>
      </w:sdt>
      <w:bookmarkEnd w:id="2"/>
    </w:p>
    <w:p w:rsidR="00D07366" w:rsidRDefault="00D07366" w:rsidP="004B5F25"/>
    <w:p w:rsidR="00D07366" w:rsidRPr="00A6134E" w:rsidRDefault="00D07366" w:rsidP="004B5F25">
      <w:pPr>
        <w:rPr>
          <w:b/>
          <w:bCs/>
          <w:i/>
          <w:iCs/>
        </w:rPr>
      </w:pPr>
      <w:r>
        <w:t>Title of Case Study</w:t>
      </w:r>
      <w:r>
        <w:tab/>
      </w:r>
      <w:r>
        <w:tab/>
      </w:r>
      <w:r>
        <w:tab/>
      </w:r>
      <w:r>
        <w:tab/>
      </w:r>
      <w:r>
        <w:tab/>
      </w:r>
      <w:r>
        <w:tab/>
      </w:r>
      <w:r w:rsidR="00A6134E" w:rsidRPr="00A6134E">
        <w:rPr>
          <w:i/>
          <w:iCs/>
        </w:rPr>
        <w:t>Surveillance of renal TSC related AML</w:t>
      </w:r>
    </w:p>
    <w:p w:rsidR="00D07366" w:rsidRDefault="00D07366" w:rsidP="004B5F25">
      <w:pPr>
        <w:rPr>
          <w:i/>
          <w:iCs/>
        </w:rPr>
      </w:pPr>
    </w:p>
    <w:p w:rsidR="00D07366" w:rsidRDefault="00D07366" w:rsidP="004B5F25">
      <w:r>
        <w:t>Sector</w:t>
      </w:r>
      <w:r>
        <w:tab/>
      </w:r>
      <w:r>
        <w:tab/>
      </w:r>
      <w:r>
        <w:tab/>
      </w:r>
      <w:r>
        <w:tab/>
      </w:r>
      <w:r>
        <w:tab/>
      </w:r>
      <w:r>
        <w:tab/>
      </w:r>
      <w:r>
        <w:tab/>
      </w:r>
      <w:r>
        <w:tab/>
      </w:r>
      <w:sdt>
        <w:sdtPr>
          <w:alias w:val="Sectors"/>
          <w:tag w:val="Sectors"/>
          <w:id w:val="1496924961"/>
          <w:placeholder>
            <w:docPart w:val="DefaultPlaceholder_-1854013438"/>
          </w:placeholder>
          <w:comboBox>
            <w:listItem w:value="Choose an item."/>
            <w:listItem w:displayText="Acute" w:value="Acute"/>
            <w:listItem w:displayText="Acute and Community" w:value="Acute and Community"/>
            <w:listItem w:displayText="Ambulance" w:value="Ambulance"/>
            <w:listItem w:displayText="Care Trust" w:value="Care Trust"/>
            <w:listItem w:displayText="Clinical Commissioning Group / Commissioning" w:value="Clinical Commissioning Group / Commissioning"/>
            <w:listItem w:displayText="Community " w:value="Community "/>
            <w:listItem w:displayText="Cross Sector" w:value="Cross Sector"/>
            <w:listItem w:displayText="HEE / ALB" w:value="HEE / ALB"/>
            <w:listItem w:displayText="Mental Health" w:value="Mental Health"/>
            <w:listItem w:displayText="Mental Health / Learning Disability" w:value="Mental Health / Learning Disability"/>
            <w:listItem w:displayText="Mental Health / Social Care" w:value="Mental Health / Social Care"/>
            <w:listItem w:displayText="Primary Care" w:value="Primary Care"/>
            <w:listItem w:displayText="Public Health" w:value="Public Health"/>
            <w:listItem w:displayText="Other" w:value="Other"/>
          </w:comboBox>
        </w:sdtPr>
        <w:sdtEndPr/>
        <w:sdtContent>
          <w:r w:rsidR="00A6134E">
            <w:t>Acute</w:t>
          </w:r>
        </w:sdtContent>
      </w:sdt>
    </w:p>
    <w:p w:rsidR="00D07366" w:rsidRDefault="00D07366" w:rsidP="004B5F25"/>
    <w:p w:rsidR="00D07366" w:rsidRDefault="00D07366" w:rsidP="004B5F25">
      <w:r>
        <w:t>Group Impacted</w:t>
      </w:r>
      <w:r w:rsidR="00AD40B2">
        <w:tab/>
      </w:r>
      <w:r w:rsidR="00AD40B2">
        <w:tab/>
      </w:r>
      <w:r w:rsidR="00AD40B2">
        <w:tab/>
      </w:r>
      <w:r w:rsidR="00AD40B2">
        <w:tab/>
      </w:r>
      <w:r w:rsidR="00AD40B2">
        <w:tab/>
      </w:r>
      <w:r w:rsidR="00AD40B2">
        <w:tab/>
      </w:r>
      <w:sdt>
        <w:sdtPr>
          <w:alias w:val="Group impacted"/>
          <w:tag w:val="Group impacted"/>
          <w:id w:val="-851025891"/>
          <w:placeholder>
            <w:docPart w:val="DefaultPlaceholder_-1854013438"/>
          </w:placeholder>
          <w:comboBox>
            <w:listItem w:value="Choose an item."/>
            <w:listItem w:displayText="Multiprofessional" w:value="Multiprofessional"/>
            <w:listItem w:displayText="Additional Clinical Services" w:value="Additional Clinical Services"/>
            <w:listItem w:displayText="Allied Health Professionals" w:value="Allied Health Professionals"/>
            <w:listItem w:displayText="Estates and Ancillary" w:value="Estates and Ancillary"/>
            <w:listItem w:displayText="Healthcare Scientists" w:value="Healthcare Scientists"/>
            <w:listItem w:displayText="Medical and Dental" w:value="Medical and Dental"/>
            <w:listItem w:displayText="Patients, Carers, and the Public" w:value="Patients, Carers, and the Public"/>
            <w:listItem w:displayText="Nursing and Midwifery" w:value="Nursing and Midwifery"/>
            <w:listItem w:displayText="Scientific and Technical" w:value="Scientific and Technical"/>
            <w:listItem w:displayText="Students" w:value="Students"/>
          </w:comboBox>
        </w:sdtPr>
        <w:sdtEndPr/>
        <w:sdtContent>
          <w:r w:rsidR="00A6134E">
            <w:t>Medical and Dental</w:t>
          </w:r>
        </w:sdtContent>
      </w:sdt>
    </w:p>
    <w:p w:rsidR="00D07366" w:rsidRDefault="00D07366" w:rsidP="004B5F25"/>
    <w:p w:rsidR="00D07366" w:rsidRDefault="00D07366" w:rsidP="004B5F25">
      <w:r>
        <w:t>Impact Types</w:t>
      </w:r>
      <w:r w:rsidR="00AD40B2">
        <w:t xml:space="preserve"> </w:t>
      </w:r>
      <w:r w:rsidR="00AD40B2">
        <w:tab/>
      </w:r>
      <w:r w:rsidR="00AD40B2">
        <w:tab/>
      </w:r>
      <w:r w:rsidR="00AD40B2">
        <w:tab/>
      </w:r>
      <w:r w:rsidR="00AD40B2">
        <w:tab/>
      </w:r>
      <w:r w:rsidR="00AD40B2">
        <w:tab/>
      </w:r>
      <w:r w:rsidR="00AD40B2">
        <w:tab/>
        <w:t>[Please select any which apply]</w:t>
      </w:r>
      <w:r w:rsidR="00AD40B2">
        <w:tab/>
      </w:r>
      <w:r w:rsidR="00AD40B2">
        <w:tab/>
      </w:r>
      <w:r w:rsidR="00AD40B2">
        <w:tab/>
      </w:r>
      <w:r w:rsidR="00AD40B2">
        <w:tab/>
      </w:r>
      <w:r w:rsidR="00AD40B2">
        <w:tab/>
      </w:r>
    </w:p>
    <w:p w:rsidR="00AD40B2" w:rsidRPr="00AD40B2" w:rsidRDefault="00AD40B2" w:rsidP="00AD40B2">
      <w:pPr>
        <w:shd w:val="clear" w:color="auto" w:fill="FFFFFF"/>
        <w:ind w:left="720"/>
      </w:pPr>
      <w:r w:rsidRPr="00AD40B2">
        <w:rPr>
          <w:rFonts w:ascii="Source Sans Pro" w:eastAsia="Times New Roman" w:hAnsi="Source Sans Pro" w:cs="Times New Roman"/>
          <w:color w:val="14141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8pt" o:ole="">
            <v:imagedata r:id="rId13" o:title=""/>
          </v:shape>
          <w:control r:id="rId14" w:name="DefaultOcxName9" w:shapeid="_x0000_i1048"/>
        </w:object>
      </w:r>
      <w:proofErr w:type="gramStart"/>
      <w:r w:rsidRPr="00AD40B2">
        <w:t>Contributed to personal or professional development.</w:t>
      </w:r>
      <w:proofErr w:type="gramEnd"/>
    </w:p>
    <w:p w:rsidR="00AD40B2" w:rsidRPr="00AD40B2" w:rsidRDefault="00AD40B2" w:rsidP="00AD40B2">
      <w:pPr>
        <w:shd w:val="clear" w:color="auto" w:fill="FFFFFF"/>
        <w:ind w:left="720"/>
      </w:pPr>
      <w:r w:rsidRPr="00AD40B2">
        <w:object w:dxaOrig="225" w:dyaOrig="225">
          <v:shape id="_x0000_i1051" type="#_x0000_t75" style="width:20.25pt;height:18pt" o:ole="">
            <v:imagedata r:id="rId13" o:title=""/>
          </v:shape>
          <w:control r:id="rId15" w:name="DefaultOcxName" w:shapeid="_x0000_i1051"/>
        </w:object>
      </w:r>
      <w:proofErr w:type="gramStart"/>
      <w:r w:rsidRPr="00AD40B2">
        <w:t>Contributed to service development or delivery.</w:t>
      </w:r>
      <w:proofErr w:type="gramEnd"/>
    </w:p>
    <w:p w:rsidR="00AD40B2" w:rsidRPr="00AD40B2" w:rsidRDefault="00AD40B2" w:rsidP="00AD40B2">
      <w:pPr>
        <w:shd w:val="clear" w:color="auto" w:fill="FFFFFF"/>
        <w:ind w:left="720"/>
      </w:pPr>
      <w:r w:rsidRPr="00AD40B2">
        <w:object w:dxaOrig="225" w:dyaOrig="225">
          <v:shape id="_x0000_i1054" type="#_x0000_t75" style="width:20.25pt;height:18pt" o:ole="">
            <v:imagedata r:id="rId16" o:title=""/>
          </v:shape>
          <w:control r:id="rId17" w:name="DefaultOcxName1" w:shapeid="_x0000_i1054"/>
        </w:object>
      </w:r>
      <w:proofErr w:type="gramStart"/>
      <w:r w:rsidRPr="00AD40B2">
        <w:t>Facilitated collaborative working.</w:t>
      </w:r>
      <w:proofErr w:type="gramEnd"/>
    </w:p>
    <w:p w:rsidR="00AD40B2" w:rsidRPr="00AD40B2" w:rsidRDefault="00AD40B2" w:rsidP="00AD40B2">
      <w:pPr>
        <w:shd w:val="clear" w:color="auto" w:fill="FFFFFF"/>
        <w:ind w:left="720"/>
      </w:pPr>
      <w:r w:rsidRPr="00AD40B2">
        <w:object w:dxaOrig="225" w:dyaOrig="225">
          <v:shape id="_x0000_i1057" type="#_x0000_t75" style="width:20.25pt;height:18pt" o:ole="">
            <v:imagedata r:id="rId16" o:title=""/>
          </v:shape>
          <w:control r:id="rId18" w:name="DefaultOcxName2" w:shapeid="_x0000_i1057"/>
        </w:object>
      </w:r>
      <w:proofErr w:type="gramStart"/>
      <w:r w:rsidRPr="00AD40B2">
        <w:t>Health Information for Patients, Carers and the Public.</w:t>
      </w:r>
      <w:proofErr w:type="gramEnd"/>
    </w:p>
    <w:p w:rsidR="00AD40B2" w:rsidRPr="00AD40B2" w:rsidRDefault="00AD40B2" w:rsidP="00AD40B2">
      <w:pPr>
        <w:shd w:val="clear" w:color="auto" w:fill="FFFFFF"/>
        <w:ind w:left="720"/>
      </w:pPr>
      <w:r w:rsidRPr="00AD40B2">
        <w:object w:dxaOrig="225" w:dyaOrig="225">
          <v:shape id="_x0000_i1060" type="#_x0000_t75" style="width:20.25pt;height:18pt" o:ole="">
            <v:imagedata r:id="rId13" o:title=""/>
          </v:shape>
          <w:control r:id="rId19" w:name="DefaultOcxName3" w:shapeid="_x0000_i1060"/>
        </w:object>
      </w:r>
      <w:proofErr w:type="gramStart"/>
      <w:r w:rsidRPr="00AD40B2">
        <w:t>Improved the quality of patient care.</w:t>
      </w:r>
      <w:proofErr w:type="gramEnd"/>
    </w:p>
    <w:p w:rsidR="00AD40B2" w:rsidRPr="00AD40B2" w:rsidRDefault="00AD40B2" w:rsidP="00AD40B2">
      <w:pPr>
        <w:shd w:val="clear" w:color="auto" w:fill="FFFFFF"/>
        <w:ind w:left="720"/>
      </w:pPr>
      <w:r w:rsidRPr="00AD40B2">
        <w:object w:dxaOrig="225" w:dyaOrig="225">
          <v:shape id="_x0000_i1063" type="#_x0000_t75" style="width:20.25pt;height:18pt" o:ole="">
            <v:imagedata r:id="rId13" o:title=""/>
          </v:shape>
          <w:control r:id="rId20" w:name="DefaultOcxName4" w:shapeid="_x0000_i1063"/>
        </w:object>
      </w:r>
      <w:proofErr w:type="gramStart"/>
      <w:r w:rsidRPr="00AD40B2">
        <w:t>Mobilising evidence and organisational knowledge.</w:t>
      </w:r>
      <w:proofErr w:type="gramEnd"/>
    </w:p>
    <w:p w:rsidR="00AD40B2" w:rsidRPr="00AD40B2" w:rsidRDefault="00AD40B2" w:rsidP="00AD40B2">
      <w:pPr>
        <w:shd w:val="clear" w:color="auto" w:fill="FFFFFF"/>
        <w:ind w:left="720"/>
      </w:pPr>
      <w:r w:rsidRPr="00AD40B2">
        <w:object w:dxaOrig="225" w:dyaOrig="225">
          <v:shape id="_x0000_i1066" type="#_x0000_t75" style="width:20.25pt;height:18pt" o:ole="">
            <v:imagedata r:id="rId13" o:title=""/>
          </v:shape>
          <w:control r:id="rId21" w:name="DefaultOcxName5" w:shapeid="_x0000_i1066"/>
        </w:object>
      </w:r>
      <w:r w:rsidRPr="00AD40B2">
        <w:t>More informed decision making.</w:t>
      </w:r>
    </w:p>
    <w:p w:rsidR="00AD40B2" w:rsidRPr="00AD40B2" w:rsidRDefault="00AD40B2" w:rsidP="00AD40B2">
      <w:pPr>
        <w:shd w:val="clear" w:color="auto" w:fill="FFFFFF"/>
        <w:ind w:left="720"/>
      </w:pPr>
      <w:r w:rsidRPr="00AD40B2">
        <w:object w:dxaOrig="225" w:dyaOrig="225">
          <v:shape id="_x0000_i1069" type="#_x0000_t75" style="width:20.25pt;height:18pt" o:ole="">
            <v:imagedata r:id="rId13" o:title=""/>
          </v:shape>
          <w:control r:id="rId22" w:name="DefaultOcxName6" w:shapeid="_x0000_i1069"/>
        </w:object>
      </w:r>
      <w:proofErr w:type="gramStart"/>
      <w:r w:rsidRPr="00AD40B2">
        <w:t>Productivity and efficiency.</w:t>
      </w:r>
      <w:proofErr w:type="gramEnd"/>
    </w:p>
    <w:p w:rsidR="00AD40B2" w:rsidRPr="00AD40B2" w:rsidRDefault="00AD40B2" w:rsidP="00AD40B2">
      <w:pPr>
        <w:shd w:val="clear" w:color="auto" w:fill="FFFFFF"/>
        <w:ind w:left="720"/>
      </w:pPr>
      <w:r w:rsidRPr="00AD40B2">
        <w:object w:dxaOrig="225" w:dyaOrig="225">
          <v:shape id="_x0000_i1072" type="#_x0000_t75" style="width:20.25pt;height:18pt" o:ole="">
            <v:imagedata r:id="rId16" o:title=""/>
          </v:shape>
          <w:control r:id="rId23" w:name="DefaultOcxName7" w:shapeid="_x0000_i1072"/>
        </w:object>
      </w:r>
      <w:r w:rsidRPr="00AD40B2">
        <w:t>Reduced risk or improved safety.</w:t>
      </w:r>
    </w:p>
    <w:p w:rsidR="00AD40B2" w:rsidRPr="00AD40B2" w:rsidRDefault="00AD40B2" w:rsidP="00AD40B2">
      <w:pPr>
        <w:shd w:val="clear" w:color="auto" w:fill="FFFFFF"/>
        <w:ind w:left="720"/>
      </w:pPr>
      <w:r w:rsidRPr="00AD40B2">
        <w:object w:dxaOrig="225" w:dyaOrig="225">
          <v:shape id="_x0000_i1075" type="#_x0000_t75" style="width:20.25pt;height:18pt" o:ole="">
            <v:imagedata r:id="rId13" o:title=""/>
          </v:shape>
          <w:control r:id="rId24" w:name="DefaultOcxName71" w:shapeid="_x0000_i1075"/>
        </w:object>
      </w:r>
      <w:r w:rsidRPr="00AD40B2">
        <w:t>Saved money or contributed to financial effectiveness.</w:t>
      </w:r>
    </w:p>
    <w:p w:rsidR="00AD40B2" w:rsidRPr="00AD40B2" w:rsidRDefault="00AD40B2" w:rsidP="00AD40B2">
      <w:pPr>
        <w:shd w:val="clear" w:color="auto" w:fill="FFFFFF"/>
        <w:ind w:left="720"/>
      </w:pPr>
      <w:r w:rsidRPr="00AD40B2">
        <w:object w:dxaOrig="225" w:dyaOrig="225">
          <v:shape id="_x0000_i1078" type="#_x0000_t75" style="width:20.25pt;height:18pt" o:ole="">
            <v:imagedata r:id="rId16" o:title=""/>
          </v:shape>
          <w:control r:id="rId25" w:name="DefaultOcxName8" w:shapeid="_x0000_i1078"/>
        </w:object>
      </w:r>
      <w:r w:rsidRPr="00AD40B2">
        <w:t>Improved health and wellbeing of staff and learners</w:t>
      </w:r>
    </w:p>
    <w:p w:rsidR="00D07366" w:rsidRDefault="00D07366" w:rsidP="004B5F25"/>
    <w:p w:rsidR="00D07366" w:rsidRDefault="00D07366" w:rsidP="004B5F25">
      <w:pPr>
        <w:rPr>
          <w:rFonts w:ascii="Source Sans Pro" w:hAnsi="Source Sans Pro"/>
          <w:color w:val="141412"/>
          <w:shd w:val="clear" w:color="auto" w:fill="FFFFFF"/>
        </w:rPr>
      </w:pPr>
      <w:r>
        <w:rPr>
          <w:rFonts w:ascii="Source Sans Pro" w:hAnsi="Source Sans Pro"/>
          <w:color w:val="141412"/>
          <w:shd w:val="clear" w:color="auto" w:fill="FFFFFF"/>
        </w:rPr>
        <w:t>I have consent from individuals referred to in this case study to share details nationally for advocacy and promotion</w:t>
      </w:r>
      <w:r w:rsidR="00AD40B2">
        <w:rPr>
          <w:rFonts w:ascii="Source Sans Pro" w:hAnsi="Source Sans Pro"/>
          <w:color w:val="141412"/>
          <w:shd w:val="clear" w:color="auto" w:fill="FFFFFF"/>
        </w:rPr>
        <w:t>.</w:t>
      </w:r>
    </w:p>
    <w:p w:rsidR="00AD40B2" w:rsidRDefault="00AD40B2" w:rsidP="004B5F25">
      <w:pPr>
        <w:rPr>
          <w:rFonts w:ascii="Source Sans Pro" w:hAnsi="Source Sans Pro"/>
          <w:color w:val="141412"/>
          <w:shd w:val="clear" w:color="auto" w:fill="FFFFFF"/>
        </w:rPr>
      </w:pPr>
    </w:p>
    <w:sdt>
      <w:sdtPr>
        <w:rPr>
          <w:rFonts w:ascii="Source Sans Pro" w:hAnsi="Source Sans Pro"/>
          <w:color w:val="141412"/>
          <w:shd w:val="clear" w:color="auto" w:fill="FFFFFF"/>
        </w:rPr>
        <w:alias w:val="Consent obtained"/>
        <w:tag w:val="Consent obtained"/>
        <w:id w:val="373823302"/>
        <w:placeholder>
          <w:docPart w:val="DefaultPlaceholder_-1854013438"/>
        </w:placeholder>
        <w:comboBox>
          <w:listItem w:value="Choose an item."/>
          <w:listItem w:displayText="Yes" w:value="Yes"/>
          <w:listItem w:displayText="No" w:value="No"/>
        </w:comboBox>
      </w:sdtPr>
      <w:sdtEndPr/>
      <w:sdtContent>
        <w:p w:rsidR="00AD40B2" w:rsidRDefault="00A6134E" w:rsidP="004B5F25">
          <w:pPr>
            <w:rPr>
              <w:rFonts w:ascii="Source Sans Pro" w:hAnsi="Source Sans Pro"/>
              <w:color w:val="141412"/>
              <w:shd w:val="clear" w:color="auto" w:fill="FFFFFF"/>
            </w:rPr>
          </w:pPr>
          <w:r>
            <w:rPr>
              <w:rFonts w:ascii="Source Sans Pro" w:hAnsi="Source Sans Pro"/>
              <w:color w:val="141412"/>
              <w:shd w:val="clear" w:color="auto" w:fill="FFFFFF"/>
            </w:rPr>
            <w:t>Yes</w:t>
          </w:r>
        </w:p>
      </w:sdtContent>
    </w:sdt>
    <w:p w:rsidR="00AD40B2" w:rsidRDefault="00AD40B2" w:rsidP="004B5F25">
      <w:pPr>
        <w:rPr>
          <w:rFonts w:ascii="Source Sans Pro" w:hAnsi="Source Sans Pro"/>
          <w:color w:val="141412"/>
          <w:shd w:val="clear" w:color="auto" w:fill="FFFFFF"/>
        </w:rPr>
      </w:pPr>
    </w:p>
    <w:p w:rsidR="00D07366" w:rsidRDefault="00D07366" w:rsidP="004B5F25">
      <w:pPr>
        <w:rPr>
          <w:rFonts w:ascii="Source Sans Pro" w:hAnsi="Source Sans Pro"/>
          <w:color w:val="141412"/>
          <w:shd w:val="clear" w:color="auto" w:fill="FFFFFF"/>
        </w:rPr>
      </w:pPr>
    </w:p>
    <w:p w:rsidR="00D07366" w:rsidRDefault="00D07366" w:rsidP="004B5F25">
      <w:pPr>
        <w:rPr>
          <w:rFonts w:ascii="Source Sans Pro" w:hAnsi="Source Sans Pro"/>
          <w:color w:val="141412"/>
          <w:shd w:val="clear" w:color="auto" w:fill="FFFFFF"/>
        </w:rPr>
      </w:pPr>
    </w:p>
    <w:sectPr w:rsidR="00D07366" w:rsidSect="00933394">
      <w:footerReference w:type="even" r:id="rId26"/>
      <w:footerReference w:type="default" r:id="rId27"/>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63" w:rsidRDefault="00225B63" w:rsidP="00AC72FD">
      <w:r>
        <w:separator/>
      </w:r>
    </w:p>
  </w:endnote>
  <w:endnote w:type="continuationSeparator" w:id="0">
    <w:p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D525CF">
      <w:rPr>
        <w:rStyle w:val="PageNumber"/>
        <w:noProof/>
        <w:color w:val="365F91" w:themeColor="accent1" w:themeShade="BF"/>
      </w:rPr>
      <w:t>3</w:t>
    </w:r>
    <w:r w:rsidRPr="00EA29F1">
      <w:rPr>
        <w:rStyle w:val="PageNumber"/>
        <w:color w:val="365F91" w:themeColor="accent1" w:themeShade="BF"/>
      </w:rPr>
      <w:fldChar w:fldCharType="end"/>
    </w:r>
  </w:p>
  <w:p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63" w:rsidRDefault="00225B63" w:rsidP="00AC72FD">
      <w:r>
        <w:separator/>
      </w:r>
    </w:p>
  </w:footnote>
  <w:footnote w:type="continuationSeparator" w:id="0">
    <w:p w:rsidR="00225B63" w:rsidRDefault="00225B63" w:rsidP="00AC7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6125B"/>
    <w:multiLevelType w:val="hybridMultilevel"/>
    <w:tmpl w:val="CAC468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BFB24F9"/>
    <w:multiLevelType w:val="hybridMultilevel"/>
    <w:tmpl w:val="2A0A4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B5F25"/>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134E"/>
    <w:rsid w:val="00A628C2"/>
    <w:rsid w:val="00A76867"/>
    <w:rsid w:val="00A77B67"/>
    <w:rsid w:val="00A90546"/>
    <w:rsid w:val="00A97722"/>
    <w:rsid w:val="00AB0B9B"/>
    <w:rsid w:val="00AB29B5"/>
    <w:rsid w:val="00AC72FD"/>
    <w:rsid w:val="00AD3004"/>
    <w:rsid w:val="00AD40B2"/>
    <w:rsid w:val="00AF3F05"/>
    <w:rsid w:val="00B44DC5"/>
    <w:rsid w:val="00B617B1"/>
    <w:rsid w:val="00BB7F13"/>
    <w:rsid w:val="00C01F28"/>
    <w:rsid w:val="00C1348A"/>
    <w:rsid w:val="00C33E2A"/>
    <w:rsid w:val="00CA7EEA"/>
    <w:rsid w:val="00CF0D9A"/>
    <w:rsid w:val="00CF74D1"/>
    <w:rsid w:val="00D07366"/>
    <w:rsid w:val="00D40C54"/>
    <w:rsid w:val="00D525CF"/>
    <w:rsid w:val="00D644AF"/>
    <w:rsid w:val="00D67494"/>
    <w:rsid w:val="00D73F6D"/>
    <w:rsid w:val="00D743DB"/>
    <w:rsid w:val="00DA3AA8"/>
    <w:rsid w:val="00DA527C"/>
    <w:rsid w:val="00DB698C"/>
    <w:rsid w:val="00DE7D6A"/>
    <w:rsid w:val="00DF6A80"/>
    <w:rsid w:val="00E405D9"/>
    <w:rsid w:val="00EA29F1"/>
    <w:rsid w:val="00EA3FAA"/>
    <w:rsid w:val="00ED2809"/>
    <w:rsid w:val="00ED32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table" w:styleId="TableGrid">
    <w:name w:val="Table Grid"/>
    <w:basedOn w:val="TableNormal"/>
    <w:uiPriority w:val="59"/>
    <w:rsid w:val="00D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3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table" w:styleId="TableGrid">
    <w:name w:val="Table Grid"/>
    <w:basedOn w:val="TableNormal"/>
    <w:uiPriority w:val="59"/>
    <w:rsid w:val="00D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2221">
      <w:bodyDiv w:val="1"/>
      <w:marLeft w:val="0"/>
      <w:marRight w:val="0"/>
      <w:marTop w:val="0"/>
      <w:marBottom w:val="0"/>
      <w:divBdr>
        <w:top w:val="none" w:sz="0" w:space="0" w:color="auto"/>
        <w:left w:val="none" w:sz="0" w:space="0" w:color="auto"/>
        <w:bottom w:val="none" w:sz="0" w:space="0" w:color="auto"/>
        <w:right w:val="none" w:sz="0" w:space="0" w:color="auto"/>
      </w:divBdr>
      <w:divsChild>
        <w:div w:id="208222733">
          <w:marLeft w:val="75"/>
          <w:marRight w:val="75"/>
          <w:marTop w:val="0"/>
          <w:marBottom w:val="75"/>
          <w:divBdr>
            <w:top w:val="none" w:sz="0" w:space="0" w:color="auto"/>
            <w:left w:val="none" w:sz="0" w:space="0" w:color="auto"/>
            <w:bottom w:val="none" w:sz="0" w:space="0" w:color="auto"/>
            <w:right w:val="none" w:sz="0" w:space="0" w:color="auto"/>
          </w:divBdr>
        </w:div>
        <w:div w:id="259720533">
          <w:marLeft w:val="75"/>
          <w:marRight w:val="75"/>
          <w:marTop w:val="0"/>
          <w:marBottom w:val="75"/>
          <w:divBdr>
            <w:top w:val="none" w:sz="0" w:space="0" w:color="auto"/>
            <w:left w:val="none" w:sz="0" w:space="0" w:color="auto"/>
            <w:bottom w:val="none" w:sz="0" w:space="0" w:color="auto"/>
            <w:right w:val="none" w:sz="0" w:space="0" w:color="auto"/>
          </w:divBdr>
        </w:div>
        <w:div w:id="672219615">
          <w:marLeft w:val="75"/>
          <w:marRight w:val="75"/>
          <w:marTop w:val="0"/>
          <w:marBottom w:val="75"/>
          <w:divBdr>
            <w:top w:val="none" w:sz="0" w:space="0" w:color="auto"/>
            <w:left w:val="none" w:sz="0" w:space="0" w:color="auto"/>
            <w:bottom w:val="none" w:sz="0" w:space="0" w:color="auto"/>
            <w:right w:val="none" w:sz="0" w:space="0" w:color="auto"/>
          </w:divBdr>
        </w:div>
        <w:div w:id="326981102">
          <w:marLeft w:val="75"/>
          <w:marRight w:val="75"/>
          <w:marTop w:val="0"/>
          <w:marBottom w:val="75"/>
          <w:divBdr>
            <w:top w:val="none" w:sz="0" w:space="0" w:color="auto"/>
            <w:left w:val="none" w:sz="0" w:space="0" w:color="auto"/>
            <w:bottom w:val="none" w:sz="0" w:space="0" w:color="auto"/>
            <w:right w:val="none" w:sz="0" w:space="0" w:color="auto"/>
          </w:divBdr>
        </w:div>
        <w:div w:id="762146004">
          <w:marLeft w:val="75"/>
          <w:marRight w:val="75"/>
          <w:marTop w:val="0"/>
          <w:marBottom w:val="75"/>
          <w:divBdr>
            <w:top w:val="none" w:sz="0" w:space="0" w:color="auto"/>
            <w:left w:val="none" w:sz="0" w:space="0" w:color="auto"/>
            <w:bottom w:val="none" w:sz="0" w:space="0" w:color="auto"/>
            <w:right w:val="none" w:sz="0" w:space="0" w:color="auto"/>
          </w:divBdr>
        </w:div>
        <w:div w:id="402292582">
          <w:marLeft w:val="75"/>
          <w:marRight w:val="75"/>
          <w:marTop w:val="0"/>
          <w:marBottom w:val="75"/>
          <w:divBdr>
            <w:top w:val="none" w:sz="0" w:space="0" w:color="auto"/>
            <w:left w:val="none" w:sz="0" w:space="0" w:color="auto"/>
            <w:bottom w:val="none" w:sz="0" w:space="0" w:color="auto"/>
            <w:right w:val="none" w:sz="0" w:space="0" w:color="auto"/>
          </w:divBdr>
        </w:div>
        <w:div w:id="455103741">
          <w:marLeft w:val="75"/>
          <w:marRight w:val="75"/>
          <w:marTop w:val="0"/>
          <w:marBottom w:val="75"/>
          <w:divBdr>
            <w:top w:val="none" w:sz="0" w:space="0" w:color="auto"/>
            <w:left w:val="none" w:sz="0" w:space="0" w:color="auto"/>
            <w:bottom w:val="none" w:sz="0" w:space="0" w:color="auto"/>
            <w:right w:val="none" w:sz="0" w:space="0" w:color="auto"/>
          </w:divBdr>
        </w:div>
        <w:div w:id="538786219">
          <w:marLeft w:val="75"/>
          <w:marRight w:val="75"/>
          <w:marTop w:val="0"/>
          <w:marBottom w:val="75"/>
          <w:divBdr>
            <w:top w:val="none" w:sz="0" w:space="0" w:color="auto"/>
            <w:left w:val="none" w:sz="0" w:space="0" w:color="auto"/>
            <w:bottom w:val="none" w:sz="0" w:space="0" w:color="auto"/>
            <w:right w:val="none" w:sz="0" w:space="0" w:color="auto"/>
          </w:divBdr>
        </w:div>
        <w:div w:id="1592471177">
          <w:marLeft w:val="75"/>
          <w:marRight w:val="75"/>
          <w:marTop w:val="0"/>
          <w:marBottom w:val="75"/>
          <w:divBdr>
            <w:top w:val="none" w:sz="0" w:space="0" w:color="auto"/>
            <w:left w:val="none" w:sz="0" w:space="0" w:color="auto"/>
            <w:bottom w:val="none" w:sz="0" w:space="0" w:color="auto"/>
            <w:right w:val="none" w:sz="0" w:space="0" w:color="auto"/>
          </w:divBdr>
        </w:div>
        <w:div w:id="1666785046">
          <w:marLeft w:val="75"/>
          <w:marRight w:val="75"/>
          <w:marTop w:val="0"/>
          <w:marBottom w:val="75"/>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control" Target="activeX/activeX4.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ntrol" Target="activeX/activeX7.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control" Target="activeX/activeX3.xml"/><Relationship Id="rId25" Type="http://schemas.openxmlformats.org/officeDocument/2006/relationships/control" Target="activeX/activeX1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control" Target="activeX/activeX6.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ontrol" Target="activeX/activeX10.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footer" Target="footer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38"/>
        <w:category>
          <w:name w:val="General"/>
          <w:gallery w:val="placeholder"/>
        </w:category>
        <w:types>
          <w:type w:val="bbPlcHdr"/>
        </w:types>
        <w:behaviors>
          <w:behavior w:val="content"/>
        </w:behaviors>
        <w:guid w:val="{9ACF10ED-108D-4357-BCAC-FDFCEB6954A0}"/>
      </w:docPartPr>
      <w:docPartBody>
        <w:p w:rsidR="00F22BE0" w:rsidRDefault="00702E32">
          <w:r w:rsidRPr="00406E3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32"/>
    <w:rsid w:val="00702E32"/>
    <w:rsid w:val="00F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E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E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C4D4B-B1DA-430C-978E-50AD62044C9B}"/>
</file>

<file path=customXml/itemProps2.xml><?xml version="1.0" encoding="utf-8"?>
<ds:datastoreItem xmlns:ds="http://schemas.openxmlformats.org/officeDocument/2006/customXml" ds:itemID="{13DA8DFD-A23C-42FE-B2B5-51A3CDB168E1}">
  <ds:schemaRefs>
    <ds:schemaRef ds:uri="http://purl.org/dc/dcmitype/"/>
    <ds:schemaRef ds:uri="http://www.w3.org/XML/1998/namespace"/>
    <ds:schemaRef ds:uri="428f0469-a703-48e6-aa9a-8a335d8e1302"/>
    <ds:schemaRef ds:uri="dc9520e7-8fbe-4e44-8280-7196dc0f341b"/>
    <ds:schemaRef ds:uri="http://schemas.openxmlformats.org/package/2006/metadata/core-properties"/>
    <ds:schemaRef ds:uri="http://purl.org/dc/elements/1.1/"/>
    <ds:schemaRef ds:uri="http://purl.org/dc/terms/"/>
    <ds:schemaRef ds:uri="http://schemas.microsoft.com/office/2006/metadata/propertie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FFBECCD7-0FF0-409A-A308-04303FF2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Hirst, Lisa</cp:lastModifiedBy>
  <cp:revision>4</cp:revision>
  <cp:lastPrinted>2020-10-02T12:10:00Z</cp:lastPrinted>
  <dcterms:created xsi:type="dcterms:W3CDTF">2021-07-06T08:52:00Z</dcterms:created>
  <dcterms:modified xsi:type="dcterms:W3CDTF">2021-07-06T09:54:00Z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