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F6DEF" w14:textId="77777777" w:rsidR="00300DCB" w:rsidRDefault="00300DCB" w:rsidP="00300DCB">
      <w:pPr>
        <w:rPr>
          <w:rFonts w:cs="Arial"/>
          <w:b/>
          <w:sz w:val="28"/>
          <w:szCs w:val="28"/>
        </w:rPr>
      </w:pPr>
      <w:r w:rsidRPr="00300DCB">
        <w:rPr>
          <w:rFonts w:cs="Arial"/>
          <w:b/>
          <w:noProof/>
          <w:sz w:val="28"/>
          <w:szCs w:val="28"/>
          <w:lang w:eastAsia="en-GB"/>
        </w:rPr>
        <mc:AlternateContent>
          <mc:Choice Requires="wps">
            <w:drawing>
              <wp:anchor distT="0" distB="0" distL="114300" distR="114300" simplePos="0" relativeHeight="251659264" behindDoc="0" locked="0" layoutInCell="1" allowOverlap="1" wp14:anchorId="493D4014" wp14:editId="4DD01F79">
                <wp:simplePos x="0" y="0"/>
                <wp:positionH relativeFrom="column">
                  <wp:posOffset>3914775</wp:posOffset>
                </wp:positionH>
                <wp:positionV relativeFrom="paragraph">
                  <wp:posOffset>-323850</wp:posOffset>
                </wp:positionV>
                <wp:extent cx="25717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403985"/>
                        </a:xfrm>
                        <a:prstGeom prst="rect">
                          <a:avLst/>
                        </a:prstGeom>
                        <a:solidFill>
                          <a:srgbClr val="FFFFFF"/>
                        </a:solidFill>
                        <a:ln w="9525">
                          <a:noFill/>
                          <a:miter lim="800000"/>
                          <a:headEnd/>
                          <a:tailEnd/>
                        </a:ln>
                      </wps:spPr>
                      <wps:txbx>
                        <w:txbxContent>
                          <w:p w14:paraId="2EC41DFF" w14:textId="77777777" w:rsidR="00DA20FB" w:rsidRDefault="00DA20FB">
                            <w:r w:rsidRPr="00300DCB">
                              <w:rPr>
                                <w:noProof/>
                                <w:lang w:eastAsia="en-GB"/>
                              </w:rPr>
                              <w:drawing>
                                <wp:inline distT="0" distB="0" distL="0" distR="0" wp14:anchorId="1341CACC" wp14:editId="5E0D9D8B">
                                  <wp:extent cx="2423896"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6100" cy="108683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3D4014" id="_x0000_t202" coordsize="21600,21600" o:spt="202" path="m,l,21600r21600,l21600,xe">
                <v:stroke joinstyle="miter"/>
                <v:path gradientshapeok="t" o:connecttype="rect"/>
              </v:shapetype>
              <v:shape id="Text Box 2" o:spid="_x0000_s1026" type="#_x0000_t202" style="position:absolute;margin-left:308.25pt;margin-top:-25.5pt;width:20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" stroked="f">
                <v:textbox style="mso-fit-shape-to-text:t">
                  <w:txbxContent>
                    <w:p w14:paraId="2EC41DFF" w14:textId="77777777" w:rsidR="00DA20FB" w:rsidRDefault="00DA20FB">
                      <w:r w:rsidRPr="00300DCB">
                        <w:rPr>
                          <w:noProof/>
                          <w:lang w:eastAsia="en-GB"/>
                        </w:rPr>
                        <w:drawing>
                          <wp:inline distT="0" distB="0" distL="0" distR="0" wp14:anchorId="1341CACC" wp14:editId="5E0D9D8B">
                            <wp:extent cx="2423896"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6100" cy="1086837"/>
                                    </a:xfrm>
                                    <a:prstGeom prst="rect">
                                      <a:avLst/>
                                    </a:prstGeom>
                                    <a:noFill/>
                                    <a:ln>
                                      <a:noFill/>
                                    </a:ln>
                                  </pic:spPr>
                                </pic:pic>
                              </a:graphicData>
                            </a:graphic>
                          </wp:inline>
                        </w:drawing>
                      </w:r>
                    </w:p>
                  </w:txbxContent>
                </v:textbox>
              </v:shape>
            </w:pict>
          </mc:Fallback>
        </mc:AlternateContent>
      </w:r>
      <w:r>
        <w:rPr>
          <w:noProof/>
          <w:sz w:val="20"/>
          <w:szCs w:val="20"/>
          <w:lang w:eastAsia="en-GB"/>
        </w:rPr>
        <w:drawing>
          <wp:inline distT="0" distB="0" distL="0" distR="0" wp14:anchorId="4454477D" wp14:editId="70475AC7">
            <wp:extent cx="1152525" cy="1491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491967"/>
                    </a:xfrm>
                    <a:prstGeom prst="rect">
                      <a:avLst/>
                    </a:prstGeom>
                    <a:noFill/>
                    <a:ln>
                      <a:noFill/>
                    </a:ln>
                  </pic:spPr>
                </pic:pic>
              </a:graphicData>
            </a:graphic>
          </wp:inline>
        </w:drawing>
      </w:r>
    </w:p>
    <w:p w14:paraId="55E9222B" w14:textId="4D4E43F8" w:rsidR="00316153" w:rsidRDefault="00316153" w:rsidP="00300DCB">
      <w:pPr>
        <w:rPr>
          <w:rFonts w:cs="Arial"/>
          <w:b/>
          <w:sz w:val="28"/>
          <w:szCs w:val="28"/>
        </w:rPr>
      </w:pPr>
    </w:p>
    <w:p w14:paraId="4E925503" w14:textId="08EA5167" w:rsidR="00316153" w:rsidRDefault="00316153" w:rsidP="00300DCB">
      <w:pPr>
        <w:rPr>
          <w:rFonts w:cs="Arial"/>
          <w:b/>
          <w:sz w:val="28"/>
          <w:szCs w:val="28"/>
        </w:rPr>
      </w:pPr>
      <w:r>
        <w:rPr>
          <w:rFonts w:cs="Arial"/>
          <w:b/>
          <w:sz w:val="28"/>
          <w:szCs w:val="28"/>
        </w:rPr>
        <w:t>Search completed: 09/04/20</w:t>
      </w:r>
    </w:p>
    <w:p w14:paraId="2041955E" w14:textId="2953166C" w:rsidR="00316153" w:rsidRDefault="00316153" w:rsidP="00300DCB">
      <w:pPr>
        <w:rPr>
          <w:rFonts w:cs="Arial"/>
          <w:b/>
          <w:sz w:val="28"/>
          <w:szCs w:val="28"/>
        </w:rPr>
      </w:pPr>
      <w:r>
        <w:rPr>
          <w:rFonts w:cs="Arial"/>
          <w:b/>
          <w:sz w:val="28"/>
          <w:szCs w:val="28"/>
        </w:rPr>
        <w:t xml:space="preserve">Requested </w:t>
      </w:r>
      <w:proofErr w:type="gramStart"/>
      <w:r>
        <w:rPr>
          <w:rFonts w:cs="Arial"/>
          <w:b/>
          <w:sz w:val="28"/>
          <w:szCs w:val="28"/>
        </w:rPr>
        <w:t>by:</w:t>
      </w:r>
      <w:proofErr w:type="gramEnd"/>
      <w:r>
        <w:rPr>
          <w:rFonts w:cs="Arial"/>
          <w:b/>
          <w:sz w:val="28"/>
          <w:szCs w:val="28"/>
        </w:rPr>
        <w:t xml:space="preserve"> senior biochemist</w:t>
      </w:r>
    </w:p>
    <w:p w14:paraId="6BD0BC3C" w14:textId="77777777" w:rsidR="00300DCB" w:rsidRDefault="00300DCB" w:rsidP="00300DCB">
      <w:pPr>
        <w:rPr>
          <w:rFonts w:cs="Arial"/>
          <w:b/>
          <w:sz w:val="28"/>
          <w:szCs w:val="28"/>
        </w:rPr>
      </w:pPr>
      <w:r>
        <w:rPr>
          <w:rFonts w:cs="Arial"/>
          <w:b/>
          <w:noProof/>
          <w:sz w:val="28"/>
          <w:szCs w:val="28"/>
          <w:lang w:eastAsia="en-GB"/>
        </w:rPr>
        <w:t xml:space="preserve">                              </w:t>
      </w:r>
      <w:r w:rsidR="005D0E55">
        <w:rPr>
          <w:rFonts w:cs="Arial"/>
          <w:b/>
          <w:noProof/>
          <w:sz w:val="28"/>
          <w:szCs w:val="28"/>
          <w:lang w:eastAsia="en-GB"/>
        </w:rPr>
        <w:t xml:space="preserve">                              </w:t>
      </w:r>
      <w:r>
        <w:rPr>
          <w:rFonts w:cs="Arial"/>
          <w:b/>
          <w:noProof/>
          <w:sz w:val="28"/>
          <w:szCs w:val="28"/>
          <w:lang w:eastAsia="en-GB"/>
        </w:rPr>
        <w:t xml:space="preserve">                               </w:t>
      </w:r>
    </w:p>
    <w:p w14:paraId="41D24A39" w14:textId="77777777" w:rsidR="00300DCB" w:rsidRDefault="00300DCB" w:rsidP="00300DCB">
      <w:pPr>
        <w:jc w:val="center"/>
        <w:rPr>
          <w:rFonts w:cs="Arial"/>
          <w:b/>
          <w:sz w:val="32"/>
          <w:szCs w:val="32"/>
          <w:u w:val="single"/>
        </w:rPr>
      </w:pPr>
      <w:r>
        <w:rPr>
          <w:rFonts w:cs="Arial"/>
          <w:b/>
          <w:sz w:val="32"/>
          <w:szCs w:val="32"/>
          <w:u w:val="single"/>
        </w:rPr>
        <w:t>Literature search results</w:t>
      </w:r>
    </w:p>
    <w:p w14:paraId="3B76536F" w14:textId="77777777" w:rsidR="00300DCB" w:rsidRDefault="00300DCB" w:rsidP="00300DCB">
      <w:pPr>
        <w:jc w:val="center"/>
        <w:rPr>
          <w:rFonts w:cs="Arial"/>
          <w:b/>
          <w:sz w:val="28"/>
          <w:szCs w:val="28"/>
          <w:u w:val="single"/>
        </w:rPr>
      </w:pPr>
    </w:p>
    <w:p w14:paraId="456BA44A" w14:textId="77777777" w:rsidR="00300DCB" w:rsidRDefault="00300DCB" w:rsidP="00300DCB">
      <w:pPr>
        <w:jc w:val="center"/>
        <w:rPr>
          <w:rFonts w:ascii="Arial" w:hAnsi="Arial" w:cs="Arial"/>
          <w:b/>
        </w:rPr>
      </w:pPr>
      <w:r>
        <w:rPr>
          <w:rFonts w:ascii="Arial" w:hAnsi="Arial" w:cs="Arial"/>
          <w:b/>
        </w:rPr>
        <w:t xml:space="preserve">Please let me know if you’d like any of the listed articles in </w:t>
      </w:r>
      <w:proofErr w:type="gramStart"/>
      <w:r>
        <w:rPr>
          <w:rFonts w:ascii="Arial" w:hAnsi="Arial" w:cs="Arial"/>
          <w:b/>
        </w:rPr>
        <w:t>full-text</w:t>
      </w:r>
      <w:proofErr w:type="gramEnd"/>
    </w:p>
    <w:p w14:paraId="4D8A71FD" w14:textId="77777777" w:rsidR="00300DCB" w:rsidRDefault="00300DCB" w:rsidP="00300DCB">
      <w:pPr>
        <w:rPr>
          <w:b/>
        </w:rPr>
      </w:pPr>
    </w:p>
    <w:p w14:paraId="5343DF36" w14:textId="77777777" w:rsidR="00300DCB" w:rsidRDefault="00300DCB" w:rsidP="00852597">
      <w:pPr>
        <w:jc w:val="center"/>
        <w:rPr>
          <w:rFonts w:ascii="Arial" w:hAnsi="Arial" w:cs="Arial"/>
          <w:b/>
        </w:rPr>
      </w:pPr>
      <w:r>
        <w:rPr>
          <w:rFonts w:ascii="Arial" w:hAnsi="Arial" w:cs="Arial"/>
          <w:b/>
        </w:rPr>
        <w:t>(If you’d like to be sent any subsequent articles that are published on this topic please contact me and I will set you up with an emailed alert).</w:t>
      </w:r>
    </w:p>
    <w:p w14:paraId="6DD6EE76" w14:textId="77777777" w:rsidR="00300DCB" w:rsidRDefault="00300DCB" w:rsidP="00300DCB">
      <w:pPr>
        <w:rPr>
          <w:rFonts w:cs="Arial"/>
          <w:b/>
          <w:sz w:val="28"/>
          <w:szCs w:val="28"/>
        </w:rPr>
      </w:pPr>
    </w:p>
    <w:tbl>
      <w:tblPr>
        <w:tblStyle w:val="TableGrid"/>
        <w:tblW w:w="0" w:type="auto"/>
        <w:tblLayout w:type="fixed"/>
        <w:tblLook w:val="04A0" w:firstRow="1" w:lastRow="0" w:firstColumn="1" w:lastColumn="0" w:noHBand="0" w:noVBand="1"/>
      </w:tblPr>
      <w:tblGrid>
        <w:gridCol w:w="1668"/>
        <w:gridCol w:w="9014"/>
      </w:tblGrid>
      <w:tr w:rsidR="00D76ADA" w:rsidRPr="009030AF" w14:paraId="54967BA1" w14:textId="77777777" w:rsidTr="00D76ADA">
        <w:tc>
          <w:tcPr>
            <w:tcW w:w="1668" w:type="dxa"/>
            <w:tcBorders>
              <w:top w:val="single" w:sz="4" w:space="0" w:color="auto"/>
              <w:left w:val="single" w:sz="4" w:space="0" w:color="auto"/>
              <w:bottom w:val="single" w:sz="4" w:space="0" w:color="auto"/>
              <w:right w:val="single" w:sz="4" w:space="0" w:color="auto"/>
            </w:tcBorders>
            <w:hideMark/>
          </w:tcPr>
          <w:p w14:paraId="69870885" w14:textId="77777777" w:rsidR="00D76ADA" w:rsidRPr="009030AF" w:rsidRDefault="00D76ADA">
            <w:pPr>
              <w:rPr>
                <w:rFonts w:cstheme="minorHAnsi"/>
                <w:b/>
                <w:szCs w:val="24"/>
              </w:rPr>
            </w:pPr>
            <w:r w:rsidRPr="009030AF">
              <w:rPr>
                <w:rFonts w:cstheme="minorHAnsi"/>
                <w:b/>
                <w:szCs w:val="24"/>
              </w:rPr>
              <w:t>Question</w:t>
            </w:r>
          </w:p>
        </w:tc>
        <w:tc>
          <w:tcPr>
            <w:tcW w:w="9014" w:type="dxa"/>
            <w:tcBorders>
              <w:top w:val="single" w:sz="4" w:space="0" w:color="auto"/>
              <w:left w:val="single" w:sz="4" w:space="0" w:color="auto"/>
              <w:bottom w:val="single" w:sz="4" w:space="0" w:color="auto"/>
              <w:right w:val="single" w:sz="4" w:space="0" w:color="auto"/>
            </w:tcBorders>
          </w:tcPr>
          <w:p w14:paraId="7C5EC6A1" w14:textId="77777777" w:rsidR="00AC2885" w:rsidRDefault="00DA20FB" w:rsidP="00DA20FB">
            <w:pPr>
              <w:pStyle w:val="ListParagraph"/>
              <w:numPr>
                <w:ilvl w:val="0"/>
                <w:numId w:val="15"/>
              </w:numPr>
              <w:rPr>
                <w:rFonts w:cstheme="minorHAnsi"/>
                <w:szCs w:val="24"/>
              </w:rPr>
            </w:pPr>
            <w:r>
              <w:rPr>
                <w:rFonts w:cstheme="minorHAnsi"/>
                <w:szCs w:val="24"/>
              </w:rPr>
              <w:t>Evidence for using serum ferritin test to monitor patients with COVID-19 to assess prognosis or determine time of escalation of therapy?</w:t>
            </w:r>
          </w:p>
          <w:p w14:paraId="5AF71967" w14:textId="77777777" w:rsidR="00DA20FB" w:rsidRPr="00DA20FB" w:rsidRDefault="00DA20FB" w:rsidP="00DA20FB">
            <w:pPr>
              <w:pStyle w:val="ListParagraph"/>
              <w:numPr>
                <w:ilvl w:val="0"/>
                <w:numId w:val="15"/>
              </w:numPr>
              <w:rPr>
                <w:rFonts w:cstheme="minorHAnsi"/>
                <w:szCs w:val="24"/>
              </w:rPr>
            </w:pPr>
            <w:r>
              <w:rPr>
                <w:rFonts w:cstheme="minorHAnsi"/>
                <w:szCs w:val="24"/>
              </w:rPr>
              <w:t>Best lab tests for monitoring progress of hospitalised patients suffering from COVID-19?</w:t>
            </w:r>
            <w:r>
              <w:rPr>
                <w:rFonts w:cstheme="minorHAnsi"/>
                <w:szCs w:val="24"/>
              </w:rPr>
              <w:br/>
            </w:r>
          </w:p>
        </w:tc>
      </w:tr>
      <w:tr w:rsidR="00D76ADA" w:rsidRPr="009030AF" w14:paraId="328758F3" w14:textId="77777777" w:rsidTr="00D76ADA">
        <w:tc>
          <w:tcPr>
            <w:tcW w:w="1668" w:type="dxa"/>
            <w:tcBorders>
              <w:top w:val="single" w:sz="4" w:space="0" w:color="auto"/>
              <w:left w:val="single" w:sz="4" w:space="0" w:color="auto"/>
              <w:bottom w:val="single" w:sz="4" w:space="0" w:color="auto"/>
              <w:right w:val="single" w:sz="4" w:space="0" w:color="auto"/>
            </w:tcBorders>
          </w:tcPr>
          <w:p w14:paraId="2C11A8F4" w14:textId="77777777" w:rsidR="00D76ADA" w:rsidRPr="009030AF" w:rsidRDefault="00D76ADA">
            <w:pPr>
              <w:rPr>
                <w:rFonts w:cstheme="minorHAnsi"/>
                <w:b/>
                <w:szCs w:val="24"/>
              </w:rPr>
            </w:pPr>
            <w:r w:rsidRPr="009030AF">
              <w:rPr>
                <w:rFonts w:cstheme="minorHAnsi"/>
                <w:b/>
                <w:szCs w:val="24"/>
              </w:rPr>
              <w:t>Summary of evidence found</w:t>
            </w:r>
          </w:p>
          <w:p w14:paraId="3C8B6DD6" w14:textId="77777777" w:rsidR="00D76ADA" w:rsidRPr="009030AF" w:rsidRDefault="00D76ADA">
            <w:pPr>
              <w:rPr>
                <w:rFonts w:cstheme="minorHAnsi"/>
                <w:b/>
                <w:szCs w:val="24"/>
              </w:rPr>
            </w:pPr>
          </w:p>
        </w:tc>
        <w:tc>
          <w:tcPr>
            <w:tcW w:w="9014" w:type="dxa"/>
            <w:tcBorders>
              <w:top w:val="single" w:sz="4" w:space="0" w:color="auto"/>
              <w:left w:val="single" w:sz="4" w:space="0" w:color="auto"/>
              <w:bottom w:val="single" w:sz="4" w:space="0" w:color="auto"/>
              <w:right w:val="single" w:sz="4" w:space="0" w:color="auto"/>
            </w:tcBorders>
          </w:tcPr>
          <w:p w14:paraId="4C017260" w14:textId="77777777" w:rsidR="006277F2" w:rsidRDefault="00DA20FB" w:rsidP="002B0DEC">
            <w:pPr>
              <w:rPr>
                <w:rFonts w:cstheme="minorHAnsi"/>
                <w:szCs w:val="24"/>
              </w:rPr>
            </w:pPr>
            <w:r>
              <w:rPr>
                <w:rFonts w:cstheme="minorHAnsi"/>
                <w:szCs w:val="24"/>
              </w:rPr>
              <w:t>It was not possible to establish definitive answers to these questions. Research is still ongoing, but it looks as if there are several different possibilities that would indicate deterioration / severity. The update from the ACB Scientific Committee (2020) lists:</w:t>
            </w:r>
          </w:p>
          <w:p w14:paraId="6E8D9939" w14:textId="77777777" w:rsidR="00DA20FB" w:rsidRDefault="00DA20FB" w:rsidP="00DA20FB">
            <w:pPr>
              <w:pStyle w:val="ListParagraph"/>
              <w:numPr>
                <w:ilvl w:val="0"/>
                <w:numId w:val="15"/>
              </w:numPr>
              <w:rPr>
                <w:rFonts w:cstheme="minorHAnsi"/>
                <w:szCs w:val="24"/>
              </w:rPr>
            </w:pPr>
            <w:r>
              <w:rPr>
                <w:rFonts w:cstheme="minorHAnsi"/>
                <w:szCs w:val="24"/>
              </w:rPr>
              <w:t>Lymphocytopenia (most common), thrombocytopenia and leukopenia (both less common)</w:t>
            </w:r>
          </w:p>
          <w:p w14:paraId="493C236E" w14:textId="77777777" w:rsidR="00DA20FB" w:rsidRDefault="00DA20FB" w:rsidP="00DA20FB">
            <w:pPr>
              <w:pStyle w:val="ListParagraph"/>
              <w:numPr>
                <w:ilvl w:val="0"/>
                <w:numId w:val="15"/>
              </w:numPr>
              <w:rPr>
                <w:rFonts w:cstheme="minorHAnsi"/>
                <w:szCs w:val="24"/>
              </w:rPr>
            </w:pPr>
            <w:r>
              <w:rPr>
                <w:rFonts w:cstheme="minorHAnsi"/>
                <w:szCs w:val="24"/>
              </w:rPr>
              <w:t>High concentrations of CRP</w:t>
            </w:r>
          </w:p>
          <w:p w14:paraId="23281964" w14:textId="77777777" w:rsidR="00DA20FB" w:rsidRDefault="00DA20FB" w:rsidP="00DA20FB">
            <w:pPr>
              <w:pStyle w:val="ListParagraph"/>
              <w:numPr>
                <w:ilvl w:val="0"/>
                <w:numId w:val="15"/>
              </w:numPr>
              <w:rPr>
                <w:rFonts w:cstheme="minorHAnsi"/>
                <w:szCs w:val="24"/>
              </w:rPr>
            </w:pPr>
            <w:r>
              <w:rPr>
                <w:rFonts w:cstheme="minorHAnsi"/>
                <w:szCs w:val="24"/>
              </w:rPr>
              <w:t>Elevations of AST, ALT, CK and D-dimer (less common)</w:t>
            </w:r>
          </w:p>
          <w:p w14:paraId="5462D06B" w14:textId="77777777" w:rsidR="00DA20FB" w:rsidRDefault="00DA20FB" w:rsidP="00DA20FB">
            <w:pPr>
              <w:pStyle w:val="ListParagraph"/>
              <w:numPr>
                <w:ilvl w:val="0"/>
                <w:numId w:val="15"/>
              </w:numPr>
              <w:rPr>
                <w:rFonts w:cstheme="minorHAnsi"/>
                <w:szCs w:val="24"/>
              </w:rPr>
            </w:pPr>
            <w:r>
              <w:rPr>
                <w:rFonts w:cstheme="minorHAnsi"/>
                <w:szCs w:val="24"/>
              </w:rPr>
              <w:t>Possible decreases in albumin</w:t>
            </w:r>
          </w:p>
          <w:p w14:paraId="6DE27076" w14:textId="77777777" w:rsidR="00DA20FB" w:rsidRDefault="00DA20FB" w:rsidP="00DA20FB">
            <w:pPr>
              <w:pStyle w:val="ListParagraph"/>
              <w:numPr>
                <w:ilvl w:val="0"/>
                <w:numId w:val="15"/>
              </w:numPr>
              <w:rPr>
                <w:rFonts w:cstheme="minorHAnsi"/>
                <w:szCs w:val="24"/>
              </w:rPr>
            </w:pPr>
            <w:r>
              <w:rPr>
                <w:rFonts w:cstheme="minorHAnsi"/>
                <w:szCs w:val="24"/>
              </w:rPr>
              <w:t>Possible increases in LDH, total bilirubin, creatinine, procalcitonin, cardiac troponin and natriruretic peptides</w:t>
            </w:r>
          </w:p>
          <w:p w14:paraId="230145AC" w14:textId="77777777" w:rsidR="00DA20FB" w:rsidRDefault="00DA20FB" w:rsidP="00DA20FB">
            <w:pPr>
              <w:pStyle w:val="ListParagraph"/>
              <w:numPr>
                <w:ilvl w:val="0"/>
                <w:numId w:val="15"/>
              </w:numPr>
              <w:rPr>
                <w:rFonts w:cstheme="minorHAnsi"/>
                <w:szCs w:val="24"/>
              </w:rPr>
            </w:pPr>
            <w:r>
              <w:rPr>
                <w:rFonts w:cstheme="minorHAnsi"/>
                <w:szCs w:val="24"/>
              </w:rPr>
              <w:t>Cardiac biomarkers</w:t>
            </w:r>
          </w:p>
          <w:p w14:paraId="02DA930E" w14:textId="77777777" w:rsidR="00DA20FB" w:rsidRDefault="00DA20FB" w:rsidP="00DA20FB">
            <w:pPr>
              <w:rPr>
                <w:rFonts w:cstheme="minorHAnsi"/>
                <w:szCs w:val="24"/>
              </w:rPr>
            </w:pPr>
          </w:p>
          <w:p w14:paraId="16484313" w14:textId="77777777" w:rsidR="00DA20FB" w:rsidRDefault="00DA20FB" w:rsidP="00DA20FB">
            <w:pPr>
              <w:rPr>
                <w:rFonts w:cstheme="minorHAnsi"/>
                <w:szCs w:val="24"/>
              </w:rPr>
            </w:pPr>
            <w:r>
              <w:rPr>
                <w:rFonts w:cstheme="minorHAnsi"/>
                <w:szCs w:val="24"/>
              </w:rPr>
              <w:t>There is also emerging evidence that suggests a role for ferritin – this has been included.</w:t>
            </w:r>
          </w:p>
          <w:p w14:paraId="6D41F237" w14:textId="77777777" w:rsidR="00DA20FB" w:rsidRDefault="00DA20FB" w:rsidP="00DA20FB">
            <w:pPr>
              <w:rPr>
                <w:rFonts w:cstheme="minorHAnsi"/>
                <w:szCs w:val="24"/>
              </w:rPr>
            </w:pPr>
          </w:p>
          <w:p w14:paraId="15F60F4F" w14:textId="77777777" w:rsidR="00DA20FB" w:rsidRDefault="00DA20FB" w:rsidP="00DA20FB">
            <w:pPr>
              <w:rPr>
                <w:rFonts w:cstheme="minorHAnsi"/>
                <w:szCs w:val="24"/>
              </w:rPr>
            </w:pPr>
            <w:r>
              <w:rPr>
                <w:rFonts w:cstheme="minorHAnsi"/>
                <w:szCs w:val="24"/>
              </w:rPr>
              <w:t xml:space="preserve">Cytokine storm syndrome has been observed in more severe cases. Information on this has been included in the </w:t>
            </w:r>
            <w:r>
              <w:rPr>
                <w:rFonts w:cstheme="minorHAnsi"/>
                <w:b/>
                <w:szCs w:val="24"/>
              </w:rPr>
              <w:t xml:space="preserve">This may also help </w:t>
            </w:r>
            <w:r>
              <w:rPr>
                <w:rFonts w:cstheme="minorHAnsi"/>
                <w:szCs w:val="24"/>
              </w:rPr>
              <w:t>section.</w:t>
            </w:r>
          </w:p>
          <w:p w14:paraId="1BB60FC2" w14:textId="77777777" w:rsidR="00DA20FB" w:rsidRPr="00DA20FB" w:rsidRDefault="00DA20FB" w:rsidP="00DA20FB">
            <w:pPr>
              <w:rPr>
                <w:rFonts w:cstheme="minorHAnsi"/>
                <w:szCs w:val="24"/>
              </w:rPr>
            </w:pPr>
          </w:p>
        </w:tc>
      </w:tr>
      <w:tr w:rsidR="00D76ADA" w:rsidRPr="009030AF" w14:paraId="3C636BD1" w14:textId="77777777" w:rsidTr="00D76ADA">
        <w:tc>
          <w:tcPr>
            <w:tcW w:w="1668" w:type="dxa"/>
            <w:tcBorders>
              <w:top w:val="single" w:sz="4" w:space="0" w:color="auto"/>
              <w:left w:val="single" w:sz="4" w:space="0" w:color="auto"/>
              <w:bottom w:val="single" w:sz="4" w:space="0" w:color="auto"/>
              <w:right w:val="single" w:sz="4" w:space="0" w:color="auto"/>
            </w:tcBorders>
          </w:tcPr>
          <w:p w14:paraId="0D6C2318" w14:textId="77777777" w:rsidR="00D76ADA" w:rsidRPr="009030AF" w:rsidRDefault="00D76ADA">
            <w:pPr>
              <w:rPr>
                <w:rFonts w:cstheme="minorHAnsi"/>
                <w:b/>
                <w:szCs w:val="24"/>
              </w:rPr>
            </w:pPr>
            <w:r w:rsidRPr="009030AF">
              <w:rPr>
                <w:rFonts w:cstheme="minorHAnsi"/>
                <w:b/>
                <w:szCs w:val="24"/>
              </w:rPr>
              <w:t>Most useful information</w:t>
            </w:r>
          </w:p>
          <w:p w14:paraId="088B07C5" w14:textId="77777777" w:rsidR="00D76ADA" w:rsidRPr="009030AF" w:rsidRDefault="00D76ADA">
            <w:pPr>
              <w:rPr>
                <w:rFonts w:cstheme="minorHAnsi"/>
                <w:b/>
                <w:szCs w:val="24"/>
              </w:rPr>
            </w:pPr>
          </w:p>
          <w:p w14:paraId="58B5BEF2" w14:textId="77777777" w:rsidR="00D76ADA" w:rsidRPr="009030AF" w:rsidRDefault="00D76ADA">
            <w:pPr>
              <w:rPr>
                <w:rFonts w:cstheme="minorHAnsi"/>
                <w:b/>
                <w:szCs w:val="24"/>
              </w:rPr>
            </w:pPr>
          </w:p>
          <w:p w14:paraId="4F6B3476" w14:textId="77777777" w:rsidR="00D76ADA" w:rsidRPr="009030AF" w:rsidRDefault="00D76ADA">
            <w:pPr>
              <w:rPr>
                <w:rFonts w:cstheme="minorHAnsi"/>
                <w:b/>
                <w:szCs w:val="24"/>
              </w:rPr>
            </w:pPr>
          </w:p>
        </w:tc>
        <w:tc>
          <w:tcPr>
            <w:tcW w:w="9014" w:type="dxa"/>
            <w:tcBorders>
              <w:top w:val="single" w:sz="4" w:space="0" w:color="auto"/>
              <w:left w:val="single" w:sz="4" w:space="0" w:color="auto"/>
              <w:bottom w:val="single" w:sz="4" w:space="0" w:color="auto"/>
              <w:right w:val="single" w:sz="4" w:space="0" w:color="auto"/>
            </w:tcBorders>
          </w:tcPr>
          <w:p w14:paraId="5EC877F2" w14:textId="77777777" w:rsidR="00160AE1" w:rsidRDefault="001867EB" w:rsidP="002B0DEC">
            <w:pPr>
              <w:rPr>
                <w:rFonts w:cstheme="minorHAnsi"/>
                <w:szCs w:val="24"/>
              </w:rPr>
            </w:pPr>
            <w:r w:rsidRPr="001867EB">
              <w:rPr>
                <w:rFonts w:cstheme="minorHAnsi"/>
                <w:szCs w:val="24"/>
              </w:rPr>
              <w:t>Gaze, D. C. and McCormick, A. on behalf of the ACB Scientific Committee</w:t>
            </w:r>
            <w:r>
              <w:rPr>
                <w:rFonts w:cstheme="minorHAnsi"/>
                <w:szCs w:val="24"/>
              </w:rPr>
              <w:t>. (2020)</w:t>
            </w:r>
            <w:r w:rsidRPr="001867EB">
              <w:rPr>
                <w:rFonts w:cstheme="minorHAnsi"/>
                <w:szCs w:val="24"/>
              </w:rPr>
              <w:t xml:space="preserve"> </w:t>
            </w:r>
            <w:r w:rsidRPr="00DA20FB">
              <w:rPr>
                <w:rFonts w:cstheme="minorHAnsi"/>
                <w:i/>
                <w:szCs w:val="24"/>
              </w:rPr>
              <w:t>Coronavirus and COVID-19: update from ACB Scientific Committee</w:t>
            </w:r>
            <w:r w:rsidR="00DA20FB">
              <w:rPr>
                <w:rFonts w:cstheme="minorHAnsi"/>
                <w:szCs w:val="24"/>
              </w:rPr>
              <w:t>. 23 March.</w:t>
            </w:r>
            <w:r w:rsidR="00160AE1">
              <w:rPr>
                <w:rFonts w:cstheme="minorHAnsi"/>
                <w:b/>
                <w:szCs w:val="24"/>
              </w:rPr>
              <w:t xml:space="preserve"> </w:t>
            </w:r>
            <w:hyperlink r:id="rId10" w:history="1">
              <w:r w:rsidR="00DA20FB" w:rsidRPr="002055AD">
                <w:rPr>
                  <w:rStyle w:val="Hyperlink"/>
                  <w:rFonts w:cstheme="minorHAnsi"/>
                  <w:szCs w:val="24"/>
                </w:rPr>
                <w:t>http://www.acb.org.uk/whatwesay/acb_newspage/2020/03/23/coronavirus-and-covid-19-update-from-acb-scientific-committee</w:t>
              </w:r>
            </w:hyperlink>
          </w:p>
          <w:p w14:paraId="4BAE5A07" w14:textId="77777777" w:rsidR="00DA20FB" w:rsidRDefault="00DA20FB" w:rsidP="002B0DEC">
            <w:pPr>
              <w:rPr>
                <w:rFonts w:cstheme="minorHAnsi"/>
                <w:szCs w:val="24"/>
              </w:rPr>
            </w:pPr>
            <w:r>
              <w:rPr>
                <w:rFonts w:cstheme="minorHAnsi"/>
                <w:szCs w:val="24"/>
              </w:rPr>
              <w:t xml:space="preserve"> “</w:t>
            </w:r>
            <w:r w:rsidRPr="00DA20FB">
              <w:rPr>
                <w:rFonts w:cstheme="minorHAnsi"/>
                <w:szCs w:val="24"/>
              </w:rPr>
              <w:t xml:space="preserve">From the Chinese population, lymphocytopenia was observed in 83% of cases, with thrombocytopenia in 36% and leukopenia in 34%. Biochemically, patients demonstrated high concentrations of CRP, less common elevations of AST, ALT, CK and D-dimer. Furthermore, in a systematic analysis of 11 PUBMED articles, Giuseppi Lippi and Mario Plebani have documented laboratory abnormalities reported in cases of COVID-195. In addition to the findings above from the Chinese cohort, patients may also present with </w:t>
            </w:r>
            <w:r w:rsidRPr="00DA20FB">
              <w:rPr>
                <w:rFonts w:cstheme="minorHAnsi"/>
                <w:szCs w:val="24"/>
              </w:rPr>
              <w:lastRenderedPageBreak/>
              <w:t>decreased albumin, or increases in LDH, total bilirubin, creatinine, procalcitonin and also cardiac troponin and natriuretic peptides. The latter occurs in the more severe presentations of COVID-19 and is reflective of a cardio-inflammatory response and has been reported in fulminant myocarditis, successfully treated with glucocorticoid and human Ig6. Cardiac biomarkers could be utilised as a repeated metric of a worsening clinical scenario or an improving response due to Cardioprotective intervention.</w:t>
            </w:r>
            <w:r>
              <w:rPr>
                <w:rFonts w:cstheme="minorHAnsi"/>
                <w:szCs w:val="24"/>
              </w:rPr>
              <w:t>”</w:t>
            </w:r>
          </w:p>
          <w:p w14:paraId="7AC09395" w14:textId="77777777" w:rsidR="00945885" w:rsidRDefault="00945885" w:rsidP="002B0DEC">
            <w:pPr>
              <w:rPr>
                <w:rFonts w:cstheme="minorHAnsi"/>
                <w:szCs w:val="24"/>
              </w:rPr>
            </w:pPr>
          </w:p>
          <w:p w14:paraId="48EAC18D" w14:textId="77777777" w:rsidR="00160AE1" w:rsidRPr="00945885" w:rsidRDefault="00945885" w:rsidP="002B0DEC">
            <w:pPr>
              <w:rPr>
                <w:rFonts w:cstheme="minorHAnsi"/>
                <w:b/>
                <w:szCs w:val="24"/>
              </w:rPr>
            </w:pPr>
            <w:r>
              <w:rPr>
                <w:rFonts w:cstheme="minorHAnsi"/>
                <w:b/>
                <w:szCs w:val="24"/>
              </w:rPr>
              <w:t>Serum ferritin</w:t>
            </w:r>
            <w:r w:rsidR="00DA20FB">
              <w:rPr>
                <w:rFonts w:cstheme="minorHAnsi"/>
                <w:b/>
                <w:szCs w:val="24"/>
              </w:rPr>
              <w:t xml:space="preserve"> (discussed alongside other possible markers)</w:t>
            </w:r>
          </w:p>
          <w:p w14:paraId="711012F7" w14:textId="77777777" w:rsidR="00DA20FB" w:rsidRPr="00DA20FB" w:rsidRDefault="00945885" w:rsidP="002B0DEC">
            <w:pPr>
              <w:pStyle w:val="ListParagraph"/>
              <w:numPr>
                <w:ilvl w:val="0"/>
                <w:numId w:val="16"/>
              </w:numPr>
              <w:rPr>
                <w:rStyle w:val="Hyperlink"/>
                <w:color w:val="auto"/>
                <w:u w:val="none"/>
              </w:rPr>
            </w:pPr>
            <w:r w:rsidRPr="00DA20FB">
              <w:rPr>
                <w:rFonts w:cstheme="minorHAnsi"/>
                <w:szCs w:val="24"/>
              </w:rPr>
              <w:t xml:space="preserve">Zhou, B. et al (2020) </w:t>
            </w:r>
            <w:r w:rsidR="006F3115" w:rsidRPr="00DA20FB">
              <w:rPr>
                <w:rFonts w:cstheme="minorHAnsi"/>
                <w:szCs w:val="24"/>
              </w:rPr>
              <w:t>Utility of Ferritin, Procalcitonin, and C-reactive Protein in Severe Patients with 2019 Novel Coronavirus Disease</w:t>
            </w:r>
            <w:r w:rsidRPr="00DA20FB">
              <w:rPr>
                <w:rFonts w:cstheme="minorHAnsi"/>
                <w:szCs w:val="24"/>
              </w:rPr>
              <w:t>. [ResearchSquare pre-print]</w:t>
            </w:r>
            <w:r w:rsidR="00DA20FB" w:rsidRPr="00DA20FB">
              <w:rPr>
                <w:rFonts w:cstheme="minorHAnsi"/>
                <w:szCs w:val="24"/>
              </w:rPr>
              <w:t xml:space="preserve"> </w:t>
            </w:r>
            <w:hyperlink r:id="rId11" w:history="1">
              <w:r w:rsidR="006F3115">
                <w:rPr>
                  <w:rStyle w:val="Hyperlink"/>
                </w:rPr>
                <w:t>https://www.researchsquare.com/article/rs-18079/v1</w:t>
              </w:r>
            </w:hyperlink>
            <w:r w:rsidR="00DA20FB">
              <w:rPr>
                <w:rStyle w:val="Hyperlink"/>
              </w:rPr>
              <w:br/>
            </w:r>
          </w:p>
          <w:p w14:paraId="10B47848" w14:textId="77777777" w:rsidR="00B23736" w:rsidRPr="00945885" w:rsidRDefault="00945885" w:rsidP="002B0DEC">
            <w:pPr>
              <w:pStyle w:val="ListParagraph"/>
              <w:numPr>
                <w:ilvl w:val="0"/>
                <w:numId w:val="16"/>
              </w:numPr>
            </w:pPr>
            <w:r>
              <w:t>Zhou, F. et al (2020)</w:t>
            </w:r>
            <w:r w:rsidR="00B23736">
              <w:t xml:space="preserve"> </w:t>
            </w:r>
            <w:r w:rsidR="00B23736" w:rsidRPr="00B23736">
              <w:t>Clinical course and risk factors for mortality of adult inpatients with COVID-19 in Wuhan, China: a retrospective cohort study</w:t>
            </w:r>
            <w:r>
              <w:t xml:space="preserve">. </w:t>
            </w:r>
            <w:r w:rsidRPr="00DA20FB">
              <w:rPr>
                <w:i/>
              </w:rPr>
              <w:t>The Lancet</w:t>
            </w:r>
            <w:r>
              <w:t xml:space="preserve">, 395(10229), pp. 1054-1062 </w:t>
            </w:r>
            <w:hyperlink r:id="rId12" w:history="1">
              <w:r>
                <w:rPr>
                  <w:rStyle w:val="Hyperlink"/>
                </w:rPr>
                <w:t>https://www.thelancet.com/journals/lancet/article/PIIS0140-6736(20)30566-3/fulltext</w:t>
              </w:r>
            </w:hyperlink>
          </w:p>
          <w:p w14:paraId="76772105" w14:textId="77777777" w:rsidR="006F3115" w:rsidRDefault="006F3115" w:rsidP="002B0DEC">
            <w:pPr>
              <w:rPr>
                <w:rFonts w:cstheme="minorHAnsi"/>
                <w:szCs w:val="24"/>
              </w:rPr>
            </w:pPr>
          </w:p>
          <w:p w14:paraId="533AA5DD" w14:textId="77777777" w:rsidR="00945885" w:rsidRDefault="00945885" w:rsidP="002B0DEC">
            <w:pPr>
              <w:rPr>
                <w:rFonts w:cstheme="minorHAnsi"/>
                <w:b/>
                <w:szCs w:val="24"/>
              </w:rPr>
            </w:pPr>
            <w:r>
              <w:rPr>
                <w:rFonts w:cstheme="minorHAnsi"/>
                <w:b/>
                <w:szCs w:val="24"/>
              </w:rPr>
              <w:t>Other markers – platelets, lymphocytes, IL-6</w:t>
            </w:r>
          </w:p>
          <w:p w14:paraId="0BFA029A" w14:textId="77777777" w:rsidR="000266F1" w:rsidRDefault="002B4E7D" w:rsidP="000266F1">
            <w:pPr>
              <w:pStyle w:val="ListParagraph"/>
              <w:numPr>
                <w:ilvl w:val="0"/>
                <w:numId w:val="17"/>
              </w:numPr>
              <w:rPr>
                <w:rFonts w:cstheme="minorHAnsi"/>
                <w:szCs w:val="24"/>
              </w:rPr>
            </w:pPr>
            <w:r w:rsidRPr="00DA20FB">
              <w:rPr>
                <w:rFonts w:cstheme="minorHAnsi"/>
                <w:szCs w:val="24"/>
              </w:rPr>
              <w:t xml:space="preserve">Lippi, G. et al (2020) Thrombocytopenia is associated with severe coronavirus disease 2019 (COVID-19) infections: A meta-analysis. </w:t>
            </w:r>
            <w:r w:rsidRPr="00DA20FB">
              <w:rPr>
                <w:rFonts w:cstheme="minorHAnsi"/>
                <w:i/>
                <w:szCs w:val="24"/>
              </w:rPr>
              <w:t>Clinica Chimica Acta</w:t>
            </w:r>
            <w:r w:rsidRPr="00DA20FB">
              <w:rPr>
                <w:rFonts w:cstheme="minorHAnsi"/>
                <w:szCs w:val="24"/>
              </w:rPr>
              <w:t>, 506, pp. 145-8</w:t>
            </w:r>
            <w:r w:rsidRPr="00DA20FB">
              <w:rPr>
                <w:rFonts w:cstheme="minorHAnsi"/>
                <w:szCs w:val="24"/>
              </w:rPr>
              <w:br/>
            </w:r>
            <w:hyperlink r:id="rId13" w:history="1">
              <w:r w:rsidRPr="00DA20FB">
                <w:rPr>
                  <w:rStyle w:val="Hyperlink"/>
                  <w:rFonts w:cstheme="minorHAnsi"/>
                  <w:szCs w:val="24"/>
                </w:rPr>
                <w:t>https://www.sciencedirect.com/science/article/pii/S0009898120301248</w:t>
              </w:r>
            </w:hyperlink>
            <w:r w:rsidRPr="00DA20FB">
              <w:rPr>
                <w:rFonts w:cstheme="minorHAnsi"/>
                <w:szCs w:val="24"/>
              </w:rPr>
              <w:t xml:space="preserve"> </w:t>
            </w:r>
            <w:r w:rsidR="000266F1">
              <w:rPr>
                <w:rFonts w:cstheme="minorHAnsi"/>
                <w:szCs w:val="24"/>
              </w:rPr>
              <w:br/>
            </w:r>
          </w:p>
          <w:p w14:paraId="11429654" w14:textId="77777777" w:rsidR="000266F1" w:rsidRDefault="000266F1" w:rsidP="000266F1">
            <w:pPr>
              <w:pStyle w:val="ListParagraph"/>
              <w:numPr>
                <w:ilvl w:val="0"/>
                <w:numId w:val="17"/>
              </w:numPr>
              <w:rPr>
                <w:rFonts w:cstheme="minorHAnsi"/>
                <w:szCs w:val="24"/>
              </w:rPr>
            </w:pPr>
            <w:r>
              <w:rPr>
                <w:rFonts w:cstheme="minorHAnsi"/>
                <w:szCs w:val="24"/>
              </w:rPr>
              <w:t>Chen, G. et al (2020) Cl</w:t>
            </w:r>
            <w:r w:rsidRPr="000266F1">
              <w:rPr>
                <w:rFonts w:cstheme="minorHAnsi"/>
                <w:szCs w:val="24"/>
              </w:rPr>
              <w:t>inical and immunologic features in severe and moderate Coronavirus Disease 2019</w:t>
            </w:r>
            <w:r>
              <w:rPr>
                <w:rFonts w:cstheme="minorHAnsi"/>
                <w:szCs w:val="24"/>
              </w:rPr>
              <w:t xml:space="preserve">. </w:t>
            </w:r>
            <w:r>
              <w:rPr>
                <w:rFonts w:cstheme="minorHAnsi"/>
                <w:i/>
                <w:szCs w:val="24"/>
              </w:rPr>
              <w:t xml:space="preserve">The Journal of Clinical Investigation </w:t>
            </w:r>
            <w:hyperlink r:id="rId14" w:history="1">
              <w:r w:rsidRPr="002055AD">
                <w:rPr>
                  <w:rStyle w:val="Hyperlink"/>
                  <w:rFonts w:cstheme="minorHAnsi"/>
                  <w:szCs w:val="24"/>
                </w:rPr>
                <w:t>http://www.jci.org/articles/view/137244/files/pdf</w:t>
              </w:r>
            </w:hyperlink>
          </w:p>
          <w:p w14:paraId="428DD9D3" w14:textId="77777777" w:rsidR="000266F1" w:rsidRPr="000266F1" w:rsidRDefault="000266F1" w:rsidP="000266F1">
            <w:pPr>
              <w:pStyle w:val="ListParagraph"/>
              <w:rPr>
                <w:rFonts w:cstheme="minorHAnsi"/>
                <w:szCs w:val="24"/>
              </w:rPr>
            </w:pPr>
          </w:p>
          <w:p w14:paraId="56EA4E2A" w14:textId="77777777" w:rsidR="007E66A6" w:rsidRDefault="00945885" w:rsidP="00DA20FB">
            <w:pPr>
              <w:pStyle w:val="ListParagraph"/>
              <w:numPr>
                <w:ilvl w:val="0"/>
                <w:numId w:val="17"/>
              </w:numPr>
              <w:rPr>
                <w:rStyle w:val="Hyperlink"/>
              </w:rPr>
            </w:pPr>
            <w:r w:rsidRPr="00DA20FB">
              <w:rPr>
                <w:rFonts w:cstheme="minorHAnsi"/>
                <w:szCs w:val="24"/>
              </w:rPr>
              <w:t xml:space="preserve">Xhao, X. et al (2020) </w:t>
            </w:r>
            <w:r w:rsidR="007E66A6" w:rsidRPr="00DA20FB">
              <w:rPr>
                <w:rFonts w:cstheme="minorHAnsi"/>
                <w:szCs w:val="24"/>
              </w:rPr>
              <w:t>Incidence, clinical characteristics and prognostic factor of patients with COVID-19: a systematic review and meta-analysis</w:t>
            </w:r>
            <w:r w:rsidRPr="00DA20FB">
              <w:rPr>
                <w:rFonts w:cstheme="minorHAnsi"/>
                <w:szCs w:val="24"/>
              </w:rPr>
              <w:t xml:space="preserve"> [pre-print] </w:t>
            </w:r>
            <w:hyperlink r:id="rId15" w:history="1">
              <w:r w:rsidR="007E66A6">
                <w:rPr>
                  <w:rStyle w:val="Hyperlink"/>
                </w:rPr>
                <w:t>https://www.medrxiv.org/content/10.1101/2020.03.17.20037572v1</w:t>
              </w:r>
            </w:hyperlink>
          </w:p>
          <w:p w14:paraId="75C58B47" w14:textId="77777777" w:rsidR="002B4E7D" w:rsidRDefault="002B4E7D" w:rsidP="002B0DEC">
            <w:pPr>
              <w:rPr>
                <w:rStyle w:val="Hyperlink"/>
              </w:rPr>
            </w:pPr>
          </w:p>
          <w:p w14:paraId="367D23D2" w14:textId="77777777" w:rsidR="002B4E7D" w:rsidRPr="00DA20FB" w:rsidRDefault="002B4E7D" w:rsidP="00DA20FB">
            <w:pPr>
              <w:pStyle w:val="ListParagraph"/>
              <w:numPr>
                <w:ilvl w:val="0"/>
                <w:numId w:val="17"/>
              </w:numPr>
              <w:rPr>
                <w:rFonts w:cstheme="minorHAnsi"/>
                <w:szCs w:val="24"/>
              </w:rPr>
            </w:pPr>
            <w:r w:rsidRPr="00DA20FB">
              <w:rPr>
                <w:rFonts w:cstheme="minorHAnsi"/>
                <w:szCs w:val="24"/>
              </w:rPr>
              <w:t>Zhang, D. et al (2020) COVID-19 infection induces readily detectable morphological and inflammation-related phenotypic changes in peripheral blood monocytes, the severity of which correlate with patient outcome. [pre-print]</w:t>
            </w:r>
          </w:p>
          <w:p w14:paraId="79D40108" w14:textId="77777777" w:rsidR="007E66A6" w:rsidRPr="00DA20FB" w:rsidRDefault="00D336B0" w:rsidP="000266F1">
            <w:pPr>
              <w:pStyle w:val="ListParagraph"/>
              <w:rPr>
                <w:rFonts w:cstheme="minorHAnsi"/>
                <w:szCs w:val="24"/>
              </w:rPr>
            </w:pPr>
            <w:hyperlink r:id="rId16" w:history="1">
              <w:r w:rsidR="002B4E7D" w:rsidRPr="00DA20FB">
                <w:rPr>
                  <w:rStyle w:val="Hyperlink"/>
                  <w:rFonts w:cstheme="minorHAnsi"/>
                  <w:szCs w:val="24"/>
                </w:rPr>
                <w:t>https://www.medrxiv.org/content/10.1101/2020.03.24.20042655v1</w:t>
              </w:r>
            </w:hyperlink>
            <w:r w:rsidR="002B4E7D" w:rsidRPr="00DA20FB">
              <w:rPr>
                <w:rFonts w:cstheme="minorHAnsi"/>
                <w:szCs w:val="24"/>
              </w:rPr>
              <w:t xml:space="preserve"> </w:t>
            </w:r>
          </w:p>
          <w:p w14:paraId="553896A0" w14:textId="77777777" w:rsidR="002B4E7D" w:rsidRDefault="002B4E7D" w:rsidP="002B0DEC">
            <w:pPr>
              <w:rPr>
                <w:rFonts w:cstheme="minorHAnsi"/>
                <w:szCs w:val="24"/>
              </w:rPr>
            </w:pPr>
          </w:p>
          <w:p w14:paraId="76F768BD" w14:textId="77777777" w:rsidR="002B4E7D" w:rsidRPr="00DA20FB" w:rsidRDefault="002B4E7D" w:rsidP="00DA20FB">
            <w:pPr>
              <w:pStyle w:val="ListParagraph"/>
              <w:numPr>
                <w:ilvl w:val="0"/>
                <w:numId w:val="17"/>
              </w:numPr>
              <w:rPr>
                <w:rFonts w:cstheme="minorHAnsi"/>
                <w:szCs w:val="24"/>
              </w:rPr>
            </w:pPr>
            <w:r w:rsidRPr="00DA20FB">
              <w:rPr>
                <w:rFonts w:cstheme="minorHAnsi"/>
                <w:szCs w:val="24"/>
              </w:rPr>
              <w:t xml:space="preserve">Chen, G. et al (2020) Clinical and immunologic features in severe and moderate Coronavirus Disease 2019. The Journal of Clinical Investigation. [in-press preview] </w:t>
            </w:r>
            <w:hyperlink r:id="rId17" w:history="1">
              <w:r w:rsidR="00DA20FB" w:rsidRPr="00DA20FB">
                <w:rPr>
                  <w:rStyle w:val="Hyperlink"/>
                  <w:rFonts w:cstheme="minorHAnsi"/>
                  <w:szCs w:val="24"/>
                </w:rPr>
                <w:t>https://www.jci.org/articles/view/137244</w:t>
              </w:r>
            </w:hyperlink>
            <w:r w:rsidR="00DA20FB" w:rsidRPr="00DA20FB">
              <w:rPr>
                <w:rFonts w:cstheme="minorHAnsi"/>
                <w:szCs w:val="24"/>
              </w:rPr>
              <w:t xml:space="preserve"> </w:t>
            </w:r>
          </w:p>
          <w:p w14:paraId="0C7A1B17" w14:textId="77777777" w:rsidR="002B4E7D" w:rsidRPr="002B4E7D" w:rsidRDefault="002B4E7D" w:rsidP="002B4E7D">
            <w:pPr>
              <w:rPr>
                <w:rFonts w:cstheme="minorHAnsi"/>
                <w:szCs w:val="24"/>
              </w:rPr>
            </w:pPr>
          </w:p>
          <w:p w14:paraId="436E01B8" w14:textId="77777777" w:rsidR="002B4E7D" w:rsidRPr="00DA20FB" w:rsidRDefault="002B4E7D" w:rsidP="00DA20FB">
            <w:pPr>
              <w:pStyle w:val="ListParagraph"/>
              <w:numPr>
                <w:ilvl w:val="0"/>
                <w:numId w:val="17"/>
              </w:numPr>
              <w:rPr>
                <w:rFonts w:cstheme="minorHAnsi"/>
                <w:szCs w:val="24"/>
              </w:rPr>
            </w:pPr>
            <w:r w:rsidRPr="00DA20FB">
              <w:rPr>
                <w:rFonts w:cstheme="minorHAnsi"/>
                <w:szCs w:val="24"/>
              </w:rPr>
              <w:t xml:space="preserve">Yuan, J. et al (2020) The correlation between viral clearance and biochemical outcomes of 94 COVID-19 infected discharged patients. Inflammation Research. </w:t>
            </w:r>
            <w:hyperlink r:id="rId18" w:history="1">
              <w:r w:rsidR="00DA20FB" w:rsidRPr="00DA20FB">
                <w:rPr>
                  <w:rStyle w:val="Hyperlink"/>
                  <w:rFonts w:cstheme="minorHAnsi"/>
                  <w:szCs w:val="24"/>
                </w:rPr>
                <w:t>https://link.springer.com/article/10.1007/s00011-020-01342-0</w:t>
              </w:r>
            </w:hyperlink>
            <w:r w:rsidR="00DA20FB" w:rsidRPr="00DA20FB">
              <w:rPr>
                <w:rFonts w:cstheme="minorHAnsi"/>
                <w:szCs w:val="24"/>
              </w:rPr>
              <w:t xml:space="preserve"> </w:t>
            </w:r>
          </w:p>
          <w:p w14:paraId="6E44CACE" w14:textId="77777777" w:rsidR="002B4E7D" w:rsidRPr="002B4E7D" w:rsidRDefault="002B4E7D" w:rsidP="002B4E7D">
            <w:pPr>
              <w:rPr>
                <w:rFonts w:cstheme="minorHAnsi"/>
                <w:szCs w:val="24"/>
              </w:rPr>
            </w:pPr>
          </w:p>
          <w:p w14:paraId="60252E4E" w14:textId="77777777" w:rsidR="002B4E7D" w:rsidRPr="00D336B0" w:rsidRDefault="002B4E7D" w:rsidP="00DA20FB">
            <w:pPr>
              <w:pStyle w:val="ListParagraph"/>
              <w:numPr>
                <w:ilvl w:val="0"/>
                <w:numId w:val="17"/>
              </w:numPr>
              <w:rPr>
                <w:rFonts w:cstheme="minorHAnsi"/>
                <w:szCs w:val="24"/>
                <w:lang w:val="fr-FR"/>
              </w:rPr>
            </w:pPr>
            <w:r w:rsidRPr="00DA20FB">
              <w:rPr>
                <w:rFonts w:cstheme="minorHAnsi"/>
                <w:szCs w:val="24"/>
              </w:rPr>
              <w:t xml:space="preserve">Ling, W. (2020) C-reactive protein levels in the early stage of COVID-19. </w:t>
            </w:r>
            <w:r w:rsidRPr="00D336B0">
              <w:rPr>
                <w:rFonts w:cstheme="minorHAnsi"/>
                <w:szCs w:val="24"/>
                <w:lang w:val="fr-FR"/>
              </w:rPr>
              <w:t xml:space="preserve">Médecine et Maladies Infectieuses. [In Press, Journal Pre-proof] </w:t>
            </w:r>
            <w:hyperlink r:id="rId19" w:history="1">
              <w:r w:rsidR="00DA20FB" w:rsidRPr="00D336B0">
                <w:rPr>
                  <w:rStyle w:val="Hyperlink"/>
                  <w:rFonts w:cstheme="minorHAnsi"/>
                  <w:szCs w:val="24"/>
                  <w:lang w:val="fr-FR"/>
                </w:rPr>
                <w:t>https://www.sciencedirect.com/science/article/pii/S0399077X2030086X?via%3Dihub</w:t>
              </w:r>
            </w:hyperlink>
            <w:r w:rsidR="00DA20FB" w:rsidRPr="00D336B0">
              <w:rPr>
                <w:rFonts w:cstheme="minorHAnsi"/>
                <w:szCs w:val="24"/>
                <w:lang w:val="fr-FR"/>
              </w:rPr>
              <w:t xml:space="preserve"> </w:t>
            </w:r>
          </w:p>
          <w:p w14:paraId="0D6E4EB7" w14:textId="77777777" w:rsidR="002B4E7D" w:rsidRPr="00D336B0" w:rsidRDefault="002B4E7D" w:rsidP="002B4E7D">
            <w:pPr>
              <w:rPr>
                <w:rFonts w:cstheme="minorHAnsi"/>
                <w:szCs w:val="24"/>
                <w:lang w:val="fr-FR"/>
              </w:rPr>
            </w:pPr>
          </w:p>
          <w:p w14:paraId="5BCE76EE" w14:textId="77777777" w:rsidR="002B4E7D" w:rsidRPr="00DA20FB" w:rsidRDefault="002B4E7D" w:rsidP="00DA20FB">
            <w:pPr>
              <w:pStyle w:val="ListParagraph"/>
              <w:numPr>
                <w:ilvl w:val="0"/>
                <w:numId w:val="17"/>
              </w:numPr>
              <w:rPr>
                <w:rFonts w:cstheme="minorHAnsi"/>
                <w:szCs w:val="24"/>
              </w:rPr>
            </w:pPr>
            <w:r w:rsidRPr="00DA20FB">
              <w:rPr>
                <w:rFonts w:cstheme="minorHAnsi"/>
                <w:szCs w:val="24"/>
              </w:rPr>
              <w:t xml:space="preserve">Liu, Y. et al (2020) Clinical and biochemical indexes from 2019-nCoV infected patients linked to viral loads and lung injury. Science China Life Sciences, 63, pp. </w:t>
            </w:r>
            <w:r w:rsidRPr="00DA20FB">
              <w:rPr>
                <w:rFonts w:cstheme="minorHAnsi"/>
                <w:szCs w:val="24"/>
              </w:rPr>
              <w:lastRenderedPageBreak/>
              <w:t xml:space="preserve">364-374. </w:t>
            </w:r>
            <w:hyperlink r:id="rId20" w:history="1">
              <w:r w:rsidRPr="00DA20FB">
                <w:rPr>
                  <w:rStyle w:val="Hyperlink"/>
                  <w:rFonts w:cstheme="minorHAnsi"/>
                  <w:szCs w:val="24"/>
                </w:rPr>
                <w:t>https://link.springer.com/article/10.1007%2Fs11427-020-1643-8</w:t>
              </w:r>
            </w:hyperlink>
            <w:r w:rsidRPr="00DA20FB">
              <w:rPr>
                <w:rFonts w:cstheme="minorHAnsi"/>
                <w:szCs w:val="24"/>
              </w:rPr>
              <w:t xml:space="preserve"> </w:t>
            </w:r>
          </w:p>
          <w:p w14:paraId="1AB567FF" w14:textId="77777777" w:rsidR="001867EB" w:rsidRPr="002B0DEC" w:rsidRDefault="001867EB" w:rsidP="002B4E7D">
            <w:pPr>
              <w:rPr>
                <w:rFonts w:cstheme="minorHAnsi"/>
                <w:szCs w:val="24"/>
              </w:rPr>
            </w:pPr>
          </w:p>
        </w:tc>
      </w:tr>
      <w:tr w:rsidR="002B0DEC" w:rsidRPr="009030AF" w14:paraId="62FDA3F2" w14:textId="77777777" w:rsidTr="00D76ADA">
        <w:tc>
          <w:tcPr>
            <w:tcW w:w="1668" w:type="dxa"/>
            <w:tcBorders>
              <w:top w:val="single" w:sz="4" w:space="0" w:color="auto"/>
              <w:left w:val="single" w:sz="4" w:space="0" w:color="auto"/>
              <w:bottom w:val="single" w:sz="4" w:space="0" w:color="auto"/>
              <w:right w:val="single" w:sz="4" w:space="0" w:color="auto"/>
            </w:tcBorders>
          </w:tcPr>
          <w:p w14:paraId="4D2C0405" w14:textId="77777777" w:rsidR="002B0DEC" w:rsidRPr="009030AF" w:rsidRDefault="002B0DEC">
            <w:pPr>
              <w:rPr>
                <w:rFonts w:cstheme="minorHAnsi"/>
                <w:b/>
                <w:szCs w:val="24"/>
              </w:rPr>
            </w:pPr>
            <w:r>
              <w:rPr>
                <w:rFonts w:cstheme="minorHAnsi"/>
                <w:b/>
                <w:szCs w:val="24"/>
              </w:rPr>
              <w:lastRenderedPageBreak/>
              <w:t>Additional information</w:t>
            </w:r>
          </w:p>
        </w:tc>
        <w:tc>
          <w:tcPr>
            <w:tcW w:w="9014" w:type="dxa"/>
            <w:tcBorders>
              <w:top w:val="single" w:sz="4" w:space="0" w:color="auto"/>
              <w:left w:val="single" w:sz="4" w:space="0" w:color="auto"/>
              <w:bottom w:val="single" w:sz="4" w:space="0" w:color="auto"/>
              <w:right w:val="single" w:sz="4" w:space="0" w:color="auto"/>
            </w:tcBorders>
          </w:tcPr>
          <w:p w14:paraId="2CA31E84" w14:textId="77777777" w:rsidR="002B4E7D" w:rsidRPr="002B4E7D" w:rsidRDefault="002B4E7D" w:rsidP="002B4E7D">
            <w:pPr>
              <w:rPr>
                <w:b/>
              </w:rPr>
            </w:pPr>
            <w:r w:rsidRPr="002B4E7D">
              <w:rPr>
                <w:b/>
              </w:rPr>
              <w:t>Cytokine storm</w:t>
            </w:r>
          </w:p>
          <w:p w14:paraId="08D67A9C" w14:textId="77777777" w:rsidR="002B4E7D" w:rsidRDefault="002B4E7D" w:rsidP="00DA20FB">
            <w:pPr>
              <w:pStyle w:val="ListParagraph"/>
              <w:numPr>
                <w:ilvl w:val="0"/>
                <w:numId w:val="18"/>
              </w:numPr>
            </w:pPr>
            <w:r>
              <w:t xml:space="preserve">McGonagle, D., Sharif, K., O'Regan, A. and Bridgewood, C. (2020) The Role of Cytokines including Interleukin-6 in COVID-19 induced Pneumonia and Macrophage Activation Syndrome-Like Disease. Autoimmunity Reviews [in press, corrected proof] </w:t>
            </w:r>
            <w:hyperlink r:id="rId21" w:history="1">
              <w:r w:rsidR="000266F1" w:rsidRPr="002055AD">
                <w:rPr>
                  <w:rStyle w:val="Hyperlink"/>
                </w:rPr>
                <w:t>https://www.sciencedirect.com/science/article/pii/S1568997220300926?via%3Dihub</w:t>
              </w:r>
            </w:hyperlink>
            <w:r w:rsidR="000266F1">
              <w:t xml:space="preserve"> </w:t>
            </w:r>
          </w:p>
          <w:p w14:paraId="272A5F2E" w14:textId="77777777" w:rsidR="002B4E7D" w:rsidRDefault="002B4E7D" w:rsidP="002B4E7D"/>
          <w:p w14:paraId="1F923D82" w14:textId="77777777" w:rsidR="002B4E7D" w:rsidRDefault="002B4E7D" w:rsidP="00DA20FB">
            <w:pPr>
              <w:pStyle w:val="ListParagraph"/>
              <w:numPr>
                <w:ilvl w:val="0"/>
                <w:numId w:val="18"/>
              </w:numPr>
            </w:pPr>
            <w:r>
              <w:t xml:space="preserve">Yang, Y. et al (2020) Exuberant elevation of IP-10, MCP-3 and IL-1ra during SARS-CoV-2 infection is associated with disease severity and fatal outcome. MedRxiv [pre-print] </w:t>
            </w:r>
            <w:hyperlink r:id="rId22" w:history="1">
              <w:r w:rsidR="000266F1" w:rsidRPr="002055AD">
                <w:rPr>
                  <w:rStyle w:val="Hyperlink"/>
                </w:rPr>
                <w:t>https://www.medrxiv.org/content/10.1101/2020.03.02.20029975v1</w:t>
              </w:r>
            </w:hyperlink>
            <w:r w:rsidR="000266F1">
              <w:t xml:space="preserve"> </w:t>
            </w:r>
          </w:p>
          <w:p w14:paraId="484E56E1" w14:textId="77777777" w:rsidR="002B4E7D" w:rsidRDefault="002B4E7D" w:rsidP="002B4E7D"/>
          <w:p w14:paraId="0067C77D" w14:textId="77777777" w:rsidR="002B4E7D" w:rsidRDefault="002B4E7D" w:rsidP="00DA20FB">
            <w:pPr>
              <w:pStyle w:val="ListParagraph"/>
              <w:numPr>
                <w:ilvl w:val="0"/>
                <w:numId w:val="18"/>
              </w:numPr>
            </w:pPr>
            <w:r>
              <w:t>Ma, J., et al (2020) Potential effect of blood purification therapy in reducing cytokine storm as a late complication of critically ill COVID-19. Clinical Immunology, p. 214 [correspondence]</w:t>
            </w:r>
          </w:p>
          <w:p w14:paraId="285CC068" w14:textId="77777777" w:rsidR="002B4E7D" w:rsidRDefault="00D336B0" w:rsidP="000266F1">
            <w:pPr>
              <w:pStyle w:val="ListParagraph"/>
            </w:pPr>
            <w:hyperlink r:id="rId23" w:history="1">
              <w:r w:rsidR="000266F1" w:rsidRPr="002055AD">
                <w:rPr>
                  <w:rStyle w:val="Hyperlink"/>
                </w:rPr>
                <w:t>https://www.ncbi.nlm.nih.gov/pmc/articles/PMC7118642/</w:t>
              </w:r>
            </w:hyperlink>
            <w:r w:rsidR="000266F1">
              <w:t xml:space="preserve"> </w:t>
            </w:r>
          </w:p>
          <w:p w14:paraId="094E1FE4" w14:textId="77777777" w:rsidR="002B4E7D" w:rsidRDefault="002B4E7D" w:rsidP="002B4E7D"/>
          <w:p w14:paraId="152A21FB" w14:textId="77777777" w:rsidR="002B4E7D" w:rsidRDefault="002B4E7D" w:rsidP="00DA20FB">
            <w:pPr>
              <w:pStyle w:val="ListParagraph"/>
              <w:numPr>
                <w:ilvl w:val="0"/>
                <w:numId w:val="18"/>
              </w:numPr>
            </w:pPr>
            <w:r>
              <w:t xml:space="preserve">Zhang, C. et al (2020) The cytokine release syndrome (CRS) of severe COVID-19 and Interleukin-6 receptor (IL-6R) antagonist Tocilizumab may be the key to reduce the mortality. International Journal of Antimicrobial Agents. </w:t>
            </w:r>
            <w:hyperlink r:id="rId24" w:history="1">
              <w:r w:rsidR="000266F1" w:rsidRPr="002055AD">
                <w:rPr>
                  <w:rStyle w:val="Hyperlink"/>
                </w:rPr>
                <w:t>https://www.ncbi.nlm.nih.gov/pmc/articles/PMC7118634/</w:t>
              </w:r>
            </w:hyperlink>
            <w:r w:rsidR="000266F1">
              <w:t xml:space="preserve"> </w:t>
            </w:r>
          </w:p>
          <w:p w14:paraId="0C665DD9" w14:textId="77777777" w:rsidR="002B4E7D" w:rsidRDefault="002B4E7D" w:rsidP="002B4E7D"/>
          <w:p w14:paraId="4E2B0222" w14:textId="77777777" w:rsidR="000266F1" w:rsidRPr="000266F1" w:rsidRDefault="002B4E7D" w:rsidP="000266F1">
            <w:pPr>
              <w:pStyle w:val="ListParagraph"/>
              <w:numPr>
                <w:ilvl w:val="0"/>
                <w:numId w:val="18"/>
              </w:numPr>
              <w:rPr>
                <w:rFonts w:cstheme="minorHAnsi"/>
                <w:szCs w:val="24"/>
              </w:rPr>
            </w:pPr>
            <w:r>
              <w:t xml:space="preserve">Mehta, P. et al (2020) COVID-19: consider cytokine storm syndromes and immunosuppression. The Lancet, 395(10229), pp. 1033-1034 </w:t>
            </w:r>
            <w:hyperlink r:id="rId25" w:history="1">
              <w:r w:rsidR="000266F1" w:rsidRPr="002055AD">
                <w:rPr>
                  <w:rStyle w:val="Hyperlink"/>
                </w:rPr>
                <w:t>https://www.thelancet.com/journals/lancet/article/PIIS0140-6736(20)30628-0/fulltext</w:t>
              </w:r>
            </w:hyperlink>
            <w:r w:rsidR="000266F1">
              <w:br/>
            </w:r>
          </w:p>
        </w:tc>
      </w:tr>
      <w:tr w:rsidR="00D76ADA" w:rsidRPr="009030AF" w14:paraId="71A61EE2" w14:textId="77777777" w:rsidTr="00D76ADA">
        <w:tc>
          <w:tcPr>
            <w:tcW w:w="1668" w:type="dxa"/>
            <w:tcBorders>
              <w:top w:val="single" w:sz="4" w:space="0" w:color="auto"/>
              <w:left w:val="single" w:sz="4" w:space="0" w:color="auto"/>
              <w:bottom w:val="single" w:sz="4" w:space="0" w:color="auto"/>
              <w:right w:val="single" w:sz="4" w:space="0" w:color="auto"/>
            </w:tcBorders>
            <w:hideMark/>
          </w:tcPr>
          <w:p w14:paraId="378773B3" w14:textId="77777777" w:rsidR="00D76ADA" w:rsidRPr="009030AF" w:rsidRDefault="00D76ADA">
            <w:pPr>
              <w:rPr>
                <w:rFonts w:cstheme="minorHAnsi"/>
                <w:b/>
                <w:szCs w:val="24"/>
              </w:rPr>
            </w:pPr>
            <w:r w:rsidRPr="009030AF">
              <w:rPr>
                <w:rFonts w:cstheme="minorHAnsi"/>
                <w:b/>
                <w:szCs w:val="24"/>
              </w:rPr>
              <w:t>Search strategy</w:t>
            </w:r>
          </w:p>
        </w:tc>
        <w:tc>
          <w:tcPr>
            <w:tcW w:w="9014" w:type="dxa"/>
            <w:tcBorders>
              <w:top w:val="single" w:sz="4" w:space="0" w:color="auto"/>
              <w:left w:val="single" w:sz="4" w:space="0" w:color="auto"/>
              <w:bottom w:val="single" w:sz="4" w:space="0" w:color="auto"/>
              <w:right w:val="single" w:sz="4" w:space="0" w:color="auto"/>
            </w:tcBorders>
          </w:tcPr>
          <w:p w14:paraId="626E6C5F" w14:textId="77777777" w:rsidR="00D565AB" w:rsidRDefault="00DA20FB" w:rsidP="00DA20FB">
            <w:pPr>
              <w:pStyle w:val="ListParagraph"/>
              <w:numPr>
                <w:ilvl w:val="0"/>
                <w:numId w:val="15"/>
              </w:numPr>
              <w:rPr>
                <w:rFonts w:cstheme="minorHAnsi"/>
                <w:szCs w:val="24"/>
              </w:rPr>
            </w:pPr>
            <w:r>
              <w:rPr>
                <w:rFonts w:cstheme="minorHAnsi"/>
                <w:szCs w:val="24"/>
              </w:rPr>
              <w:t>EMBASE and Medline databases via NICE Healthcare Databases Advanced Search interface (</w:t>
            </w:r>
            <w:hyperlink r:id="rId26" w:history="1">
              <w:r w:rsidRPr="002055AD">
                <w:rPr>
                  <w:rStyle w:val="Hyperlink"/>
                  <w:rFonts w:cstheme="minorHAnsi"/>
                  <w:szCs w:val="24"/>
                </w:rPr>
                <w:t>https://hdas.nice.org.uk</w:t>
              </w:r>
            </w:hyperlink>
            <w:r>
              <w:rPr>
                <w:rFonts w:cstheme="minorHAnsi"/>
                <w:szCs w:val="24"/>
              </w:rPr>
              <w:t xml:space="preserve">) </w:t>
            </w:r>
          </w:p>
          <w:p w14:paraId="41406A41" w14:textId="77777777" w:rsidR="00DA20FB" w:rsidRDefault="00DA20FB" w:rsidP="00DA20FB">
            <w:pPr>
              <w:pStyle w:val="ListParagraph"/>
              <w:numPr>
                <w:ilvl w:val="0"/>
                <w:numId w:val="15"/>
              </w:numPr>
              <w:rPr>
                <w:rFonts w:cstheme="minorHAnsi"/>
                <w:szCs w:val="24"/>
              </w:rPr>
            </w:pPr>
            <w:r>
              <w:rPr>
                <w:rFonts w:cstheme="minorHAnsi"/>
                <w:szCs w:val="24"/>
              </w:rPr>
              <w:t>PubMed</w:t>
            </w:r>
          </w:p>
          <w:p w14:paraId="5F390F1C" w14:textId="77777777" w:rsidR="00DA20FB" w:rsidRDefault="00DA20FB" w:rsidP="000266F1">
            <w:pPr>
              <w:pStyle w:val="ListParagraph"/>
              <w:numPr>
                <w:ilvl w:val="0"/>
                <w:numId w:val="15"/>
              </w:numPr>
              <w:rPr>
                <w:rFonts w:cstheme="minorHAnsi"/>
                <w:szCs w:val="24"/>
              </w:rPr>
            </w:pPr>
            <w:r>
              <w:rPr>
                <w:rFonts w:cstheme="minorHAnsi"/>
                <w:szCs w:val="24"/>
              </w:rPr>
              <w:t>Google-mediated general internet search</w:t>
            </w:r>
          </w:p>
          <w:p w14:paraId="2B059AA9" w14:textId="77777777" w:rsidR="000266F1" w:rsidRPr="000266F1" w:rsidRDefault="000266F1" w:rsidP="000266F1">
            <w:pPr>
              <w:pStyle w:val="ListParagraph"/>
              <w:numPr>
                <w:ilvl w:val="0"/>
                <w:numId w:val="15"/>
              </w:numPr>
              <w:rPr>
                <w:rFonts w:cstheme="minorHAnsi"/>
                <w:szCs w:val="24"/>
              </w:rPr>
            </w:pPr>
            <w:r>
              <w:rPr>
                <w:rFonts w:cstheme="minorHAnsi"/>
                <w:szCs w:val="24"/>
              </w:rPr>
              <w:t xml:space="preserve">EPPI </w:t>
            </w:r>
            <w:r w:rsidRPr="000266F1">
              <w:rPr>
                <w:rFonts w:cstheme="minorHAnsi"/>
                <w:szCs w:val="24"/>
              </w:rPr>
              <w:t>COVID-19: a living systematic map of the evidence</w:t>
            </w:r>
            <w:r>
              <w:rPr>
                <w:rFonts w:cstheme="minorHAnsi"/>
                <w:szCs w:val="24"/>
              </w:rPr>
              <w:t xml:space="preserve"> </w:t>
            </w:r>
            <w:hyperlink r:id="rId27" w:history="1">
              <w:r>
                <w:rPr>
                  <w:rStyle w:val="Hyperlink"/>
                </w:rPr>
                <w:t>http://eppi.ioe.ac.uk/COVID19_MAP/covid_map_v5.html</w:t>
              </w:r>
            </w:hyperlink>
          </w:p>
          <w:p w14:paraId="110B180B" w14:textId="77777777" w:rsidR="000266F1" w:rsidRPr="000266F1" w:rsidRDefault="000266F1" w:rsidP="000266F1">
            <w:pPr>
              <w:pStyle w:val="ListParagraph"/>
              <w:rPr>
                <w:rFonts w:cstheme="minorHAnsi"/>
                <w:szCs w:val="24"/>
              </w:rPr>
            </w:pPr>
          </w:p>
        </w:tc>
      </w:tr>
    </w:tbl>
    <w:p w14:paraId="0CFBA97C" w14:textId="77777777" w:rsidR="00300DCB" w:rsidRPr="009030AF" w:rsidRDefault="00300DCB" w:rsidP="00300DCB">
      <w:pPr>
        <w:rPr>
          <w:rFonts w:cstheme="minorHAnsi"/>
          <w:szCs w:val="24"/>
        </w:rPr>
      </w:pPr>
    </w:p>
    <w:p w14:paraId="2DA1A462" w14:textId="77777777" w:rsidR="00300DCB" w:rsidRPr="009030AF" w:rsidRDefault="00300DCB" w:rsidP="00300DCB">
      <w:pPr>
        <w:rPr>
          <w:rFonts w:cstheme="minorHAnsi"/>
          <w:b/>
          <w:i/>
          <w:iCs/>
          <w:szCs w:val="24"/>
        </w:rPr>
      </w:pPr>
      <w:r w:rsidRPr="009030AF">
        <w:rPr>
          <w:rFonts w:cstheme="minorHAnsi"/>
          <w:b/>
          <w:i/>
          <w:iCs/>
          <w:szCs w:val="24"/>
        </w:rPr>
        <w:t>Any queries on specific drug regimens or dosages should be passed to Medicines Information, Pharmacy on x3030 (CGH) or x6108 (GRH). Library &amp; Knowledge Services will endeavour to use the best, most appropriate and most recent sources of information available to it, but can make no warranty, express or implied as to the accuracy of any of the information or advice supplied.</w:t>
      </w:r>
    </w:p>
    <w:p w14:paraId="2D2C0F21" w14:textId="77777777" w:rsidR="00300DCB" w:rsidRPr="009030AF" w:rsidRDefault="00300DCB" w:rsidP="00300DCB">
      <w:pPr>
        <w:rPr>
          <w:rFonts w:cstheme="minorHAnsi"/>
          <w:b/>
          <w:i/>
          <w:iCs/>
          <w:szCs w:val="24"/>
        </w:rPr>
      </w:pPr>
    </w:p>
    <w:p w14:paraId="0E4D426D" w14:textId="77777777" w:rsidR="00300DCB" w:rsidRPr="009030AF" w:rsidRDefault="00300DCB" w:rsidP="00300DCB">
      <w:pPr>
        <w:rPr>
          <w:rFonts w:cstheme="minorHAnsi"/>
          <w:szCs w:val="24"/>
        </w:rPr>
      </w:pPr>
      <w:r w:rsidRPr="009030AF">
        <w:rPr>
          <w:rFonts w:cstheme="minorHAnsi"/>
          <w:b/>
          <w:szCs w:val="24"/>
        </w:rPr>
        <w:t>If you have found this service valuable please consider acknowledging the Library &amp; Knowledge Services’ role in any subsequent report, publication or presentation (and don’t forget to tell your colleagues!)</w:t>
      </w:r>
    </w:p>
    <w:p w14:paraId="44FA167B" w14:textId="77777777" w:rsidR="00090D3C" w:rsidRPr="009030AF" w:rsidRDefault="00300DCB">
      <w:pPr>
        <w:rPr>
          <w:rFonts w:cstheme="minorHAnsi"/>
          <w:noProof/>
          <w:szCs w:val="24"/>
          <w:lang w:eastAsia="en-GB"/>
        </w:rPr>
      </w:pPr>
      <w:r w:rsidRPr="009030AF">
        <w:rPr>
          <w:rFonts w:cstheme="minorHAnsi"/>
          <w:noProof/>
          <w:szCs w:val="24"/>
          <w:lang w:eastAsia="en-GB"/>
        </w:rPr>
        <w:t xml:space="preserve">                                                                                                                                                              </w:t>
      </w:r>
      <w:r w:rsidR="005D0E55" w:rsidRPr="009030AF">
        <w:rPr>
          <w:rFonts w:cstheme="minorHAnsi"/>
          <w:noProof/>
          <w:szCs w:val="24"/>
          <w:lang w:eastAsia="en-GB"/>
        </w:rPr>
        <w:t xml:space="preserve">                              </w:t>
      </w:r>
    </w:p>
    <w:sectPr w:rsidR="00090D3C" w:rsidRPr="009030AF" w:rsidSect="00300DCB">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80C3F"/>
    <w:multiLevelType w:val="hybridMultilevel"/>
    <w:tmpl w:val="02D4D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452ACB"/>
    <w:multiLevelType w:val="hybridMultilevel"/>
    <w:tmpl w:val="B5CC0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62F72"/>
    <w:multiLevelType w:val="hybridMultilevel"/>
    <w:tmpl w:val="E87A134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0122E9"/>
    <w:multiLevelType w:val="hybridMultilevel"/>
    <w:tmpl w:val="E2846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763378"/>
    <w:multiLevelType w:val="hybridMultilevel"/>
    <w:tmpl w:val="8D3CD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A81B08"/>
    <w:multiLevelType w:val="hybridMultilevel"/>
    <w:tmpl w:val="0D782112"/>
    <w:lvl w:ilvl="0" w:tplc="319A6E4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F54EFF"/>
    <w:multiLevelType w:val="hybridMultilevel"/>
    <w:tmpl w:val="9200A2C0"/>
    <w:lvl w:ilvl="0" w:tplc="3D38EB4E">
      <w:start w:val="1"/>
      <w:numFmt w:val="lowerLetter"/>
      <w:lvlText w:val="%1)"/>
      <w:lvlJc w:val="left"/>
      <w:pPr>
        <w:ind w:left="720" w:hanging="360"/>
      </w:pPr>
      <w:rPr>
        <w:rFonts w:asciiTheme="minorHAnsi" w:eastAsiaTheme="minorHAnsi" w:hAnsiTheme="minorHAnsi"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072D38"/>
    <w:multiLevelType w:val="hybridMultilevel"/>
    <w:tmpl w:val="F2C64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8C0B5F"/>
    <w:multiLevelType w:val="hybridMultilevel"/>
    <w:tmpl w:val="FEF6B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4C3740"/>
    <w:multiLevelType w:val="hybridMultilevel"/>
    <w:tmpl w:val="083EB4EA"/>
    <w:lvl w:ilvl="0" w:tplc="319A6E4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534CF4"/>
    <w:multiLevelType w:val="hybridMultilevel"/>
    <w:tmpl w:val="FD485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A67915"/>
    <w:multiLevelType w:val="hybridMultilevel"/>
    <w:tmpl w:val="66FAE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EF5AFB"/>
    <w:multiLevelType w:val="hybridMultilevel"/>
    <w:tmpl w:val="E87A134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B00792"/>
    <w:multiLevelType w:val="hybridMultilevel"/>
    <w:tmpl w:val="EB9E9BEA"/>
    <w:lvl w:ilvl="0" w:tplc="319A6E4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BC609C"/>
    <w:multiLevelType w:val="hybridMultilevel"/>
    <w:tmpl w:val="D3F29DF4"/>
    <w:lvl w:ilvl="0" w:tplc="5CD85D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EB02BC"/>
    <w:multiLevelType w:val="hybridMultilevel"/>
    <w:tmpl w:val="AF7460AC"/>
    <w:lvl w:ilvl="0" w:tplc="08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A927881"/>
    <w:multiLevelType w:val="hybridMultilevel"/>
    <w:tmpl w:val="D2D84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C86C51"/>
    <w:multiLevelType w:val="hybridMultilevel"/>
    <w:tmpl w:val="59706EC0"/>
    <w:lvl w:ilvl="0" w:tplc="F2A670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0"/>
  </w:num>
  <w:num w:numId="4">
    <w:abstractNumId w:val="9"/>
  </w:num>
  <w:num w:numId="5">
    <w:abstractNumId w:val="5"/>
  </w:num>
  <w:num w:numId="6">
    <w:abstractNumId w:val="12"/>
  </w:num>
  <w:num w:numId="7">
    <w:abstractNumId w:val="15"/>
  </w:num>
  <w:num w:numId="8">
    <w:abstractNumId w:val="13"/>
  </w:num>
  <w:num w:numId="9">
    <w:abstractNumId w:val="7"/>
  </w:num>
  <w:num w:numId="10">
    <w:abstractNumId w:val="14"/>
  </w:num>
  <w:num w:numId="11">
    <w:abstractNumId w:val="16"/>
  </w:num>
  <w:num w:numId="12">
    <w:abstractNumId w:val="0"/>
  </w:num>
  <w:num w:numId="13">
    <w:abstractNumId w:val="11"/>
  </w:num>
  <w:num w:numId="14">
    <w:abstractNumId w:val="3"/>
  </w:num>
  <w:num w:numId="15">
    <w:abstractNumId w:val="17"/>
  </w:num>
  <w:num w:numId="16">
    <w:abstractNumId w:val="8"/>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CB"/>
    <w:rsid w:val="000266F1"/>
    <w:rsid w:val="00030EFB"/>
    <w:rsid w:val="00046DCC"/>
    <w:rsid w:val="00054BFC"/>
    <w:rsid w:val="00073B35"/>
    <w:rsid w:val="00090D3C"/>
    <w:rsid w:val="00097402"/>
    <w:rsid w:val="000D1944"/>
    <w:rsid w:val="000E41BC"/>
    <w:rsid w:val="000E68CC"/>
    <w:rsid w:val="000F2F91"/>
    <w:rsid w:val="000F5558"/>
    <w:rsid w:val="000F614C"/>
    <w:rsid w:val="00105036"/>
    <w:rsid w:val="0012508C"/>
    <w:rsid w:val="00150151"/>
    <w:rsid w:val="00160AE1"/>
    <w:rsid w:val="001867EB"/>
    <w:rsid w:val="001B2730"/>
    <w:rsid w:val="001C2902"/>
    <w:rsid w:val="001C290A"/>
    <w:rsid w:val="002016E8"/>
    <w:rsid w:val="002147D1"/>
    <w:rsid w:val="00262A3D"/>
    <w:rsid w:val="00266480"/>
    <w:rsid w:val="002A350A"/>
    <w:rsid w:val="002B0DEC"/>
    <w:rsid w:val="002B4E7D"/>
    <w:rsid w:val="00300DCB"/>
    <w:rsid w:val="00316153"/>
    <w:rsid w:val="00360CC8"/>
    <w:rsid w:val="00373CEA"/>
    <w:rsid w:val="003A068F"/>
    <w:rsid w:val="003A182B"/>
    <w:rsid w:val="003F07E0"/>
    <w:rsid w:val="00481651"/>
    <w:rsid w:val="005335D0"/>
    <w:rsid w:val="0054705D"/>
    <w:rsid w:val="00555921"/>
    <w:rsid w:val="005912D4"/>
    <w:rsid w:val="005929D2"/>
    <w:rsid w:val="00595FE9"/>
    <w:rsid w:val="005B1982"/>
    <w:rsid w:val="005D0E55"/>
    <w:rsid w:val="005E0602"/>
    <w:rsid w:val="005F3F5A"/>
    <w:rsid w:val="00607B5F"/>
    <w:rsid w:val="00612BBE"/>
    <w:rsid w:val="006277F2"/>
    <w:rsid w:val="0067472A"/>
    <w:rsid w:val="006C7EAE"/>
    <w:rsid w:val="006F3115"/>
    <w:rsid w:val="007215E1"/>
    <w:rsid w:val="007308F0"/>
    <w:rsid w:val="00780262"/>
    <w:rsid w:val="0079744F"/>
    <w:rsid w:val="007C3294"/>
    <w:rsid w:val="007E0638"/>
    <w:rsid w:val="007E3BEB"/>
    <w:rsid w:val="007E66A6"/>
    <w:rsid w:val="00814C09"/>
    <w:rsid w:val="00852597"/>
    <w:rsid w:val="00896BBA"/>
    <w:rsid w:val="008A4E03"/>
    <w:rsid w:val="008B1D7D"/>
    <w:rsid w:val="008F0D09"/>
    <w:rsid w:val="008F1A10"/>
    <w:rsid w:val="009030AF"/>
    <w:rsid w:val="00942017"/>
    <w:rsid w:val="00945885"/>
    <w:rsid w:val="00967B12"/>
    <w:rsid w:val="00972BF9"/>
    <w:rsid w:val="0097477D"/>
    <w:rsid w:val="0099081B"/>
    <w:rsid w:val="009A2F3D"/>
    <w:rsid w:val="009C0C7E"/>
    <w:rsid w:val="009C74DA"/>
    <w:rsid w:val="00A415CE"/>
    <w:rsid w:val="00A63EB7"/>
    <w:rsid w:val="00A73C6E"/>
    <w:rsid w:val="00A80509"/>
    <w:rsid w:val="00AB422E"/>
    <w:rsid w:val="00AB5B80"/>
    <w:rsid w:val="00AC2885"/>
    <w:rsid w:val="00AC44FC"/>
    <w:rsid w:val="00AE7503"/>
    <w:rsid w:val="00AF4257"/>
    <w:rsid w:val="00B07FC0"/>
    <w:rsid w:val="00B23736"/>
    <w:rsid w:val="00B3062F"/>
    <w:rsid w:val="00B315A5"/>
    <w:rsid w:val="00B660CA"/>
    <w:rsid w:val="00B97239"/>
    <w:rsid w:val="00BC6849"/>
    <w:rsid w:val="00BD4440"/>
    <w:rsid w:val="00BF70E4"/>
    <w:rsid w:val="00C07CDC"/>
    <w:rsid w:val="00C1592E"/>
    <w:rsid w:val="00C316F7"/>
    <w:rsid w:val="00CF7D63"/>
    <w:rsid w:val="00D0026C"/>
    <w:rsid w:val="00D00F10"/>
    <w:rsid w:val="00D336B0"/>
    <w:rsid w:val="00D44090"/>
    <w:rsid w:val="00D47546"/>
    <w:rsid w:val="00D565AB"/>
    <w:rsid w:val="00D67A28"/>
    <w:rsid w:val="00D76ADA"/>
    <w:rsid w:val="00DA20FB"/>
    <w:rsid w:val="00DA49B3"/>
    <w:rsid w:val="00DC6314"/>
    <w:rsid w:val="00DE0E2D"/>
    <w:rsid w:val="00DE4316"/>
    <w:rsid w:val="00DF32AE"/>
    <w:rsid w:val="00E163AD"/>
    <w:rsid w:val="00E3413A"/>
    <w:rsid w:val="00E36C39"/>
    <w:rsid w:val="00E37ACD"/>
    <w:rsid w:val="00E40F4F"/>
    <w:rsid w:val="00E71A69"/>
    <w:rsid w:val="00F02EF2"/>
    <w:rsid w:val="00F33BD6"/>
    <w:rsid w:val="00F34F98"/>
    <w:rsid w:val="00F436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724D"/>
  <w15:docId w15:val="{3FF42789-1775-4407-8D62-B94CA7B8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B12"/>
    <w:pPr>
      <w:spacing w:after="0" w:line="240" w:lineRule="auto"/>
    </w:pPr>
    <w:rPr>
      <w:sz w:val="24"/>
    </w:rPr>
  </w:style>
  <w:style w:type="paragraph" w:styleId="Heading1">
    <w:name w:val="heading 1"/>
    <w:basedOn w:val="Normal"/>
    <w:link w:val="Heading1Char"/>
    <w:uiPriority w:val="9"/>
    <w:qFormat/>
    <w:rsid w:val="000E68C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CB"/>
    <w:pPr>
      <w:ind w:left="720"/>
    </w:pPr>
  </w:style>
  <w:style w:type="table" w:styleId="TableGrid">
    <w:name w:val="Table Grid"/>
    <w:basedOn w:val="TableNormal"/>
    <w:uiPriority w:val="59"/>
    <w:rsid w:val="00300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0DCB"/>
    <w:rPr>
      <w:rFonts w:ascii="Tahoma" w:hAnsi="Tahoma" w:cs="Tahoma"/>
      <w:sz w:val="16"/>
      <w:szCs w:val="16"/>
    </w:rPr>
  </w:style>
  <w:style w:type="character" w:customStyle="1" w:styleId="BalloonTextChar">
    <w:name w:val="Balloon Text Char"/>
    <w:basedOn w:val="DefaultParagraphFont"/>
    <w:link w:val="BalloonText"/>
    <w:uiPriority w:val="99"/>
    <w:semiHidden/>
    <w:rsid w:val="00300DCB"/>
    <w:rPr>
      <w:rFonts w:ascii="Tahoma" w:hAnsi="Tahoma" w:cs="Tahoma"/>
      <w:sz w:val="16"/>
      <w:szCs w:val="16"/>
    </w:rPr>
  </w:style>
  <w:style w:type="character" w:styleId="Hyperlink">
    <w:name w:val="Hyperlink"/>
    <w:basedOn w:val="DefaultParagraphFont"/>
    <w:uiPriority w:val="99"/>
    <w:unhideWhenUsed/>
    <w:rsid w:val="000E68CC"/>
    <w:rPr>
      <w:color w:val="0563C1" w:themeColor="hyperlink"/>
      <w:u w:val="single"/>
    </w:rPr>
  </w:style>
  <w:style w:type="character" w:customStyle="1" w:styleId="Heading1Char">
    <w:name w:val="Heading 1 Char"/>
    <w:basedOn w:val="DefaultParagraphFont"/>
    <w:link w:val="Heading1"/>
    <w:uiPriority w:val="9"/>
    <w:rsid w:val="000E68CC"/>
    <w:rPr>
      <w:rFonts w:ascii="Times New Roman" w:eastAsia="Times New Roman" w:hAnsi="Times New Roman" w:cs="Times New Roman"/>
      <w:b/>
      <w:bCs/>
      <w:kern w:val="36"/>
      <w:sz w:val="48"/>
      <w:szCs w:val="48"/>
      <w:lang w:eastAsia="en-GB"/>
    </w:rPr>
  </w:style>
  <w:style w:type="character" w:customStyle="1" w:styleId="paragraph-number">
    <w:name w:val="paragraph-number"/>
    <w:basedOn w:val="DefaultParagraphFont"/>
    <w:rsid w:val="00360CC8"/>
  </w:style>
  <w:style w:type="character" w:styleId="FollowedHyperlink">
    <w:name w:val="FollowedHyperlink"/>
    <w:basedOn w:val="DefaultParagraphFont"/>
    <w:uiPriority w:val="99"/>
    <w:semiHidden/>
    <w:unhideWhenUsed/>
    <w:rsid w:val="002B4E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17964">
      <w:bodyDiv w:val="1"/>
      <w:marLeft w:val="0"/>
      <w:marRight w:val="0"/>
      <w:marTop w:val="0"/>
      <w:marBottom w:val="0"/>
      <w:divBdr>
        <w:top w:val="none" w:sz="0" w:space="0" w:color="auto"/>
        <w:left w:val="none" w:sz="0" w:space="0" w:color="auto"/>
        <w:bottom w:val="none" w:sz="0" w:space="0" w:color="auto"/>
        <w:right w:val="none" w:sz="0" w:space="0" w:color="auto"/>
      </w:divBdr>
    </w:div>
    <w:div w:id="205025377">
      <w:bodyDiv w:val="1"/>
      <w:marLeft w:val="0"/>
      <w:marRight w:val="0"/>
      <w:marTop w:val="0"/>
      <w:marBottom w:val="0"/>
      <w:divBdr>
        <w:top w:val="none" w:sz="0" w:space="0" w:color="auto"/>
        <w:left w:val="none" w:sz="0" w:space="0" w:color="auto"/>
        <w:bottom w:val="none" w:sz="0" w:space="0" w:color="auto"/>
        <w:right w:val="none" w:sz="0" w:space="0" w:color="auto"/>
      </w:divBdr>
    </w:div>
    <w:div w:id="326904067">
      <w:bodyDiv w:val="1"/>
      <w:marLeft w:val="0"/>
      <w:marRight w:val="0"/>
      <w:marTop w:val="0"/>
      <w:marBottom w:val="0"/>
      <w:divBdr>
        <w:top w:val="none" w:sz="0" w:space="0" w:color="auto"/>
        <w:left w:val="none" w:sz="0" w:space="0" w:color="auto"/>
        <w:bottom w:val="none" w:sz="0" w:space="0" w:color="auto"/>
        <w:right w:val="none" w:sz="0" w:space="0" w:color="auto"/>
      </w:divBdr>
    </w:div>
    <w:div w:id="598832797">
      <w:bodyDiv w:val="1"/>
      <w:marLeft w:val="0"/>
      <w:marRight w:val="0"/>
      <w:marTop w:val="0"/>
      <w:marBottom w:val="0"/>
      <w:divBdr>
        <w:top w:val="none" w:sz="0" w:space="0" w:color="auto"/>
        <w:left w:val="none" w:sz="0" w:space="0" w:color="auto"/>
        <w:bottom w:val="none" w:sz="0" w:space="0" w:color="auto"/>
        <w:right w:val="none" w:sz="0" w:space="0" w:color="auto"/>
      </w:divBdr>
    </w:div>
    <w:div w:id="989988955">
      <w:bodyDiv w:val="1"/>
      <w:marLeft w:val="0"/>
      <w:marRight w:val="0"/>
      <w:marTop w:val="0"/>
      <w:marBottom w:val="0"/>
      <w:divBdr>
        <w:top w:val="none" w:sz="0" w:space="0" w:color="auto"/>
        <w:left w:val="none" w:sz="0" w:space="0" w:color="auto"/>
        <w:bottom w:val="none" w:sz="0" w:space="0" w:color="auto"/>
        <w:right w:val="none" w:sz="0" w:space="0" w:color="auto"/>
      </w:divBdr>
    </w:div>
    <w:div w:id="1301769351">
      <w:bodyDiv w:val="1"/>
      <w:marLeft w:val="0"/>
      <w:marRight w:val="0"/>
      <w:marTop w:val="0"/>
      <w:marBottom w:val="0"/>
      <w:divBdr>
        <w:top w:val="none" w:sz="0" w:space="0" w:color="auto"/>
        <w:left w:val="none" w:sz="0" w:space="0" w:color="auto"/>
        <w:bottom w:val="none" w:sz="0" w:space="0" w:color="auto"/>
        <w:right w:val="none" w:sz="0" w:space="0" w:color="auto"/>
      </w:divBdr>
    </w:div>
    <w:div w:id="1492134292">
      <w:bodyDiv w:val="1"/>
      <w:marLeft w:val="0"/>
      <w:marRight w:val="0"/>
      <w:marTop w:val="0"/>
      <w:marBottom w:val="0"/>
      <w:divBdr>
        <w:top w:val="none" w:sz="0" w:space="0" w:color="auto"/>
        <w:left w:val="none" w:sz="0" w:space="0" w:color="auto"/>
        <w:bottom w:val="none" w:sz="0" w:space="0" w:color="auto"/>
        <w:right w:val="none" w:sz="0" w:space="0" w:color="auto"/>
      </w:divBdr>
    </w:div>
    <w:div w:id="1620258737">
      <w:bodyDiv w:val="1"/>
      <w:marLeft w:val="0"/>
      <w:marRight w:val="0"/>
      <w:marTop w:val="0"/>
      <w:marBottom w:val="0"/>
      <w:divBdr>
        <w:top w:val="none" w:sz="0" w:space="0" w:color="auto"/>
        <w:left w:val="none" w:sz="0" w:space="0" w:color="auto"/>
        <w:bottom w:val="none" w:sz="0" w:space="0" w:color="auto"/>
        <w:right w:val="none" w:sz="0" w:space="0" w:color="auto"/>
      </w:divBdr>
    </w:div>
    <w:div w:id="1696881872">
      <w:bodyDiv w:val="1"/>
      <w:marLeft w:val="0"/>
      <w:marRight w:val="0"/>
      <w:marTop w:val="0"/>
      <w:marBottom w:val="0"/>
      <w:divBdr>
        <w:top w:val="none" w:sz="0" w:space="0" w:color="auto"/>
        <w:left w:val="none" w:sz="0" w:space="0" w:color="auto"/>
        <w:bottom w:val="none" w:sz="0" w:space="0" w:color="auto"/>
        <w:right w:val="none" w:sz="0" w:space="0" w:color="auto"/>
      </w:divBdr>
    </w:div>
    <w:div w:id="1796636451">
      <w:bodyDiv w:val="1"/>
      <w:marLeft w:val="0"/>
      <w:marRight w:val="0"/>
      <w:marTop w:val="0"/>
      <w:marBottom w:val="0"/>
      <w:divBdr>
        <w:top w:val="none" w:sz="0" w:space="0" w:color="auto"/>
        <w:left w:val="none" w:sz="0" w:space="0" w:color="auto"/>
        <w:bottom w:val="none" w:sz="0" w:space="0" w:color="auto"/>
        <w:right w:val="none" w:sz="0" w:space="0" w:color="auto"/>
      </w:divBdr>
    </w:div>
    <w:div w:id="1845628625">
      <w:bodyDiv w:val="1"/>
      <w:marLeft w:val="0"/>
      <w:marRight w:val="0"/>
      <w:marTop w:val="0"/>
      <w:marBottom w:val="0"/>
      <w:divBdr>
        <w:top w:val="none" w:sz="0" w:space="0" w:color="auto"/>
        <w:left w:val="none" w:sz="0" w:space="0" w:color="auto"/>
        <w:bottom w:val="none" w:sz="0" w:space="0" w:color="auto"/>
        <w:right w:val="none" w:sz="0" w:space="0" w:color="auto"/>
      </w:divBdr>
      <w:divsChild>
        <w:div w:id="889223021">
          <w:marLeft w:val="0"/>
          <w:marRight w:val="0"/>
          <w:marTop w:val="0"/>
          <w:marBottom w:val="0"/>
          <w:divBdr>
            <w:top w:val="none" w:sz="0" w:space="0" w:color="auto"/>
            <w:left w:val="none" w:sz="0" w:space="0" w:color="auto"/>
            <w:bottom w:val="none" w:sz="0" w:space="0" w:color="auto"/>
            <w:right w:val="none" w:sz="0" w:space="0" w:color="auto"/>
          </w:divBdr>
          <w:divsChild>
            <w:div w:id="1932466178">
              <w:marLeft w:val="450"/>
              <w:marRight w:val="0"/>
              <w:marTop w:val="0"/>
              <w:marBottom w:val="0"/>
              <w:divBdr>
                <w:top w:val="none" w:sz="0" w:space="0" w:color="auto"/>
                <w:left w:val="none" w:sz="0" w:space="0" w:color="auto"/>
                <w:bottom w:val="none" w:sz="0" w:space="0" w:color="auto"/>
                <w:right w:val="none" w:sz="0" w:space="0" w:color="auto"/>
              </w:divBdr>
            </w:div>
            <w:div w:id="187258006">
              <w:marLeft w:val="450"/>
              <w:marRight w:val="0"/>
              <w:marTop w:val="0"/>
              <w:marBottom w:val="0"/>
              <w:divBdr>
                <w:top w:val="none" w:sz="0" w:space="0" w:color="auto"/>
                <w:left w:val="none" w:sz="0" w:space="0" w:color="auto"/>
                <w:bottom w:val="none" w:sz="0" w:space="0" w:color="auto"/>
                <w:right w:val="none" w:sz="0" w:space="0" w:color="auto"/>
              </w:divBdr>
            </w:div>
            <w:div w:id="391543005">
              <w:marLeft w:val="450"/>
              <w:marRight w:val="0"/>
              <w:marTop w:val="0"/>
              <w:marBottom w:val="0"/>
              <w:divBdr>
                <w:top w:val="none" w:sz="0" w:space="0" w:color="auto"/>
                <w:left w:val="none" w:sz="0" w:space="0" w:color="auto"/>
                <w:bottom w:val="none" w:sz="0" w:space="0" w:color="auto"/>
                <w:right w:val="none" w:sz="0" w:space="0" w:color="auto"/>
              </w:divBdr>
            </w:div>
            <w:div w:id="1769882780">
              <w:marLeft w:val="450"/>
              <w:marRight w:val="0"/>
              <w:marTop w:val="0"/>
              <w:marBottom w:val="0"/>
              <w:divBdr>
                <w:top w:val="none" w:sz="0" w:space="0" w:color="auto"/>
                <w:left w:val="none" w:sz="0" w:space="0" w:color="auto"/>
                <w:bottom w:val="none" w:sz="0" w:space="0" w:color="auto"/>
                <w:right w:val="none" w:sz="0" w:space="0" w:color="auto"/>
              </w:divBdr>
            </w:div>
            <w:div w:id="1117916355">
              <w:marLeft w:val="450"/>
              <w:marRight w:val="0"/>
              <w:marTop w:val="0"/>
              <w:marBottom w:val="0"/>
              <w:divBdr>
                <w:top w:val="none" w:sz="0" w:space="0" w:color="auto"/>
                <w:left w:val="none" w:sz="0" w:space="0" w:color="auto"/>
                <w:bottom w:val="none" w:sz="0" w:space="0" w:color="auto"/>
                <w:right w:val="none" w:sz="0" w:space="0" w:color="auto"/>
              </w:divBdr>
            </w:div>
            <w:div w:id="801077349">
              <w:marLeft w:val="450"/>
              <w:marRight w:val="0"/>
              <w:marTop w:val="0"/>
              <w:marBottom w:val="0"/>
              <w:divBdr>
                <w:top w:val="none" w:sz="0" w:space="0" w:color="auto"/>
                <w:left w:val="none" w:sz="0" w:space="0" w:color="auto"/>
                <w:bottom w:val="none" w:sz="0" w:space="0" w:color="auto"/>
                <w:right w:val="none" w:sz="0" w:space="0" w:color="auto"/>
              </w:divBdr>
            </w:div>
            <w:div w:id="1706828651">
              <w:marLeft w:val="450"/>
              <w:marRight w:val="0"/>
              <w:marTop w:val="0"/>
              <w:marBottom w:val="0"/>
              <w:divBdr>
                <w:top w:val="none" w:sz="0" w:space="0" w:color="auto"/>
                <w:left w:val="none" w:sz="0" w:space="0" w:color="auto"/>
                <w:bottom w:val="none" w:sz="0" w:space="0" w:color="auto"/>
                <w:right w:val="none" w:sz="0" w:space="0" w:color="auto"/>
              </w:divBdr>
            </w:div>
            <w:div w:id="1574196601">
              <w:marLeft w:val="450"/>
              <w:marRight w:val="0"/>
              <w:marTop w:val="0"/>
              <w:marBottom w:val="0"/>
              <w:divBdr>
                <w:top w:val="none" w:sz="0" w:space="0" w:color="auto"/>
                <w:left w:val="none" w:sz="0" w:space="0" w:color="auto"/>
                <w:bottom w:val="none" w:sz="0" w:space="0" w:color="auto"/>
                <w:right w:val="none" w:sz="0" w:space="0" w:color="auto"/>
              </w:divBdr>
            </w:div>
          </w:divsChild>
        </w:div>
        <w:div w:id="1493065458">
          <w:marLeft w:val="0"/>
          <w:marRight w:val="0"/>
          <w:marTop w:val="0"/>
          <w:marBottom w:val="0"/>
          <w:divBdr>
            <w:top w:val="none" w:sz="0" w:space="0" w:color="auto"/>
            <w:left w:val="none" w:sz="0" w:space="0" w:color="auto"/>
            <w:bottom w:val="none" w:sz="0" w:space="0" w:color="auto"/>
            <w:right w:val="none" w:sz="0" w:space="0" w:color="auto"/>
          </w:divBdr>
          <w:divsChild>
            <w:div w:id="763068340">
              <w:marLeft w:val="450"/>
              <w:marRight w:val="0"/>
              <w:marTop w:val="0"/>
              <w:marBottom w:val="0"/>
              <w:divBdr>
                <w:top w:val="none" w:sz="0" w:space="0" w:color="auto"/>
                <w:left w:val="none" w:sz="0" w:space="0" w:color="auto"/>
                <w:bottom w:val="none" w:sz="0" w:space="0" w:color="auto"/>
                <w:right w:val="none" w:sz="0" w:space="0" w:color="auto"/>
              </w:divBdr>
            </w:div>
            <w:div w:id="1215391367">
              <w:marLeft w:val="450"/>
              <w:marRight w:val="0"/>
              <w:marTop w:val="0"/>
              <w:marBottom w:val="0"/>
              <w:divBdr>
                <w:top w:val="none" w:sz="0" w:space="0" w:color="auto"/>
                <w:left w:val="none" w:sz="0" w:space="0" w:color="auto"/>
                <w:bottom w:val="none" w:sz="0" w:space="0" w:color="auto"/>
                <w:right w:val="none" w:sz="0" w:space="0" w:color="auto"/>
              </w:divBdr>
            </w:div>
            <w:div w:id="1581523791">
              <w:marLeft w:val="450"/>
              <w:marRight w:val="0"/>
              <w:marTop w:val="0"/>
              <w:marBottom w:val="0"/>
              <w:divBdr>
                <w:top w:val="none" w:sz="0" w:space="0" w:color="auto"/>
                <w:left w:val="none" w:sz="0" w:space="0" w:color="auto"/>
                <w:bottom w:val="none" w:sz="0" w:space="0" w:color="auto"/>
                <w:right w:val="none" w:sz="0" w:space="0" w:color="auto"/>
              </w:divBdr>
            </w:div>
            <w:div w:id="808091312">
              <w:marLeft w:val="450"/>
              <w:marRight w:val="0"/>
              <w:marTop w:val="0"/>
              <w:marBottom w:val="0"/>
              <w:divBdr>
                <w:top w:val="none" w:sz="0" w:space="0" w:color="auto"/>
                <w:left w:val="none" w:sz="0" w:space="0" w:color="auto"/>
                <w:bottom w:val="none" w:sz="0" w:space="0" w:color="auto"/>
                <w:right w:val="none" w:sz="0" w:space="0" w:color="auto"/>
              </w:divBdr>
            </w:div>
            <w:div w:id="1239633579">
              <w:marLeft w:val="450"/>
              <w:marRight w:val="0"/>
              <w:marTop w:val="0"/>
              <w:marBottom w:val="0"/>
              <w:divBdr>
                <w:top w:val="none" w:sz="0" w:space="0" w:color="auto"/>
                <w:left w:val="none" w:sz="0" w:space="0" w:color="auto"/>
                <w:bottom w:val="none" w:sz="0" w:space="0" w:color="auto"/>
                <w:right w:val="none" w:sz="0" w:space="0" w:color="auto"/>
              </w:divBdr>
            </w:div>
            <w:div w:id="303968656">
              <w:marLeft w:val="450"/>
              <w:marRight w:val="0"/>
              <w:marTop w:val="0"/>
              <w:marBottom w:val="0"/>
              <w:divBdr>
                <w:top w:val="none" w:sz="0" w:space="0" w:color="auto"/>
                <w:left w:val="none" w:sz="0" w:space="0" w:color="auto"/>
                <w:bottom w:val="none" w:sz="0" w:space="0" w:color="auto"/>
                <w:right w:val="none" w:sz="0" w:space="0" w:color="auto"/>
              </w:divBdr>
            </w:div>
            <w:div w:id="2044283368">
              <w:marLeft w:val="450"/>
              <w:marRight w:val="0"/>
              <w:marTop w:val="0"/>
              <w:marBottom w:val="0"/>
              <w:divBdr>
                <w:top w:val="none" w:sz="0" w:space="0" w:color="auto"/>
                <w:left w:val="none" w:sz="0" w:space="0" w:color="auto"/>
                <w:bottom w:val="none" w:sz="0" w:space="0" w:color="auto"/>
                <w:right w:val="none" w:sz="0" w:space="0" w:color="auto"/>
              </w:divBdr>
            </w:div>
            <w:div w:id="1775439091">
              <w:marLeft w:val="450"/>
              <w:marRight w:val="0"/>
              <w:marTop w:val="0"/>
              <w:marBottom w:val="0"/>
              <w:divBdr>
                <w:top w:val="none" w:sz="0" w:space="0" w:color="auto"/>
                <w:left w:val="none" w:sz="0" w:space="0" w:color="auto"/>
                <w:bottom w:val="none" w:sz="0" w:space="0" w:color="auto"/>
                <w:right w:val="none" w:sz="0" w:space="0" w:color="auto"/>
              </w:divBdr>
            </w:div>
          </w:divsChild>
        </w:div>
        <w:div w:id="165480902">
          <w:marLeft w:val="0"/>
          <w:marRight w:val="0"/>
          <w:marTop w:val="0"/>
          <w:marBottom w:val="0"/>
          <w:divBdr>
            <w:top w:val="none" w:sz="0" w:space="0" w:color="auto"/>
            <w:left w:val="none" w:sz="0" w:space="0" w:color="auto"/>
            <w:bottom w:val="none" w:sz="0" w:space="0" w:color="auto"/>
            <w:right w:val="none" w:sz="0" w:space="0" w:color="auto"/>
          </w:divBdr>
          <w:divsChild>
            <w:div w:id="54009361">
              <w:marLeft w:val="450"/>
              <w:marRight w:val="0"/>
              <w:marTop w:val="0"/>
              <w:marBottom w:val="0"/>
              <w:divBdr>
                <w:top w:val="none" w:sz="0" w:space="0" w:color="auto"/>
                <w:left w:val="none" w:sz="0" w:space="0" w:color="auto"/>
                <w:bottom w:val="none" w:sz="0" w:space="0" w:color="auto"/>
                <w:right w:val="none" w:sz="0" w:space="0" w:color="auto"/>
              </w:divBdr>
            </w:div>
            <w:div w:id="1910917704">
              <w:marLeft w:val="450"/>
              <w:marRight w:val="0"/>
              <w:marTop w:val="0"/>
              <w:marBottom w:val="0"/>
              <w:divBdr>
                <w:top w:val="none" w:sz="0" w:space="0" w:color="auto"/>
                <w:left w:val="none" w:sz="0" w:space="0" w:color="auto"/>
                <w:bottom w:val="none" w:sz="0" w:space="0" w:color="auto"/>
                <w:right w:val="none" w:sz="0" w:space="0" w:color="auto"/>
              </w:divBdr>
            </w:div>
            <w:div w:id="1256329915">
              <w:marLeft w:val="450"/>
              <w:marRight w:val="0"/>
              <w:marTop w:val="0"/>
              <w:marBottom w:val="0"/>
              <w:divBdr>
                <w:top w:val="none" w:sz="0" w:space="0" w:color="auto"/>
                <w:left w:val="none" w:sz="0" w:space="0" w:color="auto"/>
                <w:bottom w:val="none" w:sz="0" w:space="0" w:color="auto"/>
                <w:right w:val="none" w:sz="0" w:space="0" w:color="auto"/>
              </w:divBdr>
            </w:div>
            <w:div w:id="689453521">
              <w:marLeft w:val="450"/>
              <w:marRight w:val="0"/>
              <w:marTop w:val="0"/>
              <w:marBottom w:val="0"/>
              <w:divBdr>
                <w:top w:val="none" w:sz="0" w:space="0" w:color="auto"/>
                <w:left w:val="none" w:sz="0" w:space="0" w:color="auto"/>
                <w:bottom w:val="none" w:sz="0" w:space="0" w:color="auto"/>
                <w:right w:val="none" w:sz="0" w:space="0" w:color="auto"/>
              </w:divBdr>
            </w:div>
            <w:div w:id="735932472">
              <w:marLeft w:val="450"/>
              <w:marRight w:val="0"/>
              <w:marTop w:val="0"/>
              <w:marBottom w:val="0"/>
              <w:divBdr>
                <w:top w:val="none" w:sz="0" w:space="0" w:color="auto"/>
                <w:left w:val="none" w:sz="0" w:space="0" w:color="auto"/>
                <w:bottom w:val="none" w:sz="0" w:space="0" w:color="auto"/>
                <w:right w:val="none" w:sz="0" w:space="0" w:color="auto"/>
              </w:divBdr>
            </w:div>
            <w:div w:id="1145317516">
              <w:marLeft w:val="450"/>
              <w:marRight w:val="0"/>
              <w:marTop w:val="0"/>
              <w:marBottom w:val="0"/>
              <w:divBdr>
                <w:top w:val="none" w:sz="0" w:space="0" w:color="auto"/>
                <w:left w:val="none" w:sz="0" w:space="0" w:color="auto"/>
                <w:bottom w:val="none" w:sz="0" w:space="0" w:color="auto"/>
                <w:right w:val="none" w:sz="0" w:space="0" w:color="auto"/>
              </w:divBdr>
            </w:div>
            <w:div w:id="524249876">
              <w:marLeft w:val="450"/>
              <w:marRight w:val="0"/>
              <w:marTop w:val="0"/>
              <w:marBottom w:val="0"/>
              <w:divBdr>
                <w:top w:val="none" w:sz="0" w:space="0" w:color="auto"/>
                <w:left w:val="none" w:sz="0" w:space="0" w:color="auto"/>
                <w:bottom w:val="none" w:sz="0" w:space="0" w:color="auto"/>
                <w:right w:val="none" w:sz="0" w:space="0" w:color="auto"/>
              </w:divBdr>
            </w:div>
          </w:divsChild>
        </w:div>
        <w:div w:id="1750153223">
          <w:marLeft w:val="0"/>
          <w:marRight w:val="0"/>
          <w:marTop w:val="0"/>
          <w:marBottom w:val="0"/>
          <w:divBdr>
            <w:top w:val="none" w:sz="0" w:space="0" w:color="auto"/>
            <w:left w:val="none" w:sz="0" w:space="0" w:color="auto"/>
            <w:bottom w:val="none" w:sz="0" w:space="0" w:color="auto"/>
            <w:right w:val="none" w:sz="0" w:space="0" w:color="auto"/>
          </w:divBdr>
          <w:divsChild>
            <w:div w:id="141587537">
              <w:marLeft w:val="450"/>
              <w:marRight w:val="0"/>
              <w:marTop w:val="0"/>
              <w:marBottom w:val="0"/>
              <w:divBdr>
                <w:top w:val="none" w:sz="0" w:space="0" w:color="auto"/>
                <w:left w:val="none" w:sz="0" w:space="0" w:color="auto"/>
                <w:bottom w:val="none" w:sz="0" w:space="0" w:color="auto"/>
                <w:right w:val="none" w:sz="0" w:space="0" w:color="auto"/>
              </w:divBdr>
            </w:div>
            <w:div w:id="77405513">
              <w:marLeft w:val="450"/>
              <w:marRight w:val="0"/>
              <w:marTop w:val="0"/>
              <w:marBottom w:val="0"/>
              <w:divBdr>
                <w:top w:val="none" w:sz="0" w:space="0" w:color="auto"/>
                <w:left w:val="none" w:sz="0" w:space="0" w:color="auto"/>
                <w:bottom w:val="none" w:sz="0" w:space="0" w:color="auto"/>
                <w:right w:val="none" w:sz="0" w:space="0" w:color="auto"/>
              </w:divBdr>
            </w:div>
            <w:div w:id="467939987">
              <w:marLeft w:val="450"/>
              <w:marRight w:val="0"/>
              <w:marTop w:val="0"/>
              <w:marBottom w:val="0"/>
              <w:divBdr>
                <w:top w:val="none" w:sz="0" w:space="0" w:color="auto"/>
                <w:left w:val="none" w:sz="0" w:space="0" w:color="auto"/>
                <w:bottom w:val="none" w:sz="0" w:space="0" w:color="auto"/>
                <w:right w:val="none" w:sz="0" w:space="0" w:color="auto"/>
              </w:divBdr>
            </w:div>
            <w:div w:id="1209684089">
              <w:marLeft w:val="450"/>
              <w:marRight w:val="0"/>
              <w:marTop w:val="0"/>
              <w:marBottom w:val="0"/>
              <w:divBdr>
                <w:top w:val="none" w:sz="0" w:space="0" w:color="auto"/>
                <w:left w:val="none" w:sz="0" w:space="0" w:color="auto"/>
                <w:bottom w:val="none" w:sz="0" w:space="0" w:color="auto"/>
                <w:right w:val="none" w:sz="0" w:space="0" w:color="auto"/>
              </w:divBdr>
            </w:div>
            <w:div w:id="1580285786">
              <w:marLeft w:val="450"/>
              <w:marRight w:val="0"/>
              <w:marTop w:val="0"/>
              <w:marBottom w:val="0"/>
              <w:divBdr>
                <w:top w:val="none" w:sz="0" w:space="0" w:color="auto"/>
                <w:left w:val="none" w:sz="0" w:space="0" w:color="auto"/>
                <w:bottom w:val="none" w:sz="0" w:space="0" w:color="auto"/>
                <w:right w:val="none" w:sz="0" w:space="0" w:color="auto"/>
              </w:divBdr>
            </w:div>
            <w:div w:id="1964263847">
              <w:marLeft w:val="450"/>
              <w:marRight w:val="0"/>
              <w:marTop w:val="0"/>
              <w:marBottom w:val="0"/>
              <w:divBdr>
                <w:top w:val="none" w:sz="0" w:space="0" w:color="auto"/>
                <w:left w:val="none" w:sz="0" w:space="0" w:color="auto"/>
                <w:bottom w:val="none" w:sz="0" w:space="0" w:color="auto"/>
                <w:right w:val="none" w:sz="0" w:space="0" w:color="auto"/>
              </w:divBdr>
            </w:div>
            <w:div w:id="857040482">
              <w:marLeft w:val="450"/>
              <w:marRight w:val="0"/>
              <w:marTop w:val="0"/>
              <w:marBottom w:val="0"/>
              <w:divBdr>
                <w:top w:val="none" w:sz="0" w:space="0" w:color="auto"/>
                <w:left w:val="none" w:sz="0" w:space="0" w:color="auto"/>
                <w:bottom w:val="none" w:sz="0" w:space="0" w:color="auto"/>
                <w:right w:val="none" w:sz="0" w:space="0" w:color="auto"/>
              </w:divBdr>
            </w:div>
            <w:div w:id="17809491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64828737">
      <w:bodyDiv w:val="1"/>
      <w:marLeft w:val="0"/>
      <w:marRight w:val="0"/>
      <w:marTop w:val="0"/>
      <w:marBottom w:val="0"/>
      <w:divBdr>
        <w:top w:val="none" w:sz="0" w:space="0" w:color="auto"/>
        <w:left w:val="none" w:sz="0" w:space="0" w:color="auto"/>
        <w:bottom w:val="none" w:sz="0" w:space="0" w:color="auto"/>
        <w:right w:val="none" w:sz="0" w:space="0" w:color="auto"/>
      </w:divBdr>
    </w:div>
    <w:div w:id="2019690230">
      <w:bodyDiv w:val="1"/>
      <w:marLeft w:val="0"/>
      <w:marRight w:val="0"/>
      <w:marTop w:val="0"/>
      <w:marBottom w:val="0"/>
      <w:divBdr>
        <w:top w:val="none" w:sz="0" w:space="0" w:color="auto"/>
        <w:left w:val="none" w:sz="0" w:space="0" w:color="auto"/>
        <w:bottom w:val="none" w:sz="0" w:space="0" w:color="auto"/>
        <w:right w:val="none" w:sz="0" w:space="0" w:color="auto"/>
      </w:divBdr>
    </w:div>
    <w:div w:id="205110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sciencedirect.com/science/article/pii/S0009898120301248" TargetMode="External"/><Relationship Id="rId18" Type="http://schemas.openxmlformats.org/officeDocument/2006/relationships/hyperlink" Target="https://link.springer.com/article/10.1007/s00011-020-01342-0" TargetMode="External"/><Relationship Id="rId26" Type="http://schemas.openxmlformats.org/officeDocument/2006/relationships/hyperlink" Target="https://hdas.nice.org.uk" TargetMode="External"/><Relationship Id="rId3" Type="http://schemas.openxmlformats.org/officeDocument/2006/relationships/customXml" Target="../customXml/item3.xml"/><Relationship Id="rId21" Type="http://schemas.openxmlformats.org/officeDocument/2006/relationships/hyperlink" Target="https://www.sciencedirect.com/science/article/pii/S1568997220300926?via%3Dihub" TargetMode="External"/><Relationship Id="rId7" Type="http://schemas.openxmlformats.org/officeDocument/2006/relationships/webSettings" Target="webSettings.xml"/><Relationship Id="rId12" Type="http://schemas.openxmlformats.org/officeDocument/2006/relationships/hyperlink" Target="https://www.thelancet.com/journals/lancet/article/PIIS0140-6736(20)30566-3/fulltext" TargetMode="External"/><Relationship Id="rId17" Type="http://schemas.openxmlformats.org/officeDocument/2006/relationships/hyperlink" Target="https://www.jci.org/articles/view/137244" TargetMode="External"/><Relationship Id="rId25" Type="http://schemas.openxmlformats.org/officeDocument/2006/relationships/hyperlink" Target="https://www.thelancet.com/journals/lancet/article/PIIS0140-6736(20)30628-0/fulltext" TargetMode="External"/><Relationship Id="rId2" Type="http://schemas.openxmlformats.org/officeDocument/2006/relationships/customXml" Target="../customXml/item2.xml"/><Relationship Id="rId16" Type="http://schemas.openxmlformats.org/officeDocument/2006/relationships/hyperlink" Target="https://www.medrxiv.org/content/10.1101/2020.03.24.20042655v1" TargetMode="External"/><Relationship Id="rId20" Type="http://schemas.openxmlformats.org/officeDocument/2006/relationships/hyperlink" Target="https://link.springer.com/article/10.1007%2Fs11427-020-1643-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esearchsquare.com/article/rs-18079/v1" TargetMode="External"/><Relationship Id="rId24" Type="http://schemas.openxmlformats.org/officeDocument/2006/relationships/hyperlink" Target="https://www.ncbi.nlm.nih.gov/pmc/articles/PMC7118634/" TargetMode="External"/><Relationship Id="rId5" Type="http://schemas.openxmlformats.org/officeDocument/2006/relationships/styles" Target="styles.xml"/><Relationship Id="rId15" Type="http://schemas.openxmlformats.org/officeDocument/2006/relationships/hyperlink" Target="https://www.medrxiv.org/content/10.1101/2020.03.17.20037572v1" TargetMode="External"/><Relationship Id="rId23" Type="http://schemas.openxmlformats.org/officeDocument/2006/relationships/hyperlink" Target="https://www.ncbi.nlm.nih.gov/pmc/articles/PMC7118642/" TargetMode="External"/><Relationship Id="rId28" Type="http://schemas.openxmlformats.org/officeDocument/2006/relationships/fontTable" Target="fontTable.xml"/><Relationship Id="rId10" Type="http://schemas.openxmlformats.org/officeDocument/2006/relationships/hyperlink" Target="http://www.acb.org.uk/whatwesay/acb_newspage/2020/03/23/coronavirus-and-covid-19-update-from-acb-scientific-committee" TargetMode="External"/><Relationship Id="rId19" Type="http://schemas.openxmlformats.org/officeDocument/2006/relationships/hyperlink" Target="https://www.sciencedirect.com/science/article/pii/S0399077X2030086X?via%3Dihub"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www.jci.org/articles/view/137244/files/pdf" TargetMode="External"/><Relationship Id="rId22" Type="http://schemas.openxmlformats.org/officeDocument/2006/relationships/hyperlink" Target="https://www.medrxiv.org/content/10.1101/2020.03.02.20029975v1" TargetMode="External"/><Relationship Id="rId27" Type="http://schemas.openxmlformats.org/officeDocument/2006/relationships/hyperlink" Target="http://eppi.ioe.ac.uk/COVID19_MAP/covid_map_v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35BE48-B00D-4731-ABF7-1EEDF2EB679E}">
  <ds:schemaRefs>
    <ds:schemaRef ds:uri="http://schemas.microsoft.com/office/2006/metadata/properties"/>
    <ds:schemaRef ds:uri="http://schemas.microsoft.com/office/infopath/2007/PartnerControls"/>
    <ds:schemaRef ds:uri="d2389ad0-4628-4ca4-babd-a5e1ca1fc43d"/>
  </ds:schemaRefs>
</ds:datastoreItem>
</file>

<file path=customXml/itemProps2.xml><?xml version="1.0" encoding="utf-8"?>
<ds:datastoreItem xmlns:ds="http://schemas.openxmlformats.org/officeDocument/2006/customXml" ds:itemID="{91EDF219-F6C3-42DB-BEA6-360DE75CD5A1}">
  <ds:schemaRefs>
    <ds:schemaRef ds:uri="http://schemas.microsoft.com/sharepoint/v3/contenttype/forms"/>
  </ds:schemaRefs>
</ds:datastoreItem>
</file>

<file path=customXml/itemProps3.xml><?xml version="1.0" encoding="utf-8"?>
<ds:datastoreItem xmlns:ds="http://schemas.openxmlformats.org/officeDocument/2006/customXml" ds:itemID="{DEF6D1C8-DBD7-4F90-8E6D-6596B6AB9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Gloucestershire NHS</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Riddington Lisa</dc:creator>
  <cp:lastModifiedBy>Helene Gorring</cp:lastModifiedBy>
  <cp:revision>2</cp:revision>
  <cp:lastPrinted>2018-11-05T11:14:00Z</cp:lastPrinted>
  <dcterms:created xsi:type="dcterms:W3CDTF">2020-05-04T11:58:00Z</dcterms:created>
  <dcterms:modified xsi:type="dcterms:W3CDTF">2020-05-04T11:58:00Z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1224100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