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873CC" w14:textId="615D71D0" w:rsidR="00D07FA7" w:rsidRDefault="00BA6B90" w:rsidP="005B30F0">
      <w:pPr>
        <w:pStyle w:val="Title"/>
        <w:spacing w:after="0"/>
        <w:rPr>
          <w:sz w:val="56"/>
          <w:szCs w:val="56"/>
          <w:lang w:val="en-US"/>
        </w:rPr>
      </w:pPr>
      <w:r w:rsidRPr="00465699">
        <w:rPr>
          <w:sz w:val="56"/>
          <w:szCs w:val="56"/>
          <w:lang w:val="en-US"/>
        </w:rPr>
        <w:t xml:space="preserve">Case Study: </w:t>
      </w:r>
      <w:proofErr w:type="spellStart"/>
      <w:r w:rsidRPr="00465699">
        <w:rPr>
          <w:sz w:val="56"/>
          <w:szCs w:val="56"/>
          <w:lang w:val="en-US"/>
        </w:rPr>
        <w:t>OpenEHR’s</w:t>
      </w:r>
      <w:proofErr w:type="spellEnd"/>
      <w:r w:rsidRPr="00465699">
        <w:rPr>
          <w:sz w:val="56"/>
          <w:szCs w:val="56"/>
          <w:lang w:val="en-US"/>
        </w:rPr>
        <w:t xml:space="preserve"> Gender</w:t>
      </w:r>
    </w:p>
    <w:p w14:paraId="159854A9" w14:textId="1A418A31" w:rsidR="000008A2" w:rsidRPr="000008A2" w:rsidRDefault="002426E9" w:rsidP="005B30F0">
      <w:pPr>
        <w:pStyle w:val="Subtitle"/>
        <w:spacing w:after="360"/>
        <w:rPr>
          <w:lang w:val="en-US"/>
        </w:rPr>
      </w:pPr>
      <w:r>
        <w:rPr>
          <w:lang w:val="en-US"/>
        </w:rPr>
        <w:t>Analysis of How to Align</w:t>
      </w:r>
      <w:r w:rsidR="000008A2">
        <w:rPr>
          <w:lang w:val="en-US"/>
        </w:rPr>
        <w:t xml:space="preserve"> </w:t>
      </w:r>
      <w:proofErr w:type="spellStart"/>
      <w:r w:rsidR="00A22B3A">
        <w:rPr>
          <w:lang w:val="en-US"/>
        </w:rPr>
        <w:t>OpenEHR’s</w:t>
      </w:r>
      <w:proofErr w:type="spellEnd"/>
      <w:r w:rsidR="00A22B3A">
        <w:rPr>
          <w:lang w:val="en-US"/>
        </w:rPr>
        <w:t xml:space="preserve"> Concept Gender with the </w:t>
      </w:r>
      <w:r w:rsidR="000008A2">
        <w:rPr>
          <w:lang w:val="en-US"/>
        </w:rPr>
        <w:t>Health-RI Ontology</w:t>
      </w:r>
    </w:p>
    <w:p w14:paraId="6003CF7A" w14:textId="12DC8277" w:rsidR="00BA6B90" w:rsidRDefault="00552098" w:rsidP="007E60B6">
      <w:pPr>
        <w:pStyle w:val="Heading1"/>
        <w:rPr>
          <w:lang w:val="en-US"/>
        </w:rPr>
      </w:pPr>
      <w:r w:rsidRPr="00552098">
        <w:rPr>
          <w:lang w:val="en-US"/>
        </w:rPr>
        <w:t>Reference Information</w:t>
      </w:r>
    </w:p>
    <w:p w14:paraId="5DFDC7E5" w14:textId="375A4795" w:rsidR="000B0BA4" w:rsidRDefault="009F3E5B" w:rsidP="00376150">
      <w:pPr>
        <w:rPr>
          <w:lang w:val="en-US"/>
        </w:rPr>
      </w:pPr>
      <w:r>
        <w:rPr>
          <w:lang w:val="en-US"/>
        </w:rPr>
        <w:t xml:space="preserve">In this case </w:t>
      </w:r>
      <w:r w:rsidR="006E668E">
        <w:rPr>
          <w:lang w:val="en-US"/>
        </w:rPr>
        <w:t>study,</w:t>
      </w:r>
      <w:r>
        <w:rPr>
          <w:lang w:val="en-US"/>
        </w:rPr>
        <w:t xml:space="preserve"> we </w:t>
      </w:r>
      <w:r w:rsidR="00376150">
        <w:rPr>
          <w:lang w:val="en-US"/>
        </w:rPr>
        <w:t xml:space="preserve">analyze </w:t>
      </w:r>
      <w:r w:rsidR="007765B4">
        <w:rPr>
          <w:lang w:val="en-US"/>
        </w:rPr>
        <w:t xml:space="preserve">the alignment of </w:t>
      </w:r>
      <w:proofErr w:type="spellStart"/>
      <w:r w:rsidR="005B78E7">
        <w:rPr>
          <w:lang w:val="en-US"/>
        </w:rPr>
        <w:t>OpenEHR’s</w:t>
      </w:r>
      <w:proofErr w:type="spellEnd"/>
      <w:r w:rsidR="005B78E7">
        <w:rPr>
          <w:lang w:val="en-US"/>
        </w:rPr>
        <w:t xml:space="preserve"> </w:t>
      </w:r>
      <w:r w:rsidR="00376150">
        <w:rPr>
          <w:lang w:val="en-US"/>
        </w:rPr>
        <w:t xml:space="preserve">concept </w:t>
      </w:r>
      <w:r w:rsidR="00376150" w:rsidRPr="005B78E7">
        <w:rPr>
          <w:b/>
          <w:bCs/>
          <w:lang w:val="en-US"/>
        </w:rPr>
        <w:t>Gender</w:t>
      </w:r>
      <w:r w:rsidR="007765B4">
        <w:rPr>
          <w:lang w:val="en-US"/>
        </w:rPr>
        <w:t>—</w:t>
      </w:r>
      <w:r w:rsidR="00376150" w:rsidRPr="005B78E7">
        <w:rPr>
          <w:i/>
          <w:iCs/>
          <w:lang w:val="en-US"/>
        </w:rPr>
        <w:t>archetype ID openEHR-EHR-EVALUATION.gender.v1, revision 1.1.4</w:t>
      </w:r>
      <w:r w:rsidR="00E96AC6">
        <w:rPr>
          <w:lang w:val="en-US"/>
        </w:rPr>
        <w:t xml:space="preserve">, defined in </w:t>
      </w:r>
      <w:hyperlink r:id="rId8" w:history="1">
        <w:r w:rsidR="007765B4" w:rsidRPr="00D848D0">
          <w:rPr>
            <w:rStyle w:val="Hyperlink"/>
            <w:lang w:val="en-US"/>
          </w:rPr>
          <w:t>https://ckm.openehr.org/ckm/archetypes/1013.1.3715—with</w:t>
        </w:r>
      </w:hyperlink>
      <w:r w:rsidR="007765B4">
        <w:rPr>
          <w:lang w:val="en-US"/>
        </w:rPr>
        <w:t xml:space="preserve"> concepts </w:t>
      </w:r>
      <w:r w:rsidR="00183CFF">
        <w:rPr>
          <w:lang w:val="en-US"/>
        </w:rPr>
        <w:t xml:space="preserve">from the Health-RI Ontology (HRIO) </w:t>
      </w:r>
      <w:r w:rsidR="007765B4">
        <w:rPr>
          <w:lang w:val="en-US"/>
        </w:rPr>
        <w:t xml:space="preserve">related to Sex and Gender using the </w:t>
      </w:r>
      <w:hyperlink r:id="rId9" w:history="1">
        <w:r w:rsidR="007765B4" w:rsidRPr="007765B4">
          <w:rPr>
            <w:rStyle w:val="Hyperlink"/>
            <w:lang w:val="en-US"/>
          </w:rPr>
          <w:t>ontology’s version v0.11.0</w:t>
        </w:r>
      </w:hyperlink>
      <w:r w:rsidR="007765B4">
        <w:rPr>
          <w:lang w:val="en-US"/>
        </w:rPr>
        <w:t>.</w:t>
      </w:r>
    </w:p>
    <w:p w14:paraId="45E99701" w14:textId="7BB32CD3" w:rsidR="005733FD" w:rsidRPr="00376150" w:rsidRDefault="005733FD" w:rsidP="00376150">
      <w:pPr>
        <w:rPr>
          <w:lang w:val="en-US"/>
        </w:rPr>
      </w:pPr>
      <w:r>
        <w:rPr>
          <w:lang w:val="en-US"/>
        </w:rPr>
        <w:t>The information in this document is presented in a simplified form to have the main aspects of the alignment covered. For in-depth information we advise contacting us via the channels provided at the Initiative’s webpage.</w:t>
      </w:r>
    </w:p>
    <w:p w14:paraId="3BCE5EDE" w14:textId="5261A386" w:rsidR="007E60B6" w:rsidRDefault="00552098" w:rsidP="007E60B6">
      <w:pPr>
        <w:pStyle w:val="Heading1"/>
        <w:rPr>
          <w:lang w:val="en-US"/>
        </w:rPr>
      </w:pPr>
      <w:r w:rsidRPr="00552098">
        <w:rPr>
          <w:lang w:val="en-US"/>
        </w:rPr>
        <w:t>Conceptualization in Sources</w:t>
      </w:r>
    </w:p>
    <w:p w14:paraId="4F1DAC96" w14:textId="43B29347" w:rsidR="006E668E" w:rsidRPr="006E668E" w:rsidRDefault="00E11E0F" w:rsidP="00376150">
      <w:pPr>
        <w:rPr>
          <w:lang w:val="en-US"/>
        </w:rPr>
      </w:pPr>
      <w:r>
        <w:rPr>
          <w:lang w:val="en-US"/>
        </w:rPr>
        <w:t>W</w:t>
      </w:r>
      <w:r w:rsidR="004D52E5">
        <w:rPr>
          <w:lang w:val="en-US"/>
        </w:rPr>
        <w:t xml:space="preserve">e focus </w:t>
      </w:r>
      <w:r>
        <w:rPr>
          <w:lang w:val="en-US"/>
        </w:rPr>
        <w:t xml:space="preserve">here </w:t>
      </w:r>
      <w:r w:rsidR="004D52E5">
        <w:rPr>
          <w:lang w:val="en-US"/>
        </w:rPr>
        <w:t xml:space="preserve">on </w:t>
      </w:r>
      <w:r w:rsidR="00B443D3" w:rsidRPr="003C6C39">
        <w:rPr>
          <w:b/>
          <w:bCs/>
          <w:lang w:val="en-US"/>
        </w:rPr>
        <w:t>Gender</w:t>
      </w:r>
      <w:r w:rsidR="006E668E" w:rsidRPr="006E668E">
        <w:rPr>
          <w:lang w:val="en-US"/>
        </w:rPr>
        <w:t xml:space="preserve">, </w:t>
      </w:r>
      <w:r w:rsidR="00376150">
        <w:rPr>
          <w:lang w:val="en-US"/>
        </w:rPr>
        <w:t>with definition</w:t>
      </w:r>
      <w:r w:rsidR="006E668E" w:rsidRPr="006E668E">
        <w:rPr>
          <w:lang w:val="en-US"/>
        </w:rPr>
        <w:t xml:space="preserve"> “Details about the gender of an individual”</w:t>
      </w:r>
      <w:r w:rsidR="00376150">
        <w:rPr>
          <w:lang w:val="en-US"/>
        </w:rPr>
        <w:t xml:space="preserve"> and stated p</w:t>
      </w:r>
      <w:r w:rsidR="006E668E" w:rsidRPr="00376150">
        <w:rPr>
          <w:lang w:val="en-US"/>
        </w:rPr>
        <w:t>urpose</w:t>
      </w:r>
      <w:r w:rsidR="006E668E" w:rsidRPr="006E668E">
        <w:rPr>
          <w:b/>
          <w:bCs/>
          <w:lang w:val="en-US"/>
        </w:rPr>
        <w:t xml:space="preserve"> </w:t>
      </w:r>
      <w:r w:rsidR="006E668E" w:rsidRPr="006E668E">
        <w:rPr>
          <w:lang w:val="en-US"/>
        </w:rPr>
        <w:t>“To record details about the gender of an individual.”</w:t>
      </w:r>
      <w:r w:rsidR="00376150">
        <w:rPr>
          <w:lang w:val="en-US"/>
        </w:rPr>
        <w:t xml:space="preserve"> The standard defines the concept’s </w:t>
      </w:r>
      <w:r w:rsidR="00376150" w:rsidRPr="00376150">
        <w:rPr>
          <w:b/>
          <w:bCs/>
          <w:lang w:val="en-US"/>
        </w:rPr>
        <w:t>use</w:t>
      </w:r>
      <w:r w:rsidR="00B5018B">
        <w:rPr>
          <w:b/>
          <w:bCs/>
          <w:lang w:val="en-US"/>
        </w:rPr>
        <w:t>,</w:t>
      </w:r>
      <w:r w:rsidR="00376150">
        <w:rPr>
          <w:lang w:val="en-US"/>
        </w:rPr>
        <w:t xml:space="preserve"> as follows</w:t>
      </w:r>
      <w:r w:rsidR="00B5018B">
        <w:rPr>
          <w:lang w:val="en-US"/>
        </w:rPr>
        <w:t>:</w:t>
      </w:r>
    </w:p>
    <w:p w14:paraId="176DCEBD" w14:textId="415B8E03" w:rsidR="00B443D3" w:rsidRPr="0049379F" w:rsidRDefault="004D52E5" w:rsidP="00376150">
      <w:pPr>
        <w:pStyle w:val="Quote"/>
        <w:ind w:left="708"/>
        <w:rPr>
          <w:color w:val="404040" w:themeColor="text1" w:themeTint="BF"/>
          <w:sz w:val="20"/>
          <w:szCs w:val="20"/>
          <w:lang w:val="en-US"/>
        </w:rPr>
      </w:pPr>
      <w:r w:rsidRPr="0049379F">
        <w:rPr>
          <w:color w:val="404040" w:themeColor="text1" w:themeTint="BF"/>
          <w:sz w:val="20"/>
          <w:szCs w:val="20"/>
          <w:lang w:val="en-US"/>
        </w:rPr>
        <w:t>Used</w:t>
      </w:r>
      <w:r w:rsidR="00B443D3" w:rsidRPr="0049379F">
        <w:rPr>
          <w:color w:val="404040" w:themeColor="text1" w:themeTint="BF"/>
          <w:sz w:val="20"/>
          <w:szCs w:val="20"/>
          <w:lang w:val="en-US"/>
        </w:rPr>
        <w:t xml:space="preserve"> to record details about the individual’s gender, including administrative and legal gender and assigned sex at birth, in addition to gender identity, expression and preferred pronoun.</w:t>
      </w:r>
    </w:p>
    <w:p w14:paraId="3B2C653B" w14:textId="34F53DA5" w:rsidR="00B443D3" w:rsidRPr="0049379F" w:rsidRDefault="00B443D3" w:rsidP="00376150">
      <w:pPr>
        <w:pStyle w:val="Quote"/>
        <w:ind w:left="708"/>
        <w:rPr>
          <w:color w:val="404040" w:themeColor="text1" w:themeTint="BF"/>
          <w:sz w:val="20"/>
          <w:szCs w:val="20"/>
          <w:lang w:val="en-US"/>
        </w:rPr>
      </w:pPr>
      <w:r w:rsidRPr="0049379F">
        <w:rPr>
          <w:color w:val="404040" w:themeColor="text1" w:themeTint="BF"/>
          <w:sz w:val="20"/>
          <w:szCs w:val="20"/>
          <w:lang w:val="en-US"/>
        </w:rPr>
        <w:t>The intent of this archetype is to record a broad range of details connected to the gender of an individual, due to modern thinking of gender as well as new knowledge of psychological, biological and social manifestations of gender.</w:t>
      </w:r>
    </w:p>
    <w:p w14:paraId="379A7558" w14:textId="5E5EE352" w:rsidR="00B443D3" w:rsidRPr="0049379F" w:rsidRDefault="00B443D3" w:rsidP="00376150">
      <w:pPr>
        <w:pStyle w:val="Quote"/>
        <w:ind w:left="708"/>
        <w:rPr>
          <w:color w:val="404040" w:themeColor="text1" w:themeTint="BF"/>
          <w:sz w:val="20"/>
          <w:szCs w:val="20"/>
          <w:lang w:val="en-US"/>
        </w:rPr>
      </w:pPr>
      <w:r w:rsidRPr="0049379F">
        <w:rPr>
          <w:color w:val="404040" w:themeColor="text1" w:themeTint="BF"/>
          <w:sz w:val="20"/>
          <w:szCs w:val="20"/>
          <w:lang w:val="en-US"/>
        </w:rPr>
        <w:t>This archetype also allows the recording of, and differentiation between, legal and administrative gender.</w:t>
      </w:r>
      <w:r w:rsidR="00571675">
        <w:rPr>
          <w:color w:val="404040" w:themeColor="text1" w:themeTint="BF"/>
          <w:sz w:val="20"/>
          <w:szCs w:val="20"/>
          <w:lang w:val="en-US"/>
        </w:rPr>
        <w:t xml:space="preserve"> </w:t>
      </w:r>
      <w:r w:rsidRPr="0049379F">
        <w:rPr>
          <w:color w:val="404040" w:themeColor="text1" w:themeTint="BF"/>
          <w:sz w:val="20"/>
          <w:szCs w:val="20"/>
          <w:lang w:val="en-US"/>
        </w:rPr>
        <w:t xml:space="preserve">In most common use </w:t>
      </w:r>
      <w:r w:rsidR="004D52E5" w:rsidRPr="0049379F">
        <w:rPr>
          <w:color w:val="404040" w:themeColor="text1" w:themeTint="BF"/>
          <w:sz w:val="20"/>
          <w:szCs w:val="20"/>
          <w:lang w:val="en-US"/>
        </w:rPr>
        <w:t>cases</w:t>
      </w:r>
      <w:r w:rsidRPr="0049379F">
        <w:rPr>
          <w:color w:val="404040" w:themeColor="text1" w:themeTint="BF"/>
          <w:sz w:val="20"/>
          <w:szCs w:val="20"/>
          <w:lang w:val="en-US"/>
        </w:rPr>
        <w:t xml:space="preserve"> ‘Administrative gender’ will be used, as equivalent of the traditional definition of “Sex” in current or legacy systems.</w:t>
      </w:r>
    </w:p>
    <w:p w14:paraId="61B25431" w14:textId="2875BFC6" w:rsidR="0049379F" w:rsidRPr="0049379F" w:rsidRDefault="0049379F" w:rsidP="0049379F">
      <w:pPr>
        <w:rPr>
          <w:lang w:val="en-US"/>
        </w:rPr>
      </w:pPr>
      <w:r>
        <w:rPr>
          <w:lang w:val="en-US"/>
        </w:rPr>
        <w:t xml:space="preserve">Besides the concept’s use, the standard also </w:t>
      </w:r>
      <w:r w:rsidR="003407C7">
        <w:rPr>
          <w:lang w:val="en-US"/>
        </w:rPr>
        <w:t>defines</w:t>
      </w:r>
      <w:r>
        <w:rPr>
          <w:lang w:val="en-US"/>
        </w:rPr>
        <w:t xml:space="preserve"> its </w:t>
      </w:r>
      <w:r w:rsidRPr="0049379F">
        <w:rPr>
          <w:b/>
          <w:bCs/>
          <w:lang w:val="en-US"/>
        </w:rPr>
        <w:t>misuse</w:t>
      </w:r>
      <w:r w:rsidR="00B5018B">
        <w:rPr>
          <w:lang w:val="en-US"/>
        </w:rPr>
        <w:t>:</w:t>
      </w:r>
    </w:p>
    <w:p w14:paraId="26B826ED" w14:textId="5C659CAE" w:rsidR="00B443D3" w:rsidRPr="0049379F" w:rsidRDefault="00B443D3" w:rsidP="0049379F">
      <w:pPr>
        <w:pStyle w:val="Quote"/>
        <w:ind w:left="708"/>
        <w:rPr>
          <w:color w:val="404040" w:themeColor="text1" w:themeTint="BF"/>
          <w:sz w:val="20"/>
          <w:szCs w:val="20"/>
          <w:lang w:val="en-US"/>
        </w:rPr>
      </w:pPr>
      <w:r w:rsidRPr="0049379F">
        <w:rPr>
          <w:color w:val="404040" w:themeColor="text1" w:themeTint="BF"/>
          <w:sz w:val="20"/>
          <w:szCs w:val="20"/>
          <w:lang w:val="en-US"/>
        </w:rPr>
        <w:t>Not to be used for recording information relating to the sexual orientation or sexual activity of an individual.</w:t>
      </w:r>
    </w:p>
    <w:p w14:paraId="2FCF789C" w14:textId="13BED634" w:rsidR="00B443D3" w:rsidRPr="0049379F" w:rsidRDefault="00B443D3" w:rsidP="0049379F">
      <w:pPr>
        <w:pStyle w:val="Quote"/>
        <w:ind w:left="708"/>
        <w:rPr>
          <w:color w:val="404040" w:themeColor="text1" w:themeTint="BF"/>
          <w:sz w:val="20"/>
          <w:szCs w:val="20"/>
          <w:lang w:val="en-US"/>
        </w:rPr>
      </w:pPr>
      <w:r w:rsidRPr="0049379F">
        <w:rPr>
          <w:color w:val="404040" w:themeColor="text1" w:themeTint="BF"/>
          <w:sz w:val="20"/>
          <w:szCs w:val="20"/>
          <w:lang w:val="en-US"/>
        </w:rPr>
        <w:t>Not to be used for recording genetic or chromosomal sex. Currently this is usually recorded as a laboratory test result. Formal representation of ‘Genetic sex’ is not yet well defined and may involve the combination of information axes, including chromosomal and receptor data, mosaic variants and diagnoses.</w:t>
      </w:r>
    </w:p>
    <w:p w14:paraId="4D7E5BAE" w14:textId="68DAC660" w:rsidR="006E668E" w:rsidRPr="006E668E" w:rsidRDefault="006E668E" w:rsidP="006E668E">
      <w:pPr>
        <w:rPr>
          <w:lang w:val="en-US"/>
        </w:rPr>
      </w:pPr>
      <w:r>
        <w:rPr>
          <w:lang w:val="en-US"/>
        </w:rPr>
        <w:t>The standard also defines different types of gender, as follows</w:t>
      </w:r>
      <w:r w:rsidR="00B5018B">
        <w:rPr>
          <w:lang w:val="en-US"/>
        </w:rPr>
        <w:t>.</w:t>
      </w:r>
    </w:p>
    <w:p w14:paraId="0ABA6C9E" w14:textId="6994884F" w:rsidR="009F3E5B" w:rsidRDefault="009F3E5B" w:rsidP="006E668E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 xml:space="preserve">Administrative </w:t>
      </w:r>
      <w:r w:rsidR="006E668E">
        <w:rPr>
          <w:b/>
          <w:bCs/>
          <w:lang w:val="en-US"/>
        </w:rPr>
        <w:t>g</w:t>
      </w:r>
      <w:r w:rsidRPr="006E668E">
        <w:rPr>
          <w:b/>
          <w:bCs/>
          <w:lang w:val="en-US"/>
        </w:rPr>
        <w:t>ender</w:t>
      </w:r>
      <w:r w:rsidR="006E668E" w:rsidRPr="006E668E">
        <w:rPr>
          <w:b/>
          <w:bCs/>
          <w:lang w:val="en-US"/>
        </w:rPr>
        <w:t>: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The gender of an individual used for administrative purposes.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 xml:space="preserve">This element is what most systems today </w:t>
      </w:r>
      <w:r w:rsidR="003A3F5D">
        <w:rPr>
          <w:lang w:val="en-US"/>
        </w:rPr>
        <w:t>describe</w:t>
      </w:r>
      <w:r w:rsidRPr="006E668E">
        <w:rPr>
          <w:lang w:val="en-US"/>
        </w:rPr>
        <w:t xml:space="preserve"> as ‘Sex’ or ‘Gender’. For example</w:t>
      </w:r>
      <w:r w:rsidR="006E668E" w:rsidRPr="006E668E">
        <w:rPr>
          <w:lang w:val="en-US"/>
        </w:rPr>
        <w:t>:</w:t>
      </w:r>
      <w:r w:rsidRPr="006E668E">
        <w:rPr>
          <w:lang w:val="en-US"/>
        </w:rPr>
        <w:t xml:space="preserve"> ‘Male’, ‘Female’, ‘Other’. This aligns with HL7 FHIR ‘</w:t>
      </w:r>
      <w:proofErr w:type="spellStart"/>
      <w:r w:rsidRPr="006E668E">
        <w:rPr>
          <w:lang w:val="en-US"/>
        </w:rPr>
        <w:t>Person.gender</w:t>
      </w:r>
      <w:proofErr w:type="spellEnd"/>
      <w:r w:rsidRPr="006E668E">
        <w:rPr>
          <w:lang w:val="en-US"/>
        </w:rPr>
        <w:t>’.</w:t>
      </w:r>
    </w:p>
    <w:p w14:paraId="1EFF1A1B" w14:textId="1C560E23" w:rsidR="0063534E" w:rsidRPr="0063534E" w:rsidRDefault="00A91966" w:rsidP="0063534E">
      <w:pPr>
        <w:pStyle w:val="ListParagraph"/>
        <w:numPr>
          <w:ilvl w:val="1"/>
          <w:numId w:val="3"/>
        </w:numPr>
        <w:rPr>
          <w:i/>
          <w:iCs/>
          <w:lang w:val="en-US"/>
        </w:rPr>
      </w:pPr>
      <w:hyperlink r:id="rId10" w:anchor="Person.gender" w:history="1">
        <w:r w:rsidR="0063534E" w:rsidRPr="00A91966">
          <w:rPr>
            <w:rStyle w:val="Hyperlink"/>
            <w:lang w:val="en-US"/>
          </w:rPr>
          <w:t>HL7 FHIR ‘</w:t>
        </w:r>
        <w:proofErr w:type="spellStart"/>
        <w:r w:rsidR="0063534E" w:rsidRPr="00A91966">
          <w:rPr>
            <w:rStyle w:val="Hyperlink"/>
            <w:lang w:val="en-US"/>
          </w:rPr>
          <w:t>Person.gender</w:t>
        </w:r>
        <w:proofErr w:type="spellEnd"/>
        <w:r w:rsidR="0063534E" w:rsidRPr="00A91966">
          <w:rPr>
            <w:rStyle w:val="Hyperlink"/>
            <w:lang w:val="en-US"/>
          </w:rPr>
          <w:t>’</w:t>
        </w:r>
      </w:hyperlink>
      <w:r w:rsidR="0063534E">
        <w:rPr>
          <w:lang w:val="en-US"/>
        </w:rPr>
        <w:t xml:space="preserve"> is defined with “</w:t>
      </w:r>
      <w:r w:rsidR="0063534E" w:rsidRPr="0063534E">
        <w:rPr>
          <w:i/>
          <w:iCs/>
          <w:lang w:val="en-US"/>
        </w:rPr>
        <w:t>The gender might not match the biological sex as determined by genetics, or the individual</w:t>
      </w:r>
      <w:r w:rsidR="00C72141">
        <w:rPr>
          <w:i/>
          <w:iCs/>
          <w:lang w:val="en-US"/>
        </w:rPr>
        <w:t>’</w:t>
      </w:r>
      <w:r w:rsidR="0063534E" w:rsidRPr="0063534E">
        <w:rPr>
          <w:i/>
          <w:iCs/>
          <w:lang w:val="en-US"/>
        </w:rPr>
        <w:t xml:space="preserve">s preferred identification. Note that for both humans </w:t>
      </w:r>
      <w:r w:rsidR="0063534E" w:rsidRPr="0063534E">
        <w:rPr>
          <w:i/>
          <w:iCs/>
          <w:lang w:val="en-US"/>
        </w:rPr>
        <w:lastRenderedPageBreak/>
        <w:t>and particularly animals, there are other legitimate possibilities than M and F, though a clear majority of systems and contexts only support M and F</w:t>
      </w:r>
      <w:r w:rsidR="0063534E">
        <w:rPr>
          <w:i/>
          <w:iCs/>
          <w:lang w:val="en-US"/>
        </w:rPr>
        <w:t xml:space="preserve">” </w:t>
      </w:r>
      <w:r w:rsidR="0063534E" w:rsidRPr="0063534E">
        <w:rPr>
          <w:lang w:val="en-US"/>
        </w:rPr>
        <w:t>and may have values</w:t>
      </w:r>
      <w:r w:rsidR="0063534E">
        <w:rPr>
          <w:i/>
          <w:iCs/>
          <w:lang w:val="en-US"/>
        </w:rPr>
        <w:t xml:space="preserve"> “</w:t>
      </w:r>
      <w:r w:rsidR="0063534E" w:rsidRPr="0063534E">
        <w:rPr>
          <w:i/>
          <w:iCs/>
          <w:lang w:val="en-US"/>
        </w:rPr>
        <w:t>male | female | other | unknown</w:t>
      </w:r>
      <w:r w:rsidR="0063534E">
        <w:rPr>
          <w:i/>
          <w:iCs/>
          <w:lang w:val="en-US"/>
        </w:rPr>
        <w:t>”</w:t>
      </w:r>
      <w:r w:rsidR="00ED05EC">
        <w:rPr>
          <w:i/>
          <w:iCs/>
          <w:lang w:val="en-US"/>
        </w:rPr>
        <w:t>.</w:t>
      </w:r>
    </w:p>
    <w:p w14:paraId="0592FE44" w14:textId="7E8503E1" w:rsidR="009F3E5B" w:rsidRPr="006E668E" w:rsidRDefault="009F3E5B" w:rsidP="006E668E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>Legal gender</w:t>
      </w:r>
      <w:r w:rsidR="006E668E" w:rsidRPr="006E668E">
        <w:rPr>
          <w:b/>
          <w:bCs/>
          <w:lang w:val="en-US"/>
        </w:rPr>
        <w:t>: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The gender of an individual used for official or legal purposes.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For example</w:t>
      </w:r>
      <w:r w:rsidR="006E668E" w:rsidRPr="006E668E">
        <w:rPr>
          <w:lang w:val="en-US"/>
        </w:rPr>
        <w:t>:</w:t>
      </w:r>
      <w:r w:rsidRPr="006E668E">
        <w:rPr>
          <w:lang w:val="en-US"/>
        </w:rPr>
        <w:t xml:space="preserve"> identification documents such as </w:t>
      </w:r>
      <w:r w:rsidR="006E668E">
        <w:rPr>
          <w:lang w:val="en-US"/>
        </w:rPr>
        <w:t>a birth</w:t>
      </w:r>
      <w:r w:rsidRPr="006E668E">
        <w:rPr>
          <w:lang w:val="en-US"/>
        </w:rPr>
        <w:t xml:space="preserve"> certificate or passport.</w:t>
      </w:r>
    </w:p>
    <w:p w14:paraId="6FEA4A1A" w14:textId="77777777" w:rsidR="006E668E" w:rsidRDefault="009F3E5B" w:rsidP="009F3E5B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 xml:space="preserve">Sex </w:t>
      </w:r>
      <w:r w:rsidR="006E668E" w:rsidRPr="006E668E">
        <w:rPr>
          <w:b/>
          <w:bCs/>
          <w:lang w:val="en-US"/>
        </w:rPr>
        <w:t>a</w:t>
      </w:r>
      <w:r w:rsidRPr="006E668E">
        <w:rPr>
          <w:b/>
          <w:bCs/>
          <w:lang w:val="en-US"/>
        </w:rPr>
        <w:t xml:space="preserve">ssigned at </w:t>
      </w:r>
      <w:r w:rsidR="006E668E" w:rsidRPr="006E668E">
        <w:rPr>
          <w:b/>
          <w:bCs/>
          <w:lang w:val="en-US"/>
        </w:rPr>
        <w:t>b</w:t>
      </w:r>
      <w:r w:rsidRPr="006E668E">
        <w:rPr>
          <w:b/>
          <w:bCs/>
          <w:lang w:val="en-US"/>
        </w:rPr>
        <w:t>irth</w:t>
      </w:r>
      <w:r w:rsidR="006E668E" w:rsidRPr="006E668E">
        <w:rPr>
          <w:b/>
          <w:bCs/>
          <w:lang w:val="en-US"/>
        </w:rPr>
        <w:t>: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The sex of an individual determined by anatomical characteristics observed and registered at birth.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For example</w:t>
      </w:r>
      <w:r w:rsidR="006E668E" w:rsidRPr="006E668E">
        <w:rPr>
          <w:lang w:val="en-US"/>
        </w:rPr>
        <w:t>:</w:t>
      </w:r>
      <w:r w:rsidRPr="006E668E">
        <w:rPr>
          <w:lang w:val="en-US"/>
        </w:rPr>
        <w:t xml:space="preserve"> ‘Male’, ‘Female’, ‘Intersex’.</w:t>
      </w:r>
    </w:p>
    <w:p w14:paraId="7E6ACA08" w14:textId="6BFB4031" w:rsidR="006E668E" w:rsidRDefault="006E668E" w:rsidP="006E668E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>Gender expression:</w:t>
      </w:r>
      <w:r w:rsidRPr="006E668E">
        <w:rPr>
          <w:lang w:val="en-US"/>
        </w:rPr>
        <w:t xml:space="preserve"> </w:t>
      </w:r>
      <w:r w:rsidR="009F3E5B" w:rsidRPr="006E668E">
        <w:rPr>
          <w:lang w:val="en-US"/>
        </w:rPr>
        <w:t xml:space="preserve">The expression of the gender by the individual as demonstrated by </w:t>
      </w:r>
      <w:r>
        <w:rPr>
          <w:lang w:val="en-US"/>
        </w:rPr>
        <w:t>behavior</w:t>
      </w:r>
      <w:r w:rsidR="009F3E5B" w:rsidRPr="006E668E">
        <w:rPr>
          <w:lang w:val="en-US"/>
        </w:rPr>
        <w:t>, speech, clothes or other external characteristics.</w:t>
      </w:r>
      <w:r w:rsidRPr="006E668E">
        <w:rPr>
          <w:lang w:val="en-US"/>
        </w:rPr>
        <w:t xml:space="preserve"> </w:t>
      </w:r>
      <w:r w:rsidR="009F3E5B" w:rsidRPr="006E668E">
        <w:rPr>
          <w:lang w:val="en-US"/>
        </w:rPr>
        <w:t xml:space="preserve">For </w:t>
      </w:r>
      <w:r w:rsidR="00F92865" w:rsidRPr="006E668E">
        <w:rPr>
          <w:lang w:val="en-US"/>
        </w:rPr>
        <w:t>example</w:t>
      </w:r>
      <w:r w:rsidRPr="006E668E">
        <w:rPr>
          <w:lang w:val="en-US"/>
        </w:rPr>
        <w:t>:</w:t>
      </w:r>
      <w:r w:rsidR="009F3E5B" w:rsidRPr="006E668E">
        <w:rPr>
          <w:lang w:val="en-US"/>
        </w:rPr>
        <w:t xml:space="preserve"> ‘Masculine’, ‘Feminine’, ‘Androgynous’ or ‘Alternating’. Alternatively, a narrative description.</w:t>
      </w:r>
    </w:p>
    <w:p w14:paraId="6542549B" w14:textId="38536C32" w:rsidR="006E668E" w:rsidRDefault="009F3E5B" w:rsidP="006E668E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 xml:space="preserve">Gender </w:t>
      </w:r>
      <w:r w:rsidR="006E668E" w:rsidRPr="006E668E">
        <w:rPr>
          <w:b/>
          <w:bCs/>
          <w:lang w:val="en-US"/>
        </w:rPr>
        <w:t>i</w:t>
      </w:r>
      <w:r w:rsidRPr="006E668E">
        <w:rPr>
          <w:b/>
          <w:bCs/>
          <w:lang w:val="en-US"/>
        </w:rPr>
        <w:t>dentity</w:t>
      </w:r>
      <w:r w:rsidR="006E668E" w:rsidRPr="006E668E">
        <w:rPr>
          <w:b/>
          <w:bCs/>
          <w:lang w:val="en-US"/>
        </w:rPr>
        <w:t>: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The individual’s perception of their own gender.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For example</w:t>
      </w:r>
      <w:r w:rsidR="006E668E" w:rsidRPr="006E668E">
        <w:rPr>
          <w:lang w:val="en-US"/>
        </w:rPr>
        <w:t>:</w:t>
      </w:r>
      <w:r w:rsidRPr="006E668E">
        <w:rPr>
          <w:lang w:val="en-US"/>
        </w:rPr>
        <w:t xml:space="preserve"> ‘male’</w:t>
      </w:r>
      <w:r w:rsidR="006E668E">
        <w:rPr>
          <w:lang w:val="en-US"/>
        </w:rPr>
        <w:t>,</w:t>
      </w:r>
      <w:r w:rsidRPr="006E668E">
        <w:rPr>
          <w:lang w:val="en-US"/>
        </w:rPr>
        <w:t xml:space="preserve"> ‘female’ or ‘non-binary’.</w:t>
      </w:r>
    </w:p>
    <w:p w14:paraId="689E308A" w14:textId="129DEC15" w:rsidR="006E668E" w:rsidRDefault="009F3E5B" w:rsidP="006E668E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 xml:space="preserve">Preferred </w:t>
      </w:r>
      <w:r w:rsidR="006E668E" w:rsidRPr="006E668E">
        <w:rPr>
          <w:b/>
          <w:bCs/>
          <w:lang w:val="en-US"/>
        </w:rPr>
        <w:t>p</w:t>
      </w:r>
      <w:r w:rsidRPr="006E668E">
        <w:rPr>
          <w:b/>
          <w:bCs/>
          <w:lang w:val="en-US"/>
        </w:rPr>
        <w:t>ronoun</w:t>
      </w:r>
      <w:r w:rsidR="006E668E" w:rsidRPr="006E668E">
        <w:rPr>
          <w:b/>
          <w:bCs/>
          <w:lang w:val="en-US"/>
        </w:rPr>
        <w:t>: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 xml:space="preserve">The pronoun an individual chooses to identify </w:t>
      </w:r>
      <w:r w:rsidR="006E668E" w:rsidRPr="006E668E">
        <w:rPr>
          <w:lang w:val="en-US"/>
        </w:rPr>
        <w:t>with and</w:t>
      </w:r>
      <w:r w:rsidRPr="006E668E">
        <w:rPr>
          <w:lang w:val="en-US"/>
        </w:rPr>
        <w:t xml:space="preserve"> would prefer others to use when talking to or about that individual. For example</w:t>
      </w:r>
      <w:r w:rsidR="006E668E" w:rsidRPr="006E668E">
        <w:rPr>
          <w:lang w:val="en-US"/>
        </w:rPr>
        <w:t>:</w:t>
      </w:r>
      <w:r w:rsidRPr="006E668E">
        <w:rPr>
          <w:lang w:val="en-US"/>
        </w:rPr>
        <w:t xml:space="preserve"> ‘she/her’</w:t>
      </w:r>
      <w:r w:rsidR="00F92865" w:rsidRPr="006E668E">
        <w:rPr>
          <w:lang w:val="en-US"/>
        </w:rPr>
        <w:t>,</w:t>
      </w:r>
      <w:r w:rsidRPr="006E668E">
        <w:rPr>
          <w:lang w:val="en-US"/>
        </w:rPr>
        <w:t xml:space="preserve"> ‘he/him’</w:t>
      </w:r>
      <w:r w:rsidR="00F92865" w:rsidRPr="006E668E">
        <w:rPr>
          <w:lang w:val="en-US"/>
        </w:rPr>
        <w:t>,</w:t>
      </w:r>
      <w:r w:rsidRPr="006E668E">
        <w:rPr>
          <w:lang w:val="en-US"/>
        </w:rPr>
        <w:t xml:space="preserve"> ‘they/their’</w:t>
      </w:r>
      <w:r w:rsidR="00F92865" w:rsidRPr="006E668E">
        <w:rPr>
          <w:lang w:val="en-US"/>
        </w:rPr>
        <w:t>,</w:t>
      </w:r>
      <w:r w:rsidRPr="006E668E">
        <w:rPr>
          <w:lang w:val="en-US"/>
        </w:rPr>
        <w:t xml:space="preserve"> or ‘ze/</w:t>
      </w:r>
      <w:proofErr w:type="spellStart"/>
      <w:r w:rsidRPr="006E668E">
        <w:rPr>
          <w:lang w:val="en-US"/>
        </w:rPr>
        <w:t>zir</w:t>
      </w:r>
      <w:proofErr w:type="spellEnd"/>
      <w:r w:rsidRPr="006E668E">
        <w:rPr>
          <w:lang w:val="en-US"/>
        </w:rPr>
        <w:t>’.</w:t>
      </w:r>
    </w:p>
    <w:p w14:paraId="4A1A8046" w14:textId="5F15F67E" w:rsidR="009F3E5B" w:rsidRPr="006E668E" w:rsidRDefault="009F3E5B" w:rsidP="006E668E">
      <w:pPr>
        <w:pStyle w:val="ListParagraph"/>
        <w:numPr>
          <w:ilvl w:val="0"/>
          <w:numId w:val="3"/>
        </w:numPr>
        <w:rPr>
          <w:lang w:val="en-US"/>
        </w:rPr>
      </w:pPr>
      <w:r w:rsidRPr="006E668E">
        <w:rPr>
          <w:b/>
          <w:bCs/>
          <w:lang w:val="en-US"/>
        </w:rPr>
        <w:t xml:space="preserve">Gender </w:t>
      </w:r>
      <w:r w:rsidR="006E668E" w:rsidRPr="006E668E">
        <w:rPr>
          <w:b/>
          <w:bCs/>
          <w:lang w:val="en-US"/>
        </w:rPr>
        <w:t>c</w:t>
      </w:r>
      <w:r w:rsidRPr="006E668E">
        <w:rPr>
          <w:b/>
          <w:bCs/>
          <w:lang w:val="en-US"/>
        </w:rPr>
        <w:t>ategory</w:t>
      </w:r>
      <w:r w:rsidR="006E668E" w:rsidRPr="006E668E">
        <w:rPr>
          <w:b/>
          <w:bCs/>
          <w:lang w:val="en-US"/>
        </w:rPr>
        <w:t>:</w:t>
      </w:r>
      <w:r w:rsidR="006E668E" w:rsidRPr="006E668E">
        <w:rPr>
          <w:lang w:val="en-US"/>
        </w:rPr>
        <w:t xml:space="preserve"> </w:t>
      </w:r>
      <w:r w:rsidRPr="006E668E">
        <w:rPr>
          <w:lang w:val="en-US"/>
        </w:rPr>
        <w:t>Category describing the alignment of an individual’s gender identity with their sex assigned at birth. For example</w:t>
      </w:r>
      <w:r w:rsidR="006E668E" w:rsidRPr="006E668E">
        <w:rPr>
          <w:lang w:val="en-US"/>
        </w:rPr>
        <w:t>:</w:t>
      </w:r>
      <w:r w:rsidRPr="006E668E">
        <w:rPr>
          <w:lang w:val="en-US"/>
        </w:rPr>
        <w:t xml:space="preserve"> cisgender; transgender.</w:t>
      </w:r>
    </w:p>
    <w:p w14:paraId="01E0F74E" w14:textId="0E9054DA" w:rsidR="00BA6B90" w:rsidRDefault="00552098" w:rsidP="004172C4">
      <w:pPr>
        <w:pStyle w:val="Heading1"/>
        <w:rPr>
          <w:lang w:val="en-US"/>
        </w:rPr>
      </w:pPr>
      <w:r w:rsidRPr="00552098">
        <w:rPr>
          <w:lang w:val="en-US"/>
        </w:rPr>
        <w:t>Mapping Alignment</w:t>
      </w:r>
    </w:p>
    <w:p w14:paraId="0188443E" w14:textId="58527DED" w:rsidR="004172C4" w:rsidRDefault="00846DE3" w:rsidP="00E02E87">
      <w:pPr>
        <w:rPr>
          <w:lang w:val="en-US"/>
        </w:rPr>
      </w:pPr>
      <w:r>
        <w:rPr>
          <w:lang w:val="en-US"/>
        </w:rPr>
        <w:t xml:space="preserve">The first verification to be made is about what concept possesses the property of having a gender. According to </w:t>
      </w:r>
      <w:proofErr w:type="spellStart"/>
      <w:r>
        <w:rPr>
          <w:lang w:val="en-US"/>
        </w:rPr>
        <w:t>OpenEHR’s</w:t>
      </w:r>
      <w:proofErr w:type="spellEnd"/>
      <w:r>
        <w:rPr>
          <w:lang w:val="en-US"/>
        </w:rPr>
        <w:t xml:space="preserve"> definition, gender</w:t>
      </w:r>
      <w:r w:rsidR="00E02E87">
        <w:rPr>
          <w:lang w:val="en-US"/>
        </w:rPr>
        <w:t xml:space="preserve"> </w:t>
      </w:r>
      <w:r>
        <w:rPr>
          <w:lang w:val="en-US"/>
        </w:rPr>
        <w:t>refers to “</w:t>
      </w:r>
      <w:r w:rsidR="00E02E87" w:rsidRPr="00E02E87">
        <w:rPr>
          <w:lang w:val="en-US"/>
        </w:rPr>
        <w:t>an individual</w:t>
      </w:r>
      <w:r w:rsidR="00E02E87">
        <w:rPr>
          <w:lang w:val="en-US"/>
        </w:rPr>
        <w:t>”</w:t>
      </w:r>
      <w:r w:rsidR="00F37BD8">
        <w:rPr>
          <w:lang w:val="en-US"/>
        </w:rPr>
        <w:t>—</w:t>
      </w:r>
      <w:r>
        <w:rPr>
          <w:lang w:val="en-US"/>
        </w:rPr>
        <w:t xml:space="preserve">a concept not available as an archetype. Instead, the closest archetype available is </w:t>
      </w:r>
      <w:hyperlink r:id="rId11" w:history="1">
        <w:r w:rsidR="00E02E87" w:rsidRPr="00846DE3">
          <w:rPr>
            <w:rStyle w:val="Hyperlink"/>
            <w:b/>
            <w:bCs/>
            <w:lang w:val="en-US"/>
          </w:rPr>
          <w:t>Person</w:t>
        </w:r>
      </w:hyperlink>
      <w:r w:rsidRPr="00846DE3">
        <w:rPr>
          <w:lang w:val="en-US"/>
        </w:rPr>
        <w:t>, defined</w:t>
      </w:r>
      <w:r>
        <w:rPr>
          <w:lang w:val="en-US"/>
        </w:rPr>
        <w:t xml:space="preserve"> as</w:t>
      </w:r>
      <w:r w:rsidR="00E02E87">
        <w:rPr>
          <w:lang w:val="en-US"/>
        </w:rPr>
        <w:t xml:space="preserve"> “</w:t>
      </w:r>
      <w:r>
        <w:rPr>
          <w:lang w:val="en-US"/>
        </w:rPr>
        <w:t>a</w:t>
      </w:r>
      <w:r w:rsidR="00E02E87" w:rsidRPr="00E02E87">
        <w:rPr>
          <w:lang w:val="en-US"/>
        </w:rPr>
        <w:t>n individual human being.</w:t>
      </w:r>
      <w:r w:rsidR="00E02E87">
        <w:rPr>
          <w:lang w:val="en-US"/>
        </w:rPr>
        <w:t>”</w:t>
      </w:r>
    </w:p>
    <w:p w14:paraId="0DA2F0AA" w14:textId="4FEF7C0C" w:rsidR="005733FD" w:rsidRDefault="005733FD" w:rsidP="005733FD">
      <w:pPr>
        <w:rPr>
          <w:lang w:val="en-US"/>
        </w:rPr>
      </w:pPr>
      <w:r>
        <w:rPr>
          <w:lang w:val="en-US"/>
        </w:rPr>
        <w:t xml:space="preserve">Here we are not closely evaluating the relation between </w:t>
      </w:r>
      <w:proofErr w:type="spellStart"/>
      <w:r>
        <w:rPr>
          <w:lang w:val="en-US"/>
        </w:rPr>
        <w:t>OpenEHR’s</w:t>
      </w:r>
      <w:proofErr w:type="spellEnd"/>
      <w:r>
        <w:rPr>
          <w:lang w:val="en-US"/>
        </w:rPr>
        <w:t xml:space="preserve"> Person concept and Health-RI Ontology’s Person one, but just assuming they match, so we can proceed with the gender analysis. To do that, we are going to adopt a bottom-up approach, starting from the types of gender</w:t>
      </w:r>
      <w:r w:rsidRPr="005733FD">
        <w:rPr>
          <w:lang w:val="en-US"/>
        </w:rPr>
        <w:t xml:space="preserve"> </w:t>
      </w:r>
      <w:r>
        <w:rPr>
          <w:lang w:val="en-US"/>
        </w:rPr>
        <w:t xml:space="preserve">specified in </w:t>
      </w:r>
      <w:proofErr w:type="spellStart"/>
      <w:r>
        <w:rPr>
          <w:lang w:val="en-US"/>
        </w:rPr>
        <w:t>OpenEHR</w:t>
      </w:r>
      <w:proofErr w:type="spellEnd"/>
      <w:r>
        <w:rPr>
          <w:lang w:val="en-US"/>
        </w:rPr>
        <w:t xml:space="preserve"> and just after that concluding with the broader gender term.</w:t>
      </w:r>
    </w:p>
    <w:p w14:paraId="39D564C1" w14:textId="6305BF92" w:rsidR="006213B9" w:rsidRDefault="006213B9" w:rsidP="006213B9">
      <w:pPr>
        <w:pStyle w:val="Heading2"/>
        <w:rPr>
          <w:lang w:val="en-US"/>
        </w:rPr>
      </w:pPr>
      <w:r>
        <w:rPr>
          <w:lang w:val="en-US"/>
        </w:rPr>
        <w:t>A</w:t>
      </w:r>
      <w:r w:rsidRPr="006213B9">
        <w:rPr>
          <w:lang w:val="en-US"/>
        </w:rPr>
        <w:t xml:space="preserve">dministrative </w:t>
      </w:r>
      <w:r>
        <w:rPr>
          <w:lang w:val="en-US"/>
        </w:rPr>
        <w:t>G</w:t>
      </w:r>
      <w:r w:rsidRPr="006213B9">
        <w:rPr>
          <w:lang w:val="en-US"/>
        </w:rPr>
        <w:t>ender</w:t>
      </w:r>
    </w:p>
    <w:p w14:paraId="1E00579B" w14:textId="2AEF8C67" w:rsidR="007B5FE8" w:rsidRPr="007B5FE8" w:rsidRDefault="007B5FE8" w:rsidP="007B5FE8">
      <w:pPr>
        <w:rPr>
          <w:lang w:val="en-US"/>
        </w:rPr>
      </w:pPr>
      <w:r w:rsidRPr="007B5FE8">
        <w:rPr>
          <w:lang w:val="en-US"/>
        </w:rPr>
        <w:t xml:space="preserve">HRIO defines </w:t>
      </w:r>
      <w:r>
        <w:rPr>
          <w:lang w:val="en-US"/>
        </w:rPr>
        <w:t xml:space="preserve">‘Administrative Gender’ </w:t>
      </w:r>
      <w:r w:rsidRPr="007B5FE8">
        <w:rPr>
          <w:lang w:val="en-US"/>
        </w:rPr>
        <w:t xml:space="preserve">as an extrinsic characteristic of a Person, since it depends on an assignment (in this case, a registration) carried out by an Individual Agent but formally recognized by an </w:t>
      </w:r>
      <w:proofErr w:type="gramStart"/>
      <w:r w:rsidRPr="007B5FE8">
        <w:rPr>
          <w:lang w:val="en-US"/>
        </w:rPr>
        <w:t>Organization</w:t>
      </w:r>
      <w:proofErr w:type="gramEnd"/>
      <w:r w:rsidRPr="007B5FE8">
        <w:rPr>
          <w:lang w:val="en-US"/>
        </w:rPr>
        <w:t xml:space="preserve"> (i.e., the organization is the issuing authority that acknowledges the </w:t>
      </w:r>
      <w:r w:rsidR="00437B3D" w:rsidRPr="00437B3D">
        <w:rPr>
          <w:lang w:val="en-US"/>
        </w:rPr>
        <w:t>registration</w:t>
      </w:r>
      <w:r w:rsidRPr="007B5FE8">
        <w:rPr>
          <w:lang w:val="en-US"/>
        </w:rPr>
        <w:t>). The class has a complementary definition: “Represents the type of gender designation used in administrative contexts, such as records, forms, or institutional databases. This category captures the labels or classifications assigned through formal processes.”</w:t>
      </w:r>
    </w:p>
    <w:p w14:paraId="76EDFA08" w14:textId="3D697A75" w:rsidR="00B7596C" w:rsidRPr="00B7596C" w:rsidRDefault="007B2286" w:rsidP="007B5FE8">
      <w:pPr>
        <w:rPr>
          <w:lang w:val="en-NL"/>
        </w:rPr>
      </w:pPr>
      <w:r>
        <w:rPr>
          <w:lang w:val="en-US"/>
        </w:rPr>
        <w:t xml:space="preserve">Used in the </w:t>
      </w:r>
      <w:r w:rsidR="007B5FE8" w:rsidRPr="007B5FE8">
        <w:rPr>
          <w:lang w:val="en-US"/>
        </w:rPr>
        <w:t xml:space="preserve">definitions from HRIO and </w:t>
      </w:r>
      <w:proofErr w:type="spellStart"/>
      <w:r w:rsidR="007B5FE8" w:rsidRPr="007B5FE8">
        <w:rPr>
          <w:lang w:val="en-US"/>
        </w:rPr>
        <w:t>OpenEHR</w:t>
      </w:r>
      <w:proofErr w:type="spellEnd"/>
      <w:r w:rsidR="007B5FE8" w:rsidRPr="007B5FE8">
        <w:rPr>
          <w:lang w:val="en-US"/>
        </w:rPr>
        <w:t xml:space="preserve">, ‘administrative’ implies a formalized process of record-keeping, tied to an organization (e.g., company, institution, or authority) that requires </w:t>
      </w:r>
      <w:r w:rsidRPr="007B5FE8">
        <w:rPr>
          <w:lang w:val="en-US"/>
        </w:rPr>
        <w:t>information</w:t>
      </w:r>
      <w:r w:rsidR="007B5FE8" w:rsidRPr="007B5FE8">
        <w:rPr>
          <w:lang w:val="en-US"/>
        </w:rPr>
        <w:t xml:space="preserve"> for management, regulation, or service delivery. On this basis, </w:t>
      </w:r>
      <w:r w:rsidR="007B5FE8" w:rsidRPr="00001BE1">
        <w:rPr>
          <w:b/>
          <w:bCs/>
          <w:lang w:val="en-US"/>
        </w:rPr>
        <w:t xml:space="preserve">we can conclude that they refer to the same concept, and the relation </w:t>
      </w:r>
      <w:proofErr w:type="spellStart"/>
      <w:proofErr w:type="gramStart"/>
      <w:r w:rsidR="007B5FE8" w:rsidRPr="00001BE1">
        <w:rPr>
          <w:b/>
          <w:bCs/>
          <w:lang w:val="en-US"/>
        </w:rPr>
        <w:t>hriv:hasExactMeaning</w:t>
      </w:r>
      <w:proofErr w:type="spellEnd"/>
      <w:proofErr w:type="gramEnd"/>
      <w:r w:rsidR="007B5FE8" w:rsidRPr="00001BE1">
        <w:rPr>
          <w:b/>
          <w:bCs/>
          <w:lang w:val="en-US"/>
        </w:rPr>
        <w:t xml:space="preserve"> should be applied from </w:t>
      </w:r>
      <w:proofErr w:type="spellStart"/>
      <w:r w:rsidR="007B5FE8" w:rsidRPr="00001BE1">
        <w:rPr>
          <w:b/>
          <w:bCs/>
          <w:lang w:val="en-US"/>
        </w:rPr>
        <w:t>OpenEHR’s</w:t>
      </w:r>
      <w:proofErr w:type="spellEnd"/>
      <w:r w:rsidR="007B5FE8" w:rsidRPr="00001BE1">
        <w:rPr>
          <w:b/>
          <w:bCs/>
          <w:lang w:val="en-US"/>
        </w:rPr>
        <w:t xml:space="preserve"> ‘Administrative Gender’ concept to HRIO’s.</w:t>
      </w:r>
    </w:p>
    <w:sectPr w:rsidR="00B7596C" w:rsidRPr="00B7596C" w:rsidSect="00C46625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1F5E3" w14:textId="77777777" w:rsidR="0086094F" w:rsidRDefault="0086094F" w:rsidP="00C54BA1">
      <w:pPr>
        <w:spacing w:before="0" w:after="0" w:line="240" w:lineRule="auto"/>
      </w:pPr>
      <w:r>
        <w:separator/>
      </w:r>
    </w:p>
  </w:endnote>
  <w:endnote w:type="continuationSeparator" w:id="0">
    <w:p w14:paraId="31736B19" w14:textId="77777777" w:rsidR="0086094F" w:rsidRDefault="0086094F" w:rsidP="00C54BA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18032628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9F6863" w14:textId="3373B488" w:rsidR="006A0CEC" w:rsidRDefault="00000000" w:rsidP="00D216EA">
            <w:pPr>
              <w:pStyle w:val="Footer"/>
              <w:jc w:val="center"/>
            </w:pPr>
            <w:sdt>
              <w:sdtPr>
                <w:alias w:val="Title"/>
                <w:tag w:val=""/>
                <w:id w:val="1984966802"/>
                <w:placeholder>
                  <w:docPart w:val="D6F0683EB1034D48A4A034CD5241C56B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D216EA" w:rsidRPr="00985E7F">
                  <w:t>Case Study: Open</w:t>
                </w:r>
                <w:r w:rsidR="00D216EA">
                  <w:t>EHR’</w:t>
                </w:r>
                <w:r w:rsidR="00D216EA" w:rsidRPr="00985E7F">
                  <w:t>s Gender</w:t>
                </w:r>
              </w:sdtContent>
            </w:sdt>
            <w:r w:rsidR="00D216EA">
              <w:tab/>
            </w:r>
            <w:r w:rsidR="00D216EA">
              <w:tab/>
            </w:r>
            <w:r w:rsidR="006A0CEC">
              <w:t xml:space="preserve">Page </w:t>
            </w:r>
            <w:r w:rsidR="006A0CEC">
              <w:rPr>
                <w:b/>
                <w:bCs/>
                <w:sz w:val="24"/>
                <w:szCs w:val="24"/>
              </w:rPr>
              <w:fldChar w:fldCharType="begin"/>
            </w:r>
            <w:r w:rsidR="006A0CEC">
              <w:rPr>
                <w:b/>
                <w:bCs/>
              </w:rPr>
              <w:instrText xml:space="preserve"> PAGE </w:instrText>
            </w:r>
            <w:r w:rsidR="006A0CEC">
              <w:rPr>
                <w:b/>
                <w:bCs/>
                <w:sz w:val="24"/>
                <w:szCs w:val="24"/>
              </w:rPr>
              <w:fldChar w:fldCharType="separate"/>
            </w:r>
            <w:r w:rsidR="006A0CEC">
              <w:rPr>
                <w:b/>
                <w:bCs/>
                <w:noProof/>
              </w:rPr>
              <w:t>2</w:t>
            </w:r>
            <w:r w:rsidR="006A0CEC">
              <w:rPr>
                <w:b/>
                <w:bCs/>
                <w:sz w:val="24"/>
                <w:szCs w:val="24"/>
              </w:rPr>
              <w:fldChar w:fldCharType="end"/>
            </w:r>
            <w:r w:rsidR="006A0CEC">
              <w:t xml:space="preserve"> of </w:t>
            </w:r>
            <w:r w:rsidR="006A0CEC">
              <w:rPr>
                <w:b/>
                <w:bCs/>
                <w:sz w:val="24"/>
                <w:szCs w:val="24"/>
              </w:rPr>
              <w:fldChar w:fldCharType="begin"/>
            </w:r>
            <w:r w:rsidR="006A0CEC">
              <w:rPr>
                <w:b/>
                <w:bCs/>
              </w:rPr>
              <w:instrText xml:space="preserve"> NUMPAGES  </w:instrText>
            </w:r>
            <w:r w:rsidR="006A0CEC">
              <w:rPr>
                <w:b/>
                <w:bCs/>
                <w:sz w:val="24"/>
                <w:szCs w:val="24"/>
              </w:rPr>
              <w:fldChar w:fldCharType="separate"/>
            </w:r>
            <w:r w:rsidR="006A0CEC">
              <w:rPr>
                <w:b/>
                <w:bCs/>
                <w:noProof/>
              </w:rPr>
              <w:t>2</w:t>
            </w:r>
            <w:r w:rsidR="006A0CEC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C9A5" w14:textId="77777777" w:rsidR="0086094F" w:rsidRDefault="0086094F" w:rsidP="00C54BA1">
      <w:pPr>
        <w:spacing w:before="0" w:after="0" w:line="240" w:lineRule="auto"/>
      </w:pPr>
      <w:r>
        <w:separator/>
      </w:r>
    </w:p>
  </w:footnote>
  <w:footnote w:type="continuationSeparator" w:id="0">
    <w:p w14:paraId="00BB035E" w14:textId="77777777" w:rsidR="0086094F" w:rsidRDefault="0086094F" w:rsidP="00C54BA1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A0110" w14:textId="0BF33ECE" w:rsidR="00C46625" w:rsidRDefault="00C46625" w:rsidP="00C46625">
    <w:pPr>
      <w:pStyle w:val="Header"/>
      <w:jc w:val="lef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BD17F1" wp14:editId="2B52DA15">
          <wp:simplePos x="0" y="0"/>
          <wp:positionH relativeFrom="margin">
            <wp:align>left</wp:align>
          </wp:positionH>
          <wp:positionV relativeFrom="paragraph">
            <wp:posOffset>-151765</wp:posOffset>
          </wp:positionV>
          <wp:extent cx="2062480" cy="419100"/>
          <wp:effectExtent l="0" t="0" r="0" b="0"/>
          <wp:wrapTight wrapText="bothSides">
            <wp:wrapPolygon edited="0">
              <wp:start x="0" y="0"/>
              <wp:lineTo x="0" y="20618"/>
              <wp:lineTo x="3791" y="20618"/>
              <wp:lineTo x="21347" y="19636"/>
              <wp:lineTo x="21347" y="6873"/>
              <wp:lineTo x="13766" y="0"/>
              <wp:lineTo x="3791" y="0"/>
              <wp:lineTo x="0" y="0"/>
            </wp:wrapPolygon>
          </wp:wrapTight>
          <wp:docPr id="138232268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2322688" name="Picture 138232268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2480" cy="419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19FA" w14:textId="0BCC8E7A" w:rsidR="00C46625" w:rsidRPr="00C46625" w:rsidRDefault="00C46625" w:rsidP="00C46625">
    <w:pPr>
      <w:pStyle w:val="Header"/>
    </w:pPr>
    <w:r>
      <w:rPr>
        <w:noProof/>
      </w:rPr>
      <w:drawing>
        <wp:inline distT="0" distB="0" distL="0" distR="0" wp14:anchorId="41829B16" wp14:editId="73BC4DBA">
          <wp:extent cx="5943600" cy="1208405"/>
          <wp:effectExtent l="0" t="0" r="0" b="0"/>
          <wp:docPr id="20403036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2060269" name="Picture 173206026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208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465D"/>
    <w:multiLevelType w:val="hybridMultilevel"/>
    <w:tmpl w:val="F404EAB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BA7444"/>
    <w:multiLevelType w:val="hybridMultilevel"/>
    <w:tmpl w:val="321482A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B24D4"/>
    <w:multiLevelType w:val="hybridMultilevel"/>
    <w:tmpl w:val="0FB609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9E1CB5"/>
    <w:multiLevelType w:val="hybridMultilevel"/>
    <w:tmpl w:val="7F3CB9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EB064A"/>
    <w:multiLevelType w:val="hybridMultilevel"/>
    <w:tmpl w:val="FCAE50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241418">
    <w:abstractNumId w:val="4"/>
  </w:num>
  <w:num w:numId="2" w16cid:durableId="1228493113">
    <w:abstractNumId w:val="2"/>
  </w:num>
  <w:num w:numId="3" w16cid:durableId="1064717917">
    <w:abstractNumId w:val="3"/>
  </w:num>
  <w:num w:numId="4" w16cid:durableId="1333608723">
    <w:abstractNumId w:val="1"/>
  </w:num>
  <w:num w:numId="5" w16cid:durableId="914703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B90"/>
    <w:rsid w:val="000008A2"/>
    <w:rsid w:val="00001BE1"/>
    <w:rsid w:val="00013B00"/>
    <w:rsid w:val="00065775"/>
    <w:rsid w:val="000B0BA4"/>
    <w:rsid w:val="00183CFF"/>
    <w:rsid w:val="002026F1"/>
    <w:rsid w:val="00220333"/>
    <w:rsid w:val="002426E9"/>
    <w:rsid w:val="002B115D"/>
    <w:rsid w:val="003407C7"/>
    <w:rsid w:val="00374003"/>
    <w:rsid w:val="00376150"/>
    <w:rsid w:val="0039623C"/>
    <w:rsid w:val="003A3F5D"/>
    <w:rsid w:val="003B2038"/>
    <w:rsid w:val="003C6C39"/>
    <w:rsid w:val="004172C4"/>
    <w:rsid w:val="0042082C"/>
    <w:rsid w:val="00437B3D"/>
    <w:rsid w:val="00441B77"/>
    <w:rsid w:val="00465699"/>
    <w:rsid w:val="0049379F"/>
    <w:rsid w:val="004C2A31"/>
    <w:rsid w:val="004D143A"/>
    <w:rsid w:val="004D52E5"/>
    <w:rsid w:val="004D6FF8"/>
    <w:rsid w:val="004D770C"/>
    <w:rsid w:val="004E701F"/>
    <w:rsid w:val="005477A5"/>
    <w:rsid w:val="005511F9"/>
    <w:rsid w:val="00552098"/>
    <w:rsid w:val="00571675"/>
    <w:rsid w:val="005733FD"/>
    <w:rsid w:val="0057607D"/>
    <w:rsid w:val="005B30F0"/>
    <w:rsid w:val="005B78E7"/>
    <w:rsid w:val="005D763F"/>
    <w:rsid w:val="00603A1D"/>
    <w:rsid w:val="006213B9"/>
    <w:rsid w:val="0063534E"/>
    <w:rsid w:val="006665E9"/>
    <w:rsid w:val="006A0CEC"/>
    <w:rsid w:val="006B2940"/>
    <w:rsid w:val="006E4A4E"/>
    <w:rsid w:val="006E668E"/>
    <w:rsid w:val="00723867"/>
    <w:rsid w:val="007765B4"/>
    <w:rsid w:val="007A3325"/>
    <w:rsid w:val="007B2286"/>
    <w:rsid w:val="007B5FE8"/>
    <w:rsid w:val="007E60B6"/>
    <w:rsid w:val="00846DE3"/>
    <w:rsid w:val="0086094F"/>
    <w:rsid w:val="00946675"/>
    <w:rsid w:val="00985E7F"/>
    <w:rsid w:val="009C0523"/>
    <w:rsid w:val="009E0C54"/>
    <w:rsid w:val="009F3E5B"/>
    <w:rsid w:val="00A22B3A"/>
    <w:rsid w:val="00A26B9A"/>
    <w:rsid w:val="00A67583"/>
    <w:rsid w:val="00A91966"/>
    <w:rsid w:val="00AF19ED"/>
    <w:rsid w:val="00B22B16"/>
    <w:rsid w:val="00B36096"/>
    <w:rsid w:val="00B443D3"/>
    <w:rsid w:val="00B444EA"/>
    <w:rsid w:val="00B5018B"/>
    <w:rsid w:val="00B65A71"/>
    <w:rsid w:val="00B7596C"/>
    <w:rsid w:val="00B81CBE"/>
    <w:rsid w:val="00BA6B90"/>
    <w:rsid w:val="00BE1139"/>
    <w:rsid w:val="00C01CCD"/>
    <w:rsid w:val="00C210CB"/>
    <w:rsid w:val="00C46625"/>
    <w:rsid w:val="00C5079C"/>
    <w:rsid w:val="00C54BA1"/>
    <w:rsid w:val="00C72141"/>
    <w:rsid w:val="00C90294"/>
    <w:rsid w:val="00CE6BCD"/>
    <w:rsid w:val="00CF50FD"/>
    <w:rsid w:val="00D07FA7"/>
    <w:rsid w:val="00D216EA"/>
    <w:rsid w:val="00D27D47"/>
    <w:rsid w:val="00D30B02"/>
    <w:rsid w:val="00E00803"/>
    <w:rsid w:val="00E02E87"/>
    <w:rsid w:val="00E11E0F"/>
    <w:rsid w:val="00E161A2"/>
    <w:rsid w:val="00E52EE0"/>
    <w:rsid w:val="00E668AE"/>
    <w:rsid w:val="00E96AC6"/>
    <w:rsid w:val="00ED05EC"/>
    <w:rsid w:val="00F37BD8"/>
    <w:rsid w:val="00F42B70"/>
    <w:rsid w:val="00F92865"/>
    <w:rsid w:val="00FA0A21"/>
    <w:rsid w:val="00FB6C29"/>
    <w:rsid w:val="00FC5E09"/>
    <w:rsid w:val="00FC5F5C"/>
    <w:rsid w:val="00FC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DA9D24B"/>
  <w15:chartTrackingRefBased/>
  <w15:docId w15:val="{13242336-FC56-4A03-9525-8588BC843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nl-N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6150"/>
    <w:pPr>
      <w:spacing w:before="120" w:after="240" w:line="252" w:lineRule="auto"/>
      <w:jc w:val="both"/>
    </w:pPr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7FA7"/>
    <w:pPr>
      <w:pBdr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pBdr>
      <w:shd w:val="clear" w:color="auto" w:fill="000000" w:themeFill="text1"/>
      <w:spacing w:before="240"/>
      <w:outlineLvl w:val="0"/>
    </w:pPr>
    <w:rPr>
      <w:small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FA7"/>
    <w:pPr>
      <w:pBdr>
        <w:top w:val="single" w:sz="24" w:space="0" w:color="D0CECE" w:themeColor="background2" w:themeShade="E6"/>
        <w:left w:val="single" w:sz="24" w:space="0" w:color="D0CECE" w:themeColor="background2" w:themeShade="E6"/>
        <w:bottom w:val="single" w:sz="24" w:space="0" w:color="D0CECE" w:themeColor="background2" w:themeShade="E6"/>
        <w:right w:val="single" w:sz="24" w:space="0" w:color="D0CECE" w:themeColor="background2" w:themeShade="E6"/>
      </w:pBdr>
      <w:shd w:val="clear" w:color="auto" w:fill="D0CECE" w:themeFill="background2" w:themeFillShade="E6"/>
      <w:spacing w:before="240"/>
      <w:outlineLvl w:val="1"/>
    </w:pPr>
    <w:rPr>
      <w:small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FA7"/>
    <w:pPr>
      <w:pBdr>
        <w:top w:val="single" w:sz="6" w:space="2" w:color="595959" w:themeColor="text1" w:themeTint="A6"/>
      </w:pBdr>
      <w:spacing w:before="240"/>
      <w:outlineLvl w:val="2"/>
    </w:pPr>
    <w:rPr>
      <w:smallCaps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07FA7"/>
    <w:pPr>
      <w:pBdr>
        <w:top w:val="dotted" w:sz="6" w:space="2" w:color="595959" w:themeColor="text1" w:themeTint="A6"/>
      </w:pBdr>
      <w:spacing w:before="240"/>
      <w:outlineLvl w:val="3"/>
    </w:pPr>
    <w:rPr>
      <w:smallCaps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FA7"/>
    <w:pPr>
      <w:pBdr>
        <w:bottom w:val="single" w:sz="6" w:space="1" w:color="595959" w:themeColor="text1" w:themeTint="A6"/>
      </w:pBdr>
      <w:spacing w:before="240"/>
      <w:outlineLvl w:val="4"/>
    </w:pPr>
    <w:rPr>
      <w:smallCaps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FA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FA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FA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FA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07FA7"/>
    <w:pPr>
      <w:spacing w:before="0"/>
      <w:jc w:val="center"/>
    </w:pPr>
    <w:rPr>
      <w:rFonts w:eastAsiaTheme="majorEastAsia" w:cstheme="majorBidi"/>
      <w:smallCaps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07FA7"/>
    <w:rPr>
      <w:rFonts w:ascii="Aptos" w:eastAsiaTheme="majorEastAsia" w:hAnsi="Aptos" w:cstheme="majorBidi"/>
      <w:smallCaps/>
      <w:spacing w:val="10"/>
      <w:sz w:val="52"/>
      <w:szCs w:val="52"/>
    </w:rPr>
  </w:style>
  <w:style w:type="table" w:styleId="TableGrid">
    <w:name w:val="Table Grid"/>
    <w:basedOn w:val="TableNormal"/>
    <w:uiPriority w:val="39"/>
    <w:rsid w:val="00B22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07FA7"/>
    <w:rPr>
      <w:rFonts w:ascii="Aptos" w:hAnsi="Aptos"/>
      <w:smallCaps/>
      <w:color w:val="FFFFFF" w:themeColor="background1"/>
      <w:spacing w:val="15"/>
      <w:sz w:val="22"/>
      <w:szCs w:val="22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D07FA7"/>
    <w:rPr>
      <w:rFonts w:ascii="Aptos" w:hAnsi="Aptos"/>
      <w:smallCaps/>
      <w:spacing w:val="15"/>
      <w:shd w:val="clear" w:color="auto" w:fill="D0CECE" w:themeFill="background2" w:themeFillShade="E6"/>
    </w:rPr>
  </w:style>
  <w:style w:type="character" w:styleId="Hyperlink">
    <w:name w:val="Hyperlink"/>
    <w:basedOn w:val="DefaultParagraphFont"/>
    <w:uiPriority w:val="99"/>
    <w:unhideWhenUsed/>
    <w:rsid w:val="00FC7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7C20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07FA7"/>
    <w:rPr>
      <w:rFonts w:ascii="Aptos" w:hAnsi="Aptos"/>
      <w:smallCaps/>
      <w:spacing w:val="15"/>
    </w:rPr>
  </w:style>
  <w:style w:type="table" w:styleId="ListTable3">
    <w:name w:val="List Table 3"/>
    <w:basedOn w:val="TableNormal"/>
    <w:uiPriority w:val="48"/>
    <w:rsid w:val="005511F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5511F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5511F9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4Char">
    <w:name w:val="Heading 4 Char"/>
    <w:basedOn w:val="DefaultParagraphFont"/>
    <w:link w:val="Heading4"/>
    <w:uiPriority w:val="9"/>
    <w:rsid w:val="00D07FA7"/>
    <w:rPr>
      <w:rFonts w:ascii="Aptos" w:hAnsi="Aptos"/>
      <w:smallCaps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FA7"/>
    <w:rPr>
      <w:rFonts w:ascii="Aptos" w:hAnsi="Aptos"/>
      <w:smallCaps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FA7"/>
    <w:rPr>
      <w:rFonts w:ascii="Aptos" w:hAnsi="Aptos"/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FA7"/>
    <w:rPr>
      <w:rFonts w:ascii="Aptos" w:hAnsi="Aptos"/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FA7"/>
    <w:rPr>
      <w:rFonts w:ascii="Aptos" w:hAnsi="Aptos"/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FA7"/>
    <w:rPr>
      <w:rFonts w:ascii="Aptos" w:hAnsi="Aptos"/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7FA7"/>
    <w:rPr>
      <w:b/>
      <w:bCs/>
      <w:color w:val="2F5496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FA7"/>
    <w:pPr>
      <w:spacing w:before="0" w:after="500" w:line="240" w:lineRule="auto"/>
      <w:jc w:val="center"/>
    </w:pPr>
    <w:rPr>
      <w:small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D07FA7"/>
    <w:rPr>
      <w:rFonts w:ascii="Aptos" w:hAnsi="Aptos"/>
      <w:small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D07FA7"/>
    <w:rPr>
      <w:b/>
      <w:bCs/>
    </w:rPr>
  </w:style>
  <w:style w:type="character" w:styleId="Emphasis">
    <w:name w:val="Emphasis"/>
    <w:uiPriority w:val="20"/>
    <w:qFormat/>
    <w:rsid w:val="00D07FA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rsid w:val="005D763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D07FA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07FA7"/>
    <w:rPr>
      <w:rFonts w:ascii="Aptos" w:hAnsi="Aptos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FA7"/>
    <w:pPr>
      <w:spacing w:before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FA7"/>
    <w:rPr>
      <w:rFonts w:ascii="Aptos" w:hAnsi="Aptos"/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D07FA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D07FA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D07FA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D07FA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D07FA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7F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46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6675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946675"/>
    <w:pPr>
      <w:spacing w:after="100"/>
      <w:ind w:left="400"/>
    </w:pPr>
  </w:style>
  <w:style w:type="table" w:styleId="ListTable4-Accent3">
    <w:name w:val="List Table 4 Accent 3"/>
    <w:basedOn w:val="TableNormal"/>
    <w:uiPriority w:val="49"/>
    <w:rsid w:val="00C9029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3-Accent3">
    <w:name w:val="List Table 3 Accent 3"/>
    <w:basedOn w:val="TableNormal"/>
    <w:uiPriority w:val="48"/>
    <w:rsid w:val="00C9029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0B0BA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54BA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BA1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C54BA1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BA1"/>
    <w:rPr>
      <w:rFonts w:ascii="Aptos" w:hAnsi="Aptos"/>
    </w:rPr>
  </w:style>
  <w:style w:type="character" w:styleId="PlaceholderText">
    <w:name w:val="Placeholder Text"/>
    <w:basedOn w:val="DefaultParagraphFont"/>
    <w:uiPriority w:val="99"/>
    <w:semiHidden/>
    <w:rsid w:val="006A0CEC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C7214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5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km.openehr.org/ckm/archetypes/1013.1.3715&#8212;with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km.openehr.org/ckm/archetypes/1013.1.5358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build.fhir.org/person-definitions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3id.org/health-ri/ontology/v0.11.0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y%20Drive\Word%20Templates\Default%20Word%20Template%202025.05.0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F0683EB1034D48A4A034CD5241C5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85CD2-B345-4A33-B99C-4D236CC1D438}"/>
      </w:docPartPr>
      <w:docPartBody>
        <w:p w:rsidR="00D81037" w:rsidRDefault="00931E51" w:rsidP="00931E51">
          <w:pPr>
            <w:pStyle w:val="D6F0683EB1034D48A4A034CD5241C56B"/>
          </w:pPr>
          <w:r w:rsidRPr="00D848D0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E51"/>
    <w:rsid w:val="00374003"/>
    <w:rsid w:val="00931E51"/>
    <w:rsid w:val="009C0523"/>
    <w:rsid w:val="00BA17AB"/>
    <w:rsid w:val="00D81037"/>
    <w:rsid w:val="00F3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en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E51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31E51"/>
    <w:rPr>
      <w:color w:val="666666"/>
    </w:rPr>
  </w:style>
  <w:style w:type="paragraph" w:customStyle="1" w:styleId="D6F0683EB1034D48A4A034CD5241C56B">
    <w:name w:val="D6F0683EB1034D48A4A034CD5241C56B"/>
    <w:rsid w:val="00931E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9EC398-0A29-4084-9022-7FF372C434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Default Word Template 2025.05.02.dotx</Template>
  <TotalTime>1384</TotalTime>
  <Pages>2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Case Study: OpenEHR’s Gender</vt:lpstr>
    </vt:vector>
  </TitlesOfParts>
  <Company>University of Twente</Company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Study: OpenEHR’s Gender</dc:title>
  <dc:subject/>
  <dc:creator>Pedro Paulo Favato Barcelos</dc:creator>
  <cp:keywords/>
  <dc:description/>
  <cp:lastModifiedBy>Pedro Paulo Favato Barcelos</cp:lastModifiedBy>
  <cp:revision>65</cp:revision>
  <dcterms:created xsi:type="dcterms:W3CDTF">2025-09-15T14:10:00Z</dcterms:created>
  <dcterms:modified xsi:type="dcterms:W3CDTF">2025-09-17T15:50:00Z</dcterms:modified>
</cp:coreProperties>
</file>