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192" w:rsidRPr="003F7A36" w:rsidRDefault="000C6192" w:rsidP="000C6192">
      <w:pPr>
        <w:pStyle w:val="Heading1"/>
      </w:pPr>
      <w:bookmarkStart w:id="0" w:name="_Toc524363275"/>
      <w:bookmarkStart w:id="1" w:name="_GoBack"/>
      <w:bookmarkEnd w:id="1"/>
      <w:r w:rsidRPr="003F7A36">
        <w:t>Lifecycle Management</w:t>
      </w:r>
      <w:bookmarkEnd w:id="0"/>
    </w:p>
    <w:p w:rsidR="000C6192" w:rsidRPr="003F7A36" w:rsidRDefault="000C6192" w:rsidP="000C6192">
      <w:pPr>
        <w:pStyle w:val="Heading2"/>
      </w:pPr>
      <w:bookmarkStart w:id="2" w:name="_Ref523818512"/>
      <w:bookmarkStart w:id="3" w:name="_Toc524363276"/>
      <w:r w:rsidRPr="003F7A36">
        <w:t>Formats</w:t>
      </w:r>
      <w:bookmarkEnd w:id="2"/>
      <w:bookmarkEnd w:id="3"/>
    </w:p>
    <w:p w:rsidR="000C6192" w:rsidRPr="003F7A36" w:rsidRDefault="000C6192" w:rsidP="000C6192">
      <w:r w:rsidRPr="003F7A36">
        <w:t xml:space="preserve">For the initial </w:t>
      </w:r>
      <w:r>
        <w:t>regulatory activity</w:t>
      </w:r>
      <w:r w:rsidRPr="003F7A36">
        <w:t xml:space="preserve"> (e.g., NDS, SNDS, ANDS, </w:t>
      </w:r>
      <w:proofErr w:type="gramStart"/>
      <w:r w:rsidRPr="003F7A36">
        <w:t>ASNDS</w:t>
      </w:r>
      <w:proofErr w:type="gramEnd"/>
      <w:r w:rsidRPr="003F7A36">
        <w:t>) product monographs shall be provided in the following formats:</w:t>
      </w:r>
    </w:p>
    <w:p w:rsidR="000C6192" w:rsidRPr="003F7A36" w:rsidRDefault="000C6192" w:rsidP="000C6192">
      <w:pPr>
        <w:pStyle w:val="NumberedParagraph"/>
        <w:tabs>
          <w:tab w:val="clear" w:pos="360"/>
        </w:tabs>
        <w:ind w:left="720" w:hanging="360"/>
      </w:pPr>
      <w:r w:rsidRPr="003F7A36">
        <w:t xml:space="preserve">Product monograph (clean) – </w:t>
      </w:r>
      <w:r>
        <w:t>XML format</w:t>
      </w:r>
      <w:r w:rsidRPr="003F7A36">
        <w:t xml:space="preserve"> (.xml </w:t>
      </w:r>
      <w:r w:rsidR="00226014">
        <w:t xml:space="preserve">file </w:t>
      </w:r>
      <w:r w:rsidRPr="003F7A36">
        <w:t xml:space="preserve">and </w:t>
      </w:r>
      <w:r w:rsidR="00226014">
        <w:t>associated .jpeg files</w:t>
      </w:r>
      <w:r w:rsidRPr="003F7A36">
        <w:t>)</w:t>
      </w:r>
    </w:p>
    <w:p w:rsidR="000C6192" w:rsidRPr="003F7A36" w:rsidRDefault="000C6192" w:rsidP="000C6192">
      <w:pPr>
        <w:pStyle w:val="NumberedParagraph"/>
        <w:numPr>
          <w:ilvl w:val="0"/>
          <w:numId w:val="4"/>
        </w:numPr>
      </w:pPr>
      <w:r w:rsidRPr="003F7A36">
        <w:t>Product monograph (clean) – Word format (.</w:t>
      </w:r>
      <w:proofErr w:type="spellStart"/>
      <w:r w:rsidRPr="003F7A36">
        <w:t>docx</w:t>
      </w:r>
      <w:proofErr w:type="spellEnd"/>
      <w:r w:rsidR="00226014">
        <w:t xml:space="preserve"> file</w:t>
      </w:r>
      <w:r w:rsidRPr="003F7A36">
        <w:t>)</w:t>
      </w:r>
    </w:p>
    <w:p w:rsidR="000C6192" w:rsidRPr="003F7A36" w:rsidRDefault="000C6192" w:rsidP="000C6192">
      <w:pPr>
        <w:pStyle w:val="NumberedParagraph"/>
        <w:numPr>
          <w:ilvl w:val="0"/>
          <w:numId w:val="4"/>
        </w:numPr>
      </w:pPr>
      <w:r w:rsidRPr="003F7A36">
        <w:t>Product monograph (annotated) – Word format (.</w:t>
      </w:r>
      <w:proofErr w:type="spellStart"/>
      <w:r w:rsidRPr="003F7A36">
        <w:t>docx</w:t>
      </w:r>
      <w:proofErr w:type="spellEnd"/>
      <w:r w:rsidR="00226014">
        <w:t xml:space="preserve"> file</w:t>
      </w:r>
      <w:r w:rsidRPr="003F7A36">
        <w:t>)</w:t>
      </w:r>
    </w:p>
    <w:p w:rsidR="000C6192" w:rsidRPr="003F7A36" w:rsidRDefault="000C6192" w:rsidP="000C6192">
      <w:r w:rsidRPr="003F7A36">
        <w:t xml:space="preserve">For </w:t>
      </w:r>
      <w:r>
        <w:t>regulatory transactions</w:t>
      </w:r>
      <w:r w:rsidRPr="003F7A36">
        <w:t xml:space="preserve"> submitted during review (e.g., response to request for clarification) product monographs shall be provided in the following formats:</w:t>
      </w:r>
    </w:p>
    <w:p w:rsidR="000C6192" w:rsidRPr="003F7A36" w:rsidRDefault="000C6192" w:rsidP="000C6192">
      <w:pPr>
        <w:pStyle w:val="NumberedParagraph"/>
        <w:numPr>
          <w:ilvl w:val="0"/>
          <w:numId w:val="3"/>
        </w:numPr>
      </w:pPr>
      <w:r w:rsidRPr="003F7A36">
        <w:t>Product monograph (clean) – Word format (.</w:t>
      </w:r>
      <w:proofErr w:type="spellStart"/>
      <w:r w:rsidRPr="003F7A36">
        <w:t>docx</w:t>
      </w:r>
      <w:proofErr w:type="spellEnd"/>
      <w:r w:rsidR="00226014">
        <w:t xml:space="preserve"> file</w:t>
      </w:r>
      <w:r w:rsidRPr="003F7A36">
        <w:t>)</w:t>
      </w:r>
    </w:p>
    <w:p w:rsidR="000C6192" w:rsidRPr="003F7A36" w:rsidRDefault="000C6192" w:rsidP="000C6192">
      <w:pPr>
        <w:pStyle w:val="NumberedParagraph"/>
        <w:numPr>
          <w:ilvl w:val="0"/>
          <w:numId w:val="4"/>
        </w:numPr>
      </w:pPr>
      <w:r w:rsidRPr="003F7A36">
        <w:t>Product monograph (annotated) – Word 2010 format (.</w:t>
      </w:r>
      <w:proofErr w:type="spellStart"/>
      <w:r w:rsidRPr="003F7A36">
        <w:t>docx</w:t>
      </w:r>
      <w:proofErr w:type="spellEnd"/>
      <w:r w:rsidR="00226014">
        <w:t xml:space="preserve"> file</w:t>
      </w:r>
      <w:r w:rsidRPr="003F7A36">
        <w:t>)</w:t>
      </w:r>
    </w:p>
    <w:p w:rsidR="000C6192" w:rsidRPr="003F7A36" w:rsidRDefault="000C6192" w:rsidP="000C6192">
      <w:r w:rsidRPr="003F7A36">
        <w:t xml:space="preserve">For final </w:t>
      </w:r>
      <w:r>
        <w:t>regulatory transactions</w:t>
      </w:r>
      <w:r w:rsidRPr="003F7A36">
        <w:t xml:space="preserve"> (e.g., </w:t>
      </w:r>
      <w:proofErr w:type="gramStart"/>
      <w:r w:rsidRPr="003F7A36">
        <w:t>Pristine</w:t>
      </w:r>
      <w:proofErr w:type="gramEnd"/>
      <w:r w:rsidRPr="003F7A36">
        <w:t xml:space="preserve"> sequence following </w:t>
      </w:r>
      <w:r>
        <w:t>a Notice of Compliance (</w:t>
      </w:r>
      <w:r w:rsidRPr="003F7A36">
        <w:t>NOC</w:t>
      </w:r>
      <w:r>
        <w:t>)</w:t>
      </w:r>
      <w:r w:rsidRPr="003F7A36">
        <w:t>) product monographs shall be provided in the following format within 20 calendar days:</w:t>
      </w:r>
    </w:p>
    <w:p w:rsidR="000C6192" w:rsidRPr="003F7A36" w:rsidRDefault="000C6192" w:rsidP="000C6192">
      <w:pPr>
        <w:pStyle w:val="NumberedParagraph"/>
        <w:numPr>
          <w:ilvl w:val="0"/>
          <w:numId w:val="5"/>
        </w:numPr>
      </w:pPr>
      <w:r w:rsidRPr="003F7A36">
        <w:t xml:space="preserve">Product monograph (clean) English – </w:t>
      </w:r>
      <w:r>
        <w:t>XML format</w:t>
      </w:r>
      <w:r w:rsidRPr="003F7A36">
        <w:t xml:space="preserve"> </w:t>
      </w:r>
      <w:r w:rsidR="00226014" w:rsidRPr="003F7A36">
        <w:t xml:space="preserve">(.xml </w:t>
      </w:r>
      <w:r w:rsidR="00226014">
        <w:t xml:space="preserve">file </w:t>
      </w:r>
      <w:r w:rsidR="00226014" w:rsidRPr="003F7A36">
        <w:t xml:space="preserve">and </w:t>
      </w:r>
      <w:r w:rsidR="00226014">
        <w:t>associated .jpeg files</w:t>
      </w:r>
      <w:r w:rsidRPr="003F7A36">
        <w:t>)</w:t>
      </w:r>
    </w:p>
    <w:p w:rsidR="000C6192" w:rsidRPr="003F7A36" w:rsidRDefault="000C6192" w:rsidP="000C6192">
      <w:pPr>
        <w:pStyle w:val="NumberedParagraph"/>
        <w:numPr>
          <w:ilvl w:val="0"/>
          <w:numId w:val="4"/>
        </w:numPr>
      </w:pPr>
      <w:r w:rsidRPr="003F7A36">
        <w:t xml:space="preserve">Product monograph (clean) French – </w:t>
      </w:r>
      <w:r>
        <w:t>XML format</w:t>
      </w:r>
      <w:r w:rsidRPr="003F7A36">
        <w:t xml:space="preserve"> </w:t>
      </w:r>
      <w:r w:rsidR="00226014" w:rsidRPr="003F7A36">
        <w:t xml:space="preserve">(.xml </w:t>
      </w:r>
      <w:r w:rsidR="00226014">
        <w:t xml:space="preserve">file </w:t>
      </w:r>
      <w:r w:rsidR="00226014" w:rsidRPr="003F7A36">
        <w:t xml:space="preserve">and </w:t>
      </w:r>
      <w:r w:rsidR="00226014">
        <w:t>associated .jpeg files</w:t>
      </w:r>
      <w:r w:rsidRPr="003F7A36">
        <w:t>)</w:t>
      </w:r>
    </w:p>
    <w:p w:rsidR="000C6192" w:rsidRPr="003F7A36" w:rsidRDefault="000C6192" w:rsidP="000C6192">
      <w:pPr>
        <w:pStyle w:val="Heading2"/>
      </w:pPr>
      <w:bookmarkStart w:id="4" w:name="_Toc524363277"/>
      <w:r w:rsidRPr="003F7A36">
        <w:t>Lifecycle for Regulatory Activities in the eCTD</w:t>
      </w:r>
      <w:bookmarkEnd w:id="4"/>
    </w:p>
    <w:p w:rsidR="000C6192" w:rsidRPr="003F7A36" w:rsidRDefault="000C6192" w:rsidP="000C6192">
      <w:r w:rsidRPr="003F7A36">
        <w:t xml:space="preserve">Sponsors should use the following eCTD lifecycle attributes to manage Word and </w:t>
      </w:r>
      <w:r>
        <w:t>XML</w:t>
      </w:r>
      <w:r w:rsidRPr="003F7A36">
        <w:t xml:space="preserve"> product monographs under the following circumstances (Refer to </w:t>
      </w:r>
      <w:r w:rsidRPr="003F7A36">
        <w:fldChar w:fldCharType="begin"/>
      </w:r>
      <w:r w:rsidRPr="003F7A36">
        <w:instrText xml:space="preserve"> REF _Ref514930008 \h </w:instrText>
      </w:r>
      <w:r w:rsidRPr="003F7A36">
        <w:fldChar w:fldCharType="separate"/>
      </w:r>
      <w:r w:rsidRPr="003F7A36">
        <w:rPr>
          <w:b/>
        </w:rPr>
        <w:t xml:space="preserve">Figure </w:t>
      </w:r>
      <w:r>
        <w:rPr>
          <w:b/>
          <w:noProof/>
        </w:rPr>
        <w:t>1</w:t>
      </w:r>
      <w:r w:rsidRPr="003F7A36">
        <w:fldChar w:fldCharType="end"/>
      </w:r>
      <w:r>
        <w:t>,</w:t>
      </w:r>
      <w:r w:rsidRPr="003F7A36">
        <w:t xml:space="preserve"> </w:t>
      </w:r>
      <w:r w:rsidRPr="003F7A36">
        <w:fldChar w:fldCharType="begin"/>
      </w:r>
      <w:r w:rsidRPr="003F7A36">
        <w:instrText xml:space="preserve"> REF _Ref514930011 \h </w:instrText>
      </w:r>
      <w:r w:rsidRPr="003F7A36">
        <w:fldChar w:fldCharType="separate"/>
      </w:r>
      <w:r w:rsidRPr="003F7A36">
        <w:rPr>
          <w:b/>
        </w:rPr>
        <w:t xml:space="preserve">Figure </w:t>
      </w:r>
      <w:r>
        <w:rPr>
          <w:b/>
          <w:noProof/>
        </w:rPr>
        <w:t>2</w:t>
      </w:r>
      <w:r w:rsidRPr="003F7A36">
        <w:fldChar w:fldCharType="end"/>
      </w:r>
      <w:r w:rsidRPr="003F7A36">
        <w:t xml:space="preserve"> </w:t>
      </w:r>
      <w:r>
        <w:t xml:space="preserve">and </w:t>
      </w:r>
      <w:r>
        <w:fldChar w:fldCharType="begin"/>
      </w:r>
      <w:r>
        <w:instrText xml:space="preserve"> REF _Ref524099087 \h </w:instrText>
      </w:r>
      <w:r>
        <w:fldChar w:fldCharType="separate"/>
      </w:r>
      <w:r w:rsidRPr="003F7A36">
        <w:rPr>
          <w:b/>
        </w:rPr>
        <w:t xml:space="preserve">Figure </w:t>
      </w:r>
      <w:r>
        <w:rPr>
          <w:b/>
          <w:noProof/>
        </w:rPr>
        <w:t>3</w:t>
      </w:r>
      <w:r>
        <w:fldChar w:fldCharType="end"/>
      </w:r>
      <w:r>
        <w:t xml:space="preserve"> </w:t>
      </w:r>
      <w:r w:rsidRPr="003F7A36">
        <w:t>for examples):</w:t>
      </w:r>
    </w:p>
    <w:p w:rsidR="000C6192" w:rsidRPr="003F7A36" w:rsidRDefault="000C6192" w:rsidP="000C6192">
      <w:pPr>
        <w:pStyle w:val="ListParagraph"/>
        <w:numPr>
          <w:ilvl w:val="0"/>
          <w:numId w:val="6"/>
        </w:numPr>
      </w:pPr>
      <w:r w:rsidRPr="003F7A36">
        <w:t>‘</w:t>
      </w:r>
      <w:r w:rsidRPr="003F7A36">
        <w:rPr>
          <w:b/>
        </w:rPr>
        <w:t>NEW</w:t>
      </w:r>
      <w:r w:rsidRPr="003F7A36">
        <w:t>’ when a clean or annotated product monograph is provided as part of the first transaction of a regulatory activity (e.g., NDS, SNDS).</w:t>
      </w:r>
    </w:p>
    <w:p w:rsidR="000C6192" w:rsidRPr="003F7A36" w:rsidRDefault="000C6192" w:rsidP="000C6192">
      <w:pPr>
        <w:pStyle w:val="ListParagraph"/>
        <w:numPr>
          <w:ilvl w:val="0"/>
          <w:numId w:val="6"/>
        </w:numPr>
      </w:pPr>
      <w:r w:rsidRPr="003F7A36">
        <w:t>‘</w:t>
      </w:r>
      <w:r w:rsidRPr="003F7A36">
        <w:rPr>
          <w:b/>
        </w:rPr>
        <w:t>REPLACE</w:t>
      </w:r>
      <w:r w:rsidRPr="003F7A36">
        <w:t xml:space="preserve">’ when a clean or annotated product monograph is provided in response to clarification request, </w:t>
      </w:r>
      <w:r>
        <w:t>screening deficiency notice (SDN), notice of deficiency (NOD), notice of non-compliance (</w:t>
      </w:r>
      <w:proofErr w:type="gramStart"/>
      <w:r>
        <w:t>NON</w:t>
      </w:r>
      <w:proofErr w:type="gramEnd"/>
      <w:r>
        <w:t xml:space="preserve">). </w:t>
      </w:r>
    </w:p>
    <w:p w:rsidR="000C6192" w:rsidRPr="003F7A36" w:rsidRDefault="000C6192" w:rsidP="000C6192">
      <w:pPr>
        <w:pStyle w:val="ListParagraph"/>
        <w:numPr>
          <w:ilvl w:val="0"/>
          <w:numId w:val="6"/>
        </w:numPr>
      </w:pPr>
      <w:r w:rsidRPr="003F7A36">
        <w:t>‘</w:t>
      </w:r>
      <w:r w:rsidRPr="003F7A36">
        <w:rPr>
          <w:b/>
        </w:rPr>
        <w:t>NEW</w:t>
      </w:r>
      <w:r w:rsidRPr="003F7A36">
        <w:t xml:space="preserve">’ when a pristine product monograph is provided for the first time. The last clean and annotated </w:t>
      </w:r>
      <w:r>
        <w:t xml:space="preserve">draft </w:t>
      </w:r>
      <w:r w:rsidRPr="003F7A36">
        <w:t>product monographs should be assigned the operation attribute ‘</w:t>
      </w:r>
      <w:r w:rsidRPr="003F7A36">
        <w:rPr>
          <w:b/>
        </w:rPr>
        <w:t>DELETE</w:t>
      </w:r>
      <w:r w:rsidRPr="003F7A36">
        <w:t>’.</w:t>
      </w:r>
    </w:p>
    <w:p w:rsidR="000C6192" w:rsidRPr="003F7A36" w:rsidRDefault="000C6192" w:rsidP="000C6192">
      <w:pPr>
        <w:pStyle w:val="ListParagraph"/>
        <w:numPr>
          <w:ilvl w:val="0"/>
          <w:numId w:val="6"/>
        </w:numPr>
      </w:pPr>
      <w:r w:rsidRPr="003F7A36">
        <w:t>‘</w:t>
      </w:r>
      <w:r w:rsidRPr="003F7A36">
        <w:rPr>
          <w:b/>
        </w:rPr>
        <w:t>REPLACE</w:t>
      </w:r>
      <w:r w:rsidRPr="003F7A36">
        <w:t xml:space="preserve">’ when a pristine product monograph is provided to replace a previously approved pristine product monograph. The last clean and annotated </w:t>
      </w:r>
      <w:r>
        <w:t xml:space="preserve">draft </w:t>
      </w:r>
      <w:r w:rsidRPr="003F7A36">
        <w:t>product monographs should be assigned the operation attribute ‘</w:t>
      </w:r>
      <w:r w:rsidRPr="003F7A36">
        <w:rPr>
          <w:b/>
        </w:rPr>
        <w:t>DELETE</w:t>
      </w:r>
      <w:r w:rsidRPr="003F7A36">
        <w:t>’.</w:t>
      </w:r>
    </w:p>
    <w:p w:rsidR="000C6192" w:rsidRPr="003F7A36" w:rsidRDefault="000C6192" w:rsidP="000C6192">
      <w:pPr>
        <w:keepNext/>
        <w:ind w:left="1418" w:hanging="1418"/>
      </w:pPr>
      <w:bookmarkStart w:id="5" w:name="_Ref514930008"/>
      <w:bookmarkStart w:id="6" w:name="_Toc524363326"/>
      <w:r w:rsidRPr="003F7A36">
        <w:rPr>
          <w:b/>
        </w:rPr>
        <w:lastRenderedPageBreak/>
        <w:t xml:space="preserve">Figure </w:t>
      </w:r>
      <w:r w:rsidRPr="003F7A36">
        <w:rPr>
          <w:b/>
        </w:rPr>
        <w:fldChar w:fldCharType="begin"/>
      </w:r>
      <w:r w:rsidRPr="003F7A36">
        <w:rPr>
          <w:b/>
        </w:rPr>
        <w:instrText xml:space="preserve"> SEQ Figure \* ARABIC </w:instrText>
      </w:r>
      <w:r w:rsidRPr="003F7A36">
        <w:rPr>
          <w:b/>
        </w:rPr>
        <w:fldChar w:fldCharType="separate"/>
      </w:r>
      <w:r>
        <w:rPr>
          <w:b/>
          <w:noProof/>
        </w:rPr>
        <w:t>1</w:t>
      </w:r>
      <w:r w:rsidRPr="003F7A36">
        <w:rPr>
          <w:b/>
        </w:rPr>
        <w:fldChar w:fldCharType="end"/>
      </w:r>
      <w:bookmarkEnd w:id="5"/>
      <w:r w:rsidRPr="003F7A36">
        <w:rPr>
          <w:b/>
        </w:rPr>
        <w:tab/>
        <w:t>Example of an eCTD lifecycle for the first regulatory activity and its transactions (e.g., NDS or ANDS)</w:t>
      </w:r>
      <w:bookmarkEnd w:id="6"/>
    </w:p>
    <w:p w:rsidR="000C6192" w:rsidRPr="003F7A36" w:rsidRDefault="000C6192" w:rsidP="000C6192">
      <w:r w:rsidRPr="003F7A36">
        <w:rPr>
          <w:noProof/>
          <w:lang w:eastAsia="en-CA"/>
        </w:rPr>
        <w:drawing>
          <wp:inline distT="0" distB="0" distL="0" distR="0" wp14:anchorId="7175FA2C" wp14:editId="560B5162">
            <wp:extent cx="5343525" cy="3371850"/>
            <wp:effectExtent l="0" t="0" r="9525" b="0"/>
            <wp:docPr id="3" name="Picture 3" descr="C:\Users\cranders\Downloads\SPM IG eCTD LCM Figures-New 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anders\Downloads\SPM IG eCTD LCM Figures-New Produc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192" w:rsidRPr="003F7A36" w:rsidRDefault="000C6192" w:rsidP="000C6192"/>
    <w:p w:rsidR="000C6192" w:rsidRPr="003F7A36" w:rsidRDefault="000C6192" w:rsidP="000C6192">
      <w:pPr>
        <w:keepNext/>
        <w:ind w:left="1418" w:hanging="1418"/>
      </w:pPr>
      <w:bookmarkStart w:id="7" w:name="_Ref514930011"/>
      <w:bookmarkStart w:id="8" w:name="_Toc524363327"/>
      <w:r w:rsidRPr="003F7A36">
        <w:rPr>
          <w:b/>
        </w:rPr>
        <w:t xml:space="preserve">Figure </w:t>
      </w:r>
      <w:r w:rsidRPr="003F7A36">
        <w:rPr>
          <w:b/>
        </w:rPr>
        <w:fldChar w:fldCharType="begin"/>
      </w:r>
      <w:r w:rsidRPr="003F7A36">
        <w:rPr>
          <w:b/>
        </w:rPr>
        <w:instrText xml:space="preserve"> SEQ Figure \* ARABIC </w:instrText>
      </w:r>
      <w:r w:rsidRPr="003F7A36">
        <w:rPr>
          <w:b/>
        </w:rPr>
        <w:fldChar w:fldCharType="separate"/>
      </w:r>
      <w:r>
        <w:rPr>
          <w:b/>
          <w:noProof/>
        </w:rPr>
        <w:t>2</w:t>
      </w:r>
      <w:r w:rsidRPr="003F7A36">
        <w:rPr>
          <w:b/>
        </w:rPr>
        <w:fldChar w:fldCharType="end"/>
      </w:r>
      <w:bookmarkEnd w:id="7"/>
      <w:r w:rsidRPr="003F7A36">
        <w:rPr>
          <w:b/>
        </w:rPr>
        <w:tab/>
        <w:t>Example of an eCTD lifecycle for a subsequent regulatory activity and its transactions (e.g., SNDS, SANDS)</w:t>
      </w:r>
      <w:bookmarkEnd w:id="8"/>
    </w:p>
    <w:p w:rsidR="000C6192" w:rsidRPr="003F7A36" w:rsidRDefault="000C6192" w:rsidP="000C6192">
      <w:r w:rsidRPr="003F7A36">
        <w:rPr>
          <w:noProof/>
          <w:lang w:eastAsia="en-CA"/>
        </w:rPr>
        <w:drawing>
          <wp:inline distT="0" distB="0" distL="0" distR="0" wp14:anchorId="2052F3CF" wp14:editId="29601DCC">
            <wp:extent cx="5943600" cy="2984482"/>
            <wp:effectExtent l="0" t="0" r="0" b="6985"/>
            <wp:docPr id="5" name="Picture 5" descr="C:\Users\cranders\Downloads\SPM IG eCTD LCM Figures-Existing 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anders\Downloads\SPM IG eCTD LCM Figures-Existing Produ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192" w:rsidRPr="003F7A36" w:rsidRDefault="000C6192" w:rsidP="000C6192">
      <w:pPr>
        <w:keepNext/>
        <w:rPr>
          <w:b/>
        </w:rPr>
      </w:pPr>
      <w:bookmarkStart w:id="9" w:name="_Ref524099087"/>
      <w:bookmarkStart w:id="10" w:name="_Toc524363328"/>
      <w:r w:rsidRPr="003F7A36">
        <w:rPr>
          <w:b/>
        </w:rPr>
        <w:lastRenderedPageBreak/>
        <w:t xml:space="preserve">Figure </w:t>
      </w:r>
      <w:r w:rsidRPr="003F7A36">
        <w:rPr>
          <w:b/>
        </w:rPr>
        <w:fldChar w:fldCharType="begin"/>
      </w:r>
      <w:r w:rsidRPr="003F7A36">
        <w:rPr>
          <w:b/>
        </w:rPr>
        <w:instrText xml:space="preserve"> SEQ Figure \* ARABIC </w:instrText>
      </w:r>
      <w:r w:rsidRPr="003F7A36">
        <w:rPr>
          <w:b/>
        </w:rPr>
        <w:fldChar w:fldCharType="separate"/>
      </w:r>
      <w:r>
        <w:rPr>
          <w:b/>
          <w:noProof/>
        </w:rPr>
        <w:t>3</w:t>
      </w:r>
      <w:r w:rsidRPr="003F7A36">
        <w:rPr>
          <w:b/>
        </w:rPr>
        <w:fldChar w:fldCharType="end"/>
      </w:r>
      <w:bookmarkEnd w:id="9"/>
      <w:r w:rsidRPr="003F7A36">
        <w:rPr>
          <w:b/>
        </w:rPr>
        <w:tab/>
        <w:t>Example of an eCTD lifecycle for regulatory activities under simultaneous review</w:t>
      </w:r>
      <w:bookmarkEnd w:id="10"/>
    </w:p>
    <w:p w:rsidR="000C6192" w:rsidRPr="003F7A36" w:rsidRDefault="000C6192" w:rsidP="000C6192">
      <w:r w:rsidRPr="003F7A36">
        <w:rPr>
          <w:noProof/>
          <w:lang w:eastAsia="en-CA"/>
        </w:rPr>
        <w:drawing>
          <wp:inline distT="0" distB="0" distL="0" distR="0" wp14:anchorId="7444D845" wp14:editId="1029C48F">
            <wp:extent cx="5943600" cy="3415313"/>
            <wp:effectExtent l="0" t="0" r="0" b="0"/>
            <wp:docPr id="6" name="Picture 6" descr="C:\Users\cranders\Downloads\SPM IG eCTD LCM Figures-Simultaneous 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randers\Downloads\SPM IG eCTD LCM Figures-Simultaneous re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192" w:rsidRPr="003F7A36" w:rsidRDefault="000C6192" w:rsidP="000C6192">
      <w:pPr>
        <w:pStyle w:val="Heading2"/>
      </w:pPr>
      <w:bookmarkStart w:id="11" w:name="_Toc524363278"/>
      <w:r w:rsidRPr="003F7A36">
        <w:t>Lifecycle for Regulatory Activities in the Non-eCTD</w:t>
      </w:r>
      <w:bookmarkEnd w:id="11"/>
    </w:p>
    <w:p w:rsidR="000C6192" w:rsidRDefault="000C6192" w:rsidP="000C6192">
      <w:r>
        <w:t>Unlike eCTD lifecycles, non-eCTD electronic submissions do not have XML backbones or XML attributes. Therefore, there is no document lifecycle.</w:t>
      </w:r>
    </w:p>
    <w:p w:rsidR="000C6192" w:rsidRPr="003F7A36" w:rsidRDefault="000C6192" w:rsidP="000C6192">
      <w:r>
        <w:t xml:space="preserve">Sponsors are only required to submit product monograph files in the formats outlined under section </w:t>
      </w:r>
      <w:r>
        <w:fldChar w:fldCharType="begin"/>
      </w:r>
      <w:r>
        <w:instrText xml:space="preserve"> REF _Ref523818512 \w \h </w:instrText>
      </w:r>
      <w:r>
        <w:fldChar w:fldCharType="separate"/>
      </w:r>
      <w:r>
        <w:t>5.1</w:t>
      </w:r>
      <w:r>
        <w:fldChar w:fldCharType="end"/>
      </w:r>
      <w:r>
        <w:t>; I.e., Word and XML with the initial submission, Word only during review and XML only for the final pristine submission.</w:t>
      </w:r>
    </w:p>
    <w:p w:rsidR="00DF03A9" w:rsidRDefault="00DF03A9"/>
    <w:sectPr w:rsidR="00DF03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182" w:rsidRDefault="00030182" w:rsidP="00226014">
      <w:pPr>
        <w:spacing w:after="0" w:line="240" w:lineRule="auto"/>
      </w:pPr>
      <w:r>
        <w:separator/>
      </w:r>
    </w:p>
  </w:endnote>
  <w:endnote w:type="continuationSeparator" w:id="0">
    <w:p w:rsidR="00030182" w:rsidRDefault="00030182" w:rsidP="00226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182" w:rsidRDefault="00030182" w:rsidP="00226014">
      <w:pPr>
        <w:spacing w:after="0" w:line="240" w:lineRule="auto"/>
      </w:pPr>
      <w:r>
        <w:separator/>
      </w:r>
    </w:p>
  </w:footnote>
  <w:footnote w:type="continuationSeparator" w:id="0">
    <w:p w:rsidR="00030182" w:rsidRDefault="00030182" w:rsidP="00226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F6EFF"/>
    <w:multiLevelType w:val="hybridMultilevel"/>
    <w:tmpl w:val="0D166C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F76D1"/>
    <w:multiLevelType w:val="hybridMultilevel"/>
    <w:tmpl w:val="CC4E576E"/>
    <w:lvl w:ilvl="0" w:tplc="AE3CBB96">
      <w:start w:val="1"/>
      <w:numFmt w:val="decimal"/>
      <w:pStyle w:val="NumberedParagraph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10949"/>
    <w:multiLevelType w:val="multilevel"/>
    <w:tmpl w:val="3734103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192"/>
    <w:rsid w:val="00030182"/>
    <w:rsid w:val="000C6192"/>
    <w:rsid w:val="00226014"/>
    <w:rsid w:val="00584EF7"/>
    <w:rsid w:val="007858C3"/>
    <w:rsid w:val="009527EC"/>
    <w:rsid w:val="00DF03A9"/>
    <w:rsid w:val="00E90D74"/>
    <w:rsid w:val="00E934FD"/>
    <w:rsid w:val="00FF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192"/>
    <w:rPr>
      <w:rFonts w:ascii="Times Roman" w:hAnsi="Times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19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192"/>
    <w:pPr>
      <w:keepNext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19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619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19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19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19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19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19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61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61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C61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1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1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1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1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1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aliases w:val="Requirement Para"/>
    <w:basedOn w:val="Normal"/>
    <w:qFormat/>
    <w:rsid w:val="000C6192"/>
    <w:pPr>
      <w:ind w:left="720"/>
      <w:contextualSpacing/>
    </w:pPr>
  </w:style>
  <w:style w:type="paragraph" w:customStyle="1" w:styleId="NumberedParagraph">
    <w:name w:val="Numbered Paragraph"/>
    <w:basedOn w:val="ListNumber"/>
    <w:next w:val="Normal"/>
    <w:qFormat/>
    <w:rsid w:val="000C6192"/>
    <w:pPr>
      <w:numPr>
        <w:numId w:val="2"/>
      </w:numPr>
      <w:tabs>
        <w:tab w:val="num" w:pos="360"/>
      </w:tabs>
      <w:ind w:left="432" w:hanging="432"/>
    </w:pPr>
  </w:style>
  <w:style w:type="paragraph" w:styleId="ListNumber">
    <w:name w:val="List Number"/>
    <w:basedOn w:val="Normal"/>
    <w:uiPriority w:val="99"/>
    <w:semiHidden/>
    <w:unhideWhenUsed/>
    <w:rsid w:val="000C6192"/>
    <w:pPr>
      <w:ind w:left="432" w:hanging="432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1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6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014"/>
    <w:rPr>
      <w:rFonts w:ascii="Times Roman" w:hAnsi="Times Roman"/>
    </w:rPr>
  </w:style>
  <w:style w:type="paragraph" w:styleId="Footer">
    <w:name w:val="footer"/>
    <w:basedOn w:val="Normal"/>
    <w:link w:val="FooterChar"/>
    <w:uiPriority w:val="99"/>
    <w:unhideWhenUsed/>
    <w:rsid w:val="00226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014"/>
    <w:rPr>
      <w:rFonts w:ascii="Times Roman" w:hAnsi="Times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192"/>
    <w:rPr>
      <w:rFonts w:ascii="Times Roman" w:hAnsi="Times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19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192"/>
    <w:pPr>
      <w:keepNext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19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619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19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19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19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19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19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61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61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C61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1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1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1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1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1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aliases w:val="Requirement Para"/>
    <w:basedOn w:val="Normal"/>
    <w:qFormat/>
    <w:rsid w:val="000C6192"/>
    <w:pPr>
      <w:ind w:left="720"/>
      <w:contextualSpacing/>
    </w:pPr>
  </w:style>
  <w:style w:type="paragraph" w:customStyle="1" w:styleId="NumberedParagraph">
    <w:name w:val="Numbered Paragraph"/>
    <w:basedOn w:val="ListNumber"/>
    <w:next w:val="Normal"/>
    <w:qFormat/>
    <w:rsid w:val="000C6192"/>
    <w:pPr>
      <w:numPr>
        <w:numId w:val="2"/>
      </w:numPr>
      <w:tabs>
        <w:tab w:val="num" w:pos="360"/>
      </w:tabs>
      <w:ind w:left="432" w:hanging="432"/>
    </w:pPr>
  </w:style>
  <w:style w:type="paragraph" w:styleId="ListNumber">
    <w:name w:val="List Number"/>
    <w:basedOn w:val="Normal"/>
    <w:uiPriority w:val="99"/>
    <w:semiHidden/>
    <w:unhideWhenUsed/>
    <w:rsid w:val="000C6192"/>
    <w:pPr>
      <w:ind w:left="432" w:hanging="432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1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6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014"/>
    <w:rPr>
      <w:rFonts w:ascii="Times Roman" w:hAnsi="Times Roman"/>
    </w:rPr>
  </w:style>
  <w:style w:type="paragraph" w:styleId="Footer">
    <w:name w:val="footer"/>
    <w:basedOn w:val="Normal"/>
    <w:link w:val="FooterChar"/>
    <w:uiPriority w:val="99"/>
    <w:unhideWhenUsed/>
    <w:rsid w:val="00226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014"/>
    <w:rPr>
      <w:rFonts w:ascii="Times Roman" w:hAnsi="Times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ANDERSON</dc:creator>
  <cp:lastModifiedBy>CRAIG ANDERSON</cp:lastModifiedBy>
  <cp:revision>2</cp:revision>
  <dcterms:created xsi:type="dcterms:W3CDTF">2018-10-21T15:28:00Z</dcterms:created>
  <dcterms:modified xsi:type="dcterms:W3CDTF">2018-10-21T15:40:00Z</dcterms:modified>
</cp:coreProperties>
</file>