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1135D" w14:textId="77777777" w:rsidR="00FB157B" w:rsidRDefault="00FB157B" w:rsidP="00364FC8">
      <w:pPr>
        <w:pStyle w:val="Basic11"/>
      </w:pPr>
      <w:bookmarkStart w:id="0" w:name="_GoBack"/>
      <w:bookmarkEnd w:id="0"/>
    </w:p>
    <w:tbl>
      <w:tblPr>
        <w:tblW w:w="9558" w:type="dxa"/>
        <w:tblLook w:val="0000" w:firstRow="0" w:lastRow="0" w:firstColumn="0" w:lastColumn="0" w:noHBand="0" w:noVBand="0"/>
      </w:tblPr>
      <w:tblGrid>
        <w:gridCol w:w="9558"/>
      </w:tblGrid>
      <w:tr w:rsidR="00FB157B" w14:paraId="7741135F" w14:textId="77777777" w:rsidTr="00CA3F42">
        <w:tc>
          <w:tcPr>
            <w:tcW w:w="9558" w:type="dxa"/>
          </w:tcPr>
          <w:p w14:paraId="7741135E" w14:textId="77777777" w:rsidR="00FB157B" w:rsidRPr="00BE7D2F" w:rsidRDefault="00FB157B" w:rsidP="00BE7D2F">
            <w:pPr>
              <w:pStyle w:val="Basic12"/>
              <w:jc w:val="center"/>
              <w:rPr>
                <w:b/>
              </w:rPr>
            </w:pPr>
          </w:p>
        </w:tc>
      </w:tr>
      <w:tr w:rsidR="00FB157B" w14:paraId="77411361" w14:textId="77777777" w:rsidTr="00CA3F42">
        <w:tc>
          <w:tcPr>
            <w:tcW w:w="9558" w:type="dxa"/>
          </w:tcPr>
          <w:p w14:paraId="77411360" w14:textId="77777777" w:rsidR="00FB157B" w:rsidRDefault="00965634" w:rsidP="00E870D1">
            <w:pPr>
              <w:pStyle w:val="Basic12"/>
              <w:jc w:val="center"/>
              <w:rPr>
                <w:b/>
                <w:bCs/>
              </w:rPr>
            </w:pPr>
            <w:r>
              <w:rPr>
                <w:b/>
                <w:bCs/>
              </w:rPr>
              <w:t>Janssen Research &amp; Development</w:t>
            </w:r>
            <w:r w:rsidR="00E870D1">
              <w:rPr>
                <w:b/>
                <w:bCs/>
              </w:rPr>
              <w:t>*</w:t>
            </w:r>
          </w:p>
        </w:tc>
      </w:tr>
      <w:tr w:rsidR="00FB157B" w14:paraId="77411363" w14:textId="77777777" w:rsidTr="00CA3F42">
        <w:tc>
          <w:tcPr>
            <w:tcW w:w="9558" w:type="dxa"/>
          </w:tcPr>
          <w:p w14:paraId="77411362" w14:textId="77777777" w:rsidR="00FB157B" w:rsidRDefault="00FB157B" w:rsidP="00BE7D2F">
            <w:pPr>
              <w:pStyle w:val="Basic12"/>
              <w:jc w:val="center"/>
              <w:rPr>
                <w:b/>
                <w:bCs/>
              </w:rPr>
            </w:pPr>
          </w:p>
        </w:tc>
      </w:tr>
      <w:tr w:rsidR="00FB157B" w14:paraId="77411365" w14:textId="77777777" w:rsidTr="00CA3F42">
        <w:tc>
          <w:tcPr>
            <w:tcW w:w="9558" w:type="dxa"/>
          </w:tcPr>
          <w:p w14:paraId="77411364" w14:textId="568C7A0F" w:rsidR="00FB157B" w:rsidRDefault="00FB157B" w:rsidP="001D57FB">
            <w:pPr>
              <w:pStyle w:val="Basic12"/>
              <w:jc w:val="center"/>
              <w:rPr>
                <w:b/>
                <w:bCs/>
              </w:rPr>
            </w:pPr>
          </w:p>
        </w:tc>
      </w:tr>
      <w:tr w:rsidR="00FB157B" w14:paraId="77411367" w14:textId="77777777" w:rsidTr="00CA3F42">
        <w:tc>
          <w:tcPr>
            <w:tcW w:w="9558" w:type="dxa"/>
            <w:tcBorders>
              <w:bottom w:val="single" w:sz="4" w:space="0" w:color="auto"/>
            </w:tcBorders>
          </w:tcPr>
          <w:p w14:paraId="77411366" w14:textId="77777777" w:rsidR="00FB157B" w:rsidRDefault="00FB157B" w:rsidP="00BE7D2F">
            <w:pPr>
              <w:pStyle w:val="Basic12"/>
              <w:jc w:val="center"/>
              <w:rPr>
                <w:b/>
                <w:bCs/>
              </w:rPr>
            </w:pPr>
          </w:p>
        </w:tc>
      </w:tr>
      <w:tr w:rsidR="00FB157B" w14:paraId="77411369" w14:textId="77777777" w:rsidTr="00506FE5">
        <w:tc>
          <w:tcPr>
            <w:tcW w:w="9558" w:type="dxa"/>
            <w:tcBorders>
              <w:top w:val="single" w:sz="4" w:space="0" w:color="auto"/>
              <w:bottom w:val="single" w:sz="4" w:space="0" w:color="auto"/>
            </w:tcBorders>
          </w:tcPr>
          <w:p w14:paraId="7C88C4E1" w14:textId="77777777" w:rsidR="001F3523" w:rsidRDefault="001F3523" w:rsidP="00661A42">
            <w:pPr>
              <w:pStyle w:val="Basic12"/>
              <w:jc w:val="center"/>
              <w:rPr>
                <w:b/>
                <w:bCs/>
                <w:color w:val="C00000"/>
              </w:rPr>
            </w:pPr>
            <w:r w:rsidRPr="001F3523">
              <w:rPr>
                <w:b/>
                <w:bCs/>
                <w:color w:val="C00000"/>
              </w:rPr>
              <w:t>Predicting Rheumatoid Arthritis Disease Severity in the</w:t>
            </w:r>
          </w:p>
          <w:p w14:paraId="77411368" w14:textId="24D78EAA" w:rsidR="00FB157B" w:rsidRPr="00A349F0" w:rsidRDefault="001F3523" w:rsidP="00661A42">
            <w:pPr>
              <w:pStyle w:val="Basic12"/>
              <w:jc w:val="center"/>
              <w:rPr>
                <w:b/>
                <w:bCs/>
              </w:rPr>
            </w:pPr>
            <w:r w:rsidRPr="001F3523">
              <w:rPr>
                <w:b/>
                <w:bCs/>
                <w:color w:val="C00000"/>
              </w:rPr>
              <w:t xml:space="preserve"> Absence of Clinical Data in US Claims Databases </w:t>
            </w:r>
          </w:p>
        </w:tc>
      </w:tr>
      <w:tr w:rsidR="00506FE5" w14:paraId="7741136B" w14:textId="77777777" w:rsidTr="00506FE5">
        <w:tc>
          <w:tcPr>
            <w:tcW w:w="9558" w:type="dxa"/>
            <w:tcBorders>
              <w:top w:val="single" w:sz="4" w:space="0" w:color="auto"/>
            </w:tcBorders>
          </w:tcPr>
          <w:p w14:paraId="7741136A" w14:textId="77777777" w:rsidR="00506FE5" w:rsidRDefault="00506FE5" w:rsidP="00BE7D2F">
            <w:pPr>
              <w:pStyle w:val="Basic12"/>
              <w:jc w:val="center"/>
              <w:rPr>
                <w:b/>
                <w:bCs/>
              </w:rPr>
            </w:pPr>
          </w:p>
        </w:tc>
      </w:tr>
      <w:tr w:rsidR="00FB157B" w14:paraId="7741136D" w14:textId="77777777" w:rsidTr="00506FE5">
        <w:tc>
          <w:tcPr>
            <w:tcW w:w="9558" w:type="dxa"/>
          </w:tcPr>
          <w:p w14:paraId="7741136C" w14:textId="77945DF4" w:rsidR="00FB157B" w:rsidRDefault="00FB157B" w:rsidP="00BE7D2F">
            <w:pPr>
              <w:pStyle w:val="Basic12"/>
              <w:jc w:val="center"/>
              <w:rPr>
                <w:b/>
                <w:bCs/>
              </w:rPr>
            </w:pPr>
          </w:p>
        </w:tc>
      </w:tr>
    </w:tbl>
    <w:p w14:paraId="7741136E" w14:textId="77777777" w:rsidR="00661A42" w:rsidRDefault="00661A42" w:rsidP="00661A42">
      <w:pPr>
        <w:pStyle w:val="Basic11"/>
      </w:pPr>
    </w:p>
    <w:p w14:paraId="7741136F" w14:textId="77777777" w:rsidR="00E870D1" w:rsidRDefault="00E870D1" w:rsidP="00661A42">
      <w:pPr>
        <w:pStyle w:val="Basic11"/>
        <w:rPr>
          <w:szCs w:val="24"/>
        </w:rPr>
      </w:pPr>
      <w:r>
        <w:t xml:space="preserve">* </w:t>
      </w:r>
      <w:r w:rsidRPr="00254845">
        <w:rPr>
          <w:szCs w:val="24"/>
        </w:rPr>
        <w:t>Janssen Research &amp; Development (Janssen R&amp;D) is a global organization that operates through different legal entities in various countries. Therefore, the legal entity acting as the sponsor for studies of Janssen R&amp;D may vary. The term "sponsor" is used throughout the protocol to represen</w:t>
      </w:r>
      <w:r>
        <w:rPr>
          <w:szCs w:val="24"/>
        </w:rPr>
        <w:t>t these various legal entities.</w:t>
      </w:r>
    </w:p>
    <w:p w14:paraId="77411370" w14:textId="0FF7A5C7" w:rsidR="00766811" w:rsidRPr="00EF6221" w:rsidRDefault="00CC7659" w:rsidP="00BC0EA4">
      <w:pPr>
        <w:pStyle w:val="TableText"/>
        <w:rPr>
          <w:sz w:val="18"/>
          <w:szCs w:val="18"/>
        </w:rPr>
      </w:pPr>
      <w:r>
        <w:rPr>
          <w:noProof/>
        </w:rPr>
        <mc:AlternateContent>
          <mc:Choice Requires="wps">
            <w:drawing>
              <wp:anchor distT="0" distB="0" distL="114300" distR="114300" simplePos="0" relativeHeight="251659264" behindDoc="0" locked="1" layoutInCell="1" allowOverlap="1" wp14:anchorId="774114D3" wp14:editId="492AA8F6">
                <wp:simplePos x="0" y="0"/>
                <wp:positionH relativeFrom="column">
                  <wp:posOffset>7620</wp:posOffset>
                </wp:positionH>
                <wp:positionV relativeFrom="page">
                  <wp:posOffset>5844540</wp:posOffset>
                </wp:positionV>
                <wp:extent cx="5943600" cy="2336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14DE" w14:textId="2756C4F1" w:rsidR="0064141C" w:rsidRDefault="0064141C" w:rsidP="00096EA4">
                            <w:pPr>
                              <w:pStyle w:val="Basic11"/>
                              <w:tabs>
                                <w:tab w:val="left" w:pos="1440"/>
                              </w:tabs>
                              <w:spacing w:after="60"/>
                              <w:ind w:left="1440" w:hanging="1440"/>
                            </w:pPr>
                            <w:r w:rsidRPr="00302E3A">
                              <w:rPr>
                                <w:b/>
                              </w:rPr>
                              <w:t>Status:</w:t>
                            </w:r>
                            <w:r w:rsidRPr="00096EA4">
                              <w:tab/>
                            </w:r>
                            <w:r w:rsidR="00754071">
                              <w:t>Final</w:t>
                            </w:r>
                            <w:r>
                              <w:t xml:space="preserve"> </w:t>
                            </w:r>
                            <w:r>
                              <w:br/>
                            </w:r>
                          </w:p>
                          <w:p w14:paraId="428DB058" w14:textId="300ED990" w:rsidR="0064141C" w:rsidRDefault="0064141C" w:rsidP="00096EA4">
                            <w:pPr>
                              <w:pStyle w:val="Basic11"/>
                              <w:tabs>
                                <w:tab w:val="left" w:pos="1440"/>
                              </w:tabs>
                              <w:spacing w:after="60"/>
                              <w:ind w:left="1440" w:hanging="1440"/>
                            </w:pPr>
                            <w:r w:rsidRPr="00302E3A">
                              <w:rPr>
                                <w:b/>
                              </w:rPr>
                              <w:t>Date:</w:t>
                            </w:r>
                            <w:r w:rsidRPr="00096EA4">
                              <w:tab/>
                            </w:r>
                            <w:r>
                              <w:t>January 16, 2018</w:t>
                            </w:r>
                            <w:r w:rsidRPr="00F26512">
                              <w:t xml:space="preserve">  </w:t>
                            </w:r>
                          </w:p>
                          <w:p w14:paraId="774114E0" w14:textId="7338DB7A" w:rsidR="0064141C" w:rsidRDefault="0064141C" w:rsidP="00096EA4">
                            <w:pPr>
                              <w:pStyle w:val="Basic11"/>
                              <w:tabs>
                                <w:tab w:val="left" w:pos="1440"/>
                              </w:tabs>
                              <w:spacing w:after="60"/>
                              <w:ind w:left="1440" w:hanging="1440"/>
                            </w:pPr>
                            <w:r w:rsidRPr="00302E3A">
                              <w:rPr>
                                <w:b/>
                              </w:rPr>
                              <w:t xml:space="preserve">Prepared </w:t>
                            </w:r>
                            <w:r>
                              <w:rPr>
                                <w:b/>
                              </w:rPr>
                              <w:t>b</w:t>
                            </w:r>
                            <w:r w:rsidRPr="00302E3A">
                              <w:rPr>
                                <w:b/>
                              </w:rPr>
                              <w:t>y:</w:t>
                            </w:r>
                            <w:r w:rsidRPr="00096EA4">
                              <w:tab/>
                            </w:r>
                            <w:r>
                              <w:t>Global Epidemiology, Janssen Research &amp; Development</w:t>
                            </w:r>
                          </w:p>
                          <w:p w14:paraId="5E5CAE8E" w14:textId="77777777" w:rsidR="0064141C" w:rsidRPr="00096EA4" w:rsidRDefault="0064141C" w:rsidP="00096EA4">
                            <w:pPr>
                              <w:pStyle w:val="Basic11"/>
                              <w:tabs>
                                <w:tab w:val="left" w:pos="1440"/>
                              </w:tabs>
                              <w:spacing w:after="60"/>
                              <w:ind w:left="1440" w:hanging="1440"/>
                            </w:pPr>
                          </w:p>
                          <w:p w14:paraId="774114E1" w14:textId="09B4959F" w:rsidR="0064141C" w:rsidRDefault="0064141C" w:rsidP="00E870D1">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p>
                          <w:p w14:paraId="774114E2" w14:textId="77777777" w:rsidR="0064141C" w:rsidRDefault="0064141C" w:rsidP="00BC0EA4">
                            <w:pPr>
                              <w:pStyle w:val="Basic11"/>
                              <w:tabs>
                                <w:tab w:val="left" w:pos="2160"/>
                              </w:tabs>
                              <w:ind w:left="2160" w:hanging="2160"/>
                            </w:pPr>
                          </w:p>
                          <w:p w14:paraId="774114E3" w14:textId="77777777" w:rsidR="0064141C" w:rsidRPr="00EF6221" w:rsidRDefault="0064141C" w:rsidP="00BC0EA4">
                            <w:pPr>
                              <w:pStyle w:val="TableText"/>
                              <w:pBdr>
                                <w:top w:val="single" w:sz="4" w:space="1" w:color="auto"/>
                              </w:pBdr>
                              <w:jc w:val="center"/>
                              <w:rPr>
                                <w:b/>
                                <w:sz w:val="18"/>
                                <w:szCs w:val="18"/>
                              </w:rPr>
                            </w:pPr>
                            <w:r w:rsidRPr="00EF6221">
                              <w:rPr>
                                <w:b/>
                                <w:sz w:val="18"/>
                                <w:szCs w:val="18"/>
                              </w:rPr>
                              <w:t>Confidentiality Statement</w:t>
                            </w:r>
                          </w:p>
                          <w:p w14:paraId="774114E4" w14:textId="77777777" w:rsidR="0064141C" w:rsidRPr="00B00455" w:rsidRDefault="0064141C" w:rsidP="001D57FB">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74114D3" id="_x0000_t202" coordsize="21600,21600" o:spt="202" path="m,l,21600r21600,l21600,xe">
                <v:stroke joinstyle="miter"/>
                <v:path gradientshapeok="t" o:connecttype="rect"/>
              </v:shapetype>
              <v:shape id="Text Box 2" o:spid="_x0000_s1026" type="#_x0000_t202" style="position:absolute;margin-left:.6pt;margin-top:460.2pt;width:468pt;height:18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" stroked="f">
                <v:textbox style="mso-fit-shape-to-text:t">
                  <w:txbxContent>
                    <w:p w14:paraId="774114DE" w14:textId="2756C4F1" w:rsidR="0064141C" w:rsidRDefault="0064141C" w:rsidP="00096EA4">
                      <w:pPr>
                        <w:pStyle w:val="Basic11"/>
                        <w:tabs>
                          <w:tab w:val="left" w:pos="1440"/>
                        </w:tabs>
                        <w:spacing w:after="60"/>
                        <w:ind w:left="1440" w:hanging="1440"/>
                      </w:pPr>
                      <w:r w:rsidRPr="00302E3A">
                        <w:rPr>
                          <w:b/>
                        </w:rPr>
                        <w:t>Status:</w:t>
                      </w:r>
                      <w:r w:rsidRPr="00096EA4">
                        <w:tab/>
                      </w:r>
                      <w:r w:rsidR="00754071">
                        <w:t>Final</w:t>
                      </w:r>
                      <w:r>
                        <w:t xml:space="preserve"> </w:t>
                      </w:r>
                      <w:r>
                        <w:br/>
                      </w:r>
                    </w:p>
                    <w:p w14:paraId="428DB058" w14:textId="300ED990" w:rsidR="0064141C" w:rsidRDefault="0064141C" w:rsidP="00096EA4">
                      <w:pPr>
                        <w:pStyle w:val="Basic11"/>
                        <w:tabs>
                          <w:tab w:val="left" w:pos="1440"/>
                        </w:tabs>
                        <w:spacing w:after="60"/>
                        <w:ind w:left="1440" w:hanging="1440"/>
                      </w:pPr>
                      <w:r w:rsidRPr="00302E3A">
                        <w:rPr>
                          <w:b/>
                        </w:rPr>
                        <w:t>Date:</w:t>
                      </w:r>
                      <w:r w:rsidRPr="00096EA4">
                        <w:tab/>
                      </w:r>
                      <w:r>
                        <w:t>January 16, 2018</w:t>
                      </w:r>
                      <w:r w:rsidRPr="00F26512">
                        <w:t xml:space="preserve">  </w:t>
                      </w:r>
                    </w:p>
                    <w:p w14:paraId="774114E0" w14:textId="7338DB7A" w:rsidR="0064141C" w:rsidRDefault="0064141C" w:rsidP="00096EA4">
                      <w:pPr>
                        <w:pStyle w:val="Basic11"/>
                        <w:tabs>
                          <w:tab w:val="left" w:pos="1440"/>
                        </w:tabs>
                        <w:spacing w:after="60"/>
                        <w:ind w:left="1440" w:hanging="1440"/>
                      </w:pPr>
                      <w:r w:rsidRPr="00302E3A">
                        <w:rPr>
                          <w:b/>
                        </w:rPr>
                        <w:t xml:space="preserve">Prepared </w:t>
                      </w:r>
                      <w:r>
                        <w:rPr>
                          <w:b/>
                        </w:rPr>
                        <w:t>b</w:t>
                      </w:r>
                      <w:r w:rsidRPr="00302E3A">
                        <w:rPr>
                          <w:b/>
                        </w:rPr>
                        <w:t>y:</w:t>
                      </w:r>
                      <w:r w:rsidRPr="00096EA4">
                        <w:tab/>
                      </w:r>
                      <w:r>
                        <w:t>Global Epidemiology, Janssen Research &amp; Development</w:t>
                      </w:r>
                      <w:bookmarkStart w:id="1" w:name="_GoBack"/>
                      <w:bookmarkEnd w:id="1"/>
                    </w:p>
                    <w:p w14:paraId="5E5CAE8E" w14:textId="77777777" w:rsidR="0064141C" w:rsidRPr="00096EA4" w:rsidRDefault="0064141C" w:rsidP="00096EA4">
                      <w:pPr>
                        <w:pStyle w:val="Basic11"/>
                        <w:tabs>
                          <w:tab w:val="left" w:pos="1440"/>
                        </w:tabs>
                        <w:spacing w:after="60"/>
                        <w:ind w:left="1440" w:hanging="1440"/>
                      </w:pPr>
                    </w:p>
                    <w:p w14:paraId="774114E1" w14:textId="09B4959F" w:rsidR="0064141C" w:rsidRDefault="0064141C" w:rsidP="00E870D1">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p>
                    <w:p w14:paraId="774114E2" w14:textId="77777777" w:rsidR="0064141C" w:rsidRDefault="0064141C" w:rsidP="00BC0EA4">
                      <w:pPr>
                        <w:pStyle w:val="Basic11"/>
                        <w:tabs>
                          <w:tab w:val="left" w:pos="2160"/>
                        </w:tabs>
                        <w:ind w:left="2160" w:hanging="2160"/>
                      </w:pPr>
                    </w:p>
                    <w:p w14:paraId="774114E3" w14:textId="77777777" w:rsidR="0064141C" w:rsidRPr="00EF6221" w:rsidRDefault="0064141C" w:rsidP="00BC0EA4">
                      <w:pPr>
                        <w:pStyle w:val="TableText"/>
                        <w:pBdr>
                          <w:top w:val="single" w:sz="4" w:space="1" w:color="auto"/>
                        </w:pBdr>
                        <w:jc w:val="center"/>
                        <w:rPr>
                          <w:b/>
                          <w:sz w:val="18"/>
                          <w:szCs w:val="18"/>
                        </w:rPr>
                      </w:pPr>
                      <w:r w:rsidRPr="00EF6221">
                        <w:rPr>
                          <w:b/>
                          <w:sz w:val="18"/>
                          <w:szCs w:val="18"/>
                        </w:rPr>
                        <w:t>Confidentiality Statement</w:t>
                      </w:r>
                    </w:p>
                    <w:p w14:paraId="774114E4" w14:textId="77777777" w:rsidR="0064141C" w:rsidRPr="00B00455" w:rsidRDefault="0064141C" w:rsidP="001D57FB">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v:textbox>
                <w10:wrap type="square" anchory="page"/>
                <w10:anchorlock/>
              </v:shape>
            </w:pict>
          </mc:Fallback>
        </mc:AlternateContent>
      </w:r>
    </w:p>
    <w:p w14:paraId="77411371" w14:textId="77777777" w:rsidR="00BC0EA4" w:rsidRDefault="00BC0EA4" w:rsidP="00BC0EA4">
      <w:pPr>
        <w:pStyle w:val="TableText"/>
        <w:rPr>
          <w:highlight w:val="cyan"/>
        </w:rPr>
        <w:sectPr w:rsidR="00BC0EA4" w:rsidSect="00F72437">
          <w:headerReference w:type="default" r:id="rId13"/>
          <w:footerReference w:type="default" r:id="rId14"/>
          <w:footnotePr>
            <w:numFmt w:val="lowerLetter"/>
            <w:numRestart w:val="eachPage"/>
          </w:footnotePr>
          <w:endnotePr>
            <w:numFmt w:val="decimal"/>
          </w:endnotePr>
          <w:pgSz w:w="12240" w:h="15840" w:code="1"/>
          <w:pgMar w:top="1152" w:right="1440" w:bottom="1152" w:left="1440" w:header="547" w:footer="720" w:gutter="0"/>
          <w:cols w:space="720"/>
          <w:docGrid w:linePitch="360"/>
        </w:sectPr>
      </w:pPr>
    </w:p>
    <w:p w14:paraId="77411388" w14:textId="77777777" w:rsidR="00B7104C" w:rsidRDefault="00B7104C" w:rsidP="00B7104C">
      <w:pPr>
        <w:pStyle w:val="Basic11"/>
      </w:pPr>
    </w:p>
    <w:p w14:paraId="77411389" w14:textId="77777777" w:rsidR="00BC0EA4" w:rsidRPr="0085332A" w:rsidRDefault="00BC0EA4" w:rsidP="00506FE5">
      <w:pPr>
        <w:pStyle w:val="Heading1"/>
      </w:pPr>
      <w:bookmarkStart w:id="1" w:name="_Toc518905780"/>
      <w:r w:rsidRPr="0085332A">
        <w:t>TABLE OF CONTENTS</w:t>
      </w:r>
      <w:bookmarkEnd w:id="1"/>
    </w:p>
    <w:p w14:paraId="59E38182" w14:textId="79C90FC1" w:rsidR="00754071" w:rsidRDefault="004805F7">
      <w:pPr>
        <w:pStyle w:val="TOC1"/>
        <w:rPr>
          <w:rFonts w:asciiTheme="minorHAnsi" w:eastAsiaTheme="minorEastAsia" w:hAnsiTheme="minorHAnsi" w:cstheme="minorBidi"/>
          <w:b w:val="0"/>
          <w:caps w:val="0"/>
          <w:noProof/>
          <w:sz w:val="22"/>
          <w:szCs w:val="22"/>
        </w:rPr>
      </w:pPr>
      <w:r>
        <w:fldChar w:fldCharType="begin"/>
      </w:r>
      <w:r w:rsidR="00BC0EA4">
        <w:instrText xml:space="preserve"> TOC \o "1-8" \t "Mark for TOC,8" </w:instrText>
      </w:r>
      <w:r>
        <w:fldChar w:fldCharType="separate"/>
      </w:r>
      <w:r w:rsidR="00754071">
        <w:rPr>
          <w:noProof/>
        </w:rPr>
        <w:t>1.</w:t>
      </w:r>
      <w:r w:rsidR="00754071">
        <w:rPr>
          <w:rFonts w:asciiTheme="minorHAnsi" w:eastAsiaTheme="minorEastAsia" w:hAnsiTheme="minorHAnsi" w:cstheme="minorBidi"/>
          <w:b w:val="0"/>
          <w:caps w:val="0"/>
          <w:noProof/>
          <w:sz w:val="22"/>
          <w:szCs w:val="22"/>
        </w:rPr>
        <w:tab/>
      </w:r>
      <w:r w:rsidR="00754071">
        <w:rPr>
          <w:noProof/>
        </w:rPr>
        <w:t>TABLE OF CONTENTS</w:t>
      </w:r>
      <w:r w:rsidR="00754071">
        <w:rPr>
          <w:noProof/>
        </w:rPr>
        <w:tab/>
      </w:r>
      <w:r w:rsidR="00754071">
        <w:rPr>
          <w:noProof/>
        </w:rPr>
        <w:fldChar w:fldCharType="begin"/>
      </w:r>
      <w:r w:rsidR="00754071">
        <w:rPr>
          <w:noProof/>
        </w:rPr>
        <w:instrText xml:space="preserve"> PAGEREF _Toc518905780 \h </w:instrText>
      </w:r>
      <w:r w:rsidR="00754071">
        <w:rPr>
          <w:noProof/>
        </w:rPr>
      </w:r>
      <w:r w:rsidR="00754071">
        <w:rPr>
          <w:noProof/>
        </w:rPr>
        <w:fldChar w:fldCharType="separate"/>
      </w:r>
      <w:r w:rsidR="00754071">
        <w:rPr>
          <w:noProof/>
        </w:rPr>
        <w:t>2</w:t>
      </w:r>
      <w:r w:rsidR="00754071">
        <w:rPr>
          <w:noProof/>
        </w:rPr>
        <w:fldChar w:fldCharType="end"/>
      </w:r>
    </w:p>
    <w:p w14:paraId="07EC360B" w14:textId="0F8CD630" w:rsidR="00754071" w:rsidRDefault="00754071">
      <w:pPr>
        <w:pStyle w:val="TOC1"/>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LIST OF ABBREVIATIONS</w:t>
      </w:r>
      <w:r>
        <w:rPr>
          <w:noProof/>
        </w:rPr>
        <w:tab/>
      </w:r>
      <w:r>
        <w:rPr>
          <w:noProof/>
        </w:rPr>
        <w:fldChar w:fldCharType="begin"/>
      </w:r>
      <w:r>
        <w:rPr>
          <w:noProof/>
        </w:rPr>
        <w:instrText xml:space="preserve"> PAGEREF _Toc518905781 \h </w:instrText>
      </w:r>
      <w:r>
        <w:rPr>
          <w:noProof/>
        </w:rPr>
      </w:r>
      <w:r>
        <w:rPr>
          <w:noProof/>
        </w:rPr>
        <w:fldChar w:fldCharType="separate"/>
      </w:r>
      <w:r>
        <w:rPr>
          <w:noProof/>
        </w:rPr>
        <w:t>3</w:t>
      </w:r>
      <w:r>
        <w:rPr>
          <w:noProof/>
        </w:rPr>
        <w:fldChar w:fldCharType="end"/>
      </w:r>
    </w:p>
    <w:p w14:paraId="0BE1EC76" w14:textId="1B4500C9" w:rsidR="00754071" w:rsidRDefault="00754071">
      <w:pPr>
        <w:pStyle w:val="TOC1"/>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RESPONSIBLE PARTIES</w:t>
      </w:r>
      <w:r>
        <w:rPr>
          <w:noProof/>
        </w:rPr>
        <w:tab/>
      </w:r>
      <w:r>
        <w:rPr>
          <w:noProof/>
        </w:rPr>
        <w:fldChar w:fldCharType="begin"/>
      </w:r>
      <w:r>
        <w:rPr>
          <w:noProof/>
        </w:rPr>
        <w:instrText xml:space="preserve"> PAGEREF _Toc518905782 \h </w:instrText>
      </w:r>
      <w:r>
        <w:rPr>
          <w:noProof/>
        </w:rPr>
      </w:r>
      <w:r>
        <w:rPr>
          <w:noProof/>
        </w:rPr>
        <w:fldChar w:fldCharType="separate"/>
      </w:r>
      <w:r>
        <w:rPr>
          <w:noProof/>
        </w:rPr>
        <w:t>3</w:t>
      </w:r>
      <w:r>
        <w:rPr>
          <w:noProof/>
        </w:rPr>
        <w:fldChar w:fldCharType="end"/>
      </w:r>
    </w:p>
    <w:p w14:paraId="753921A3" w14:textId="5170F17C" w:rsidR="00754071" w:rsidRDefault="00754071">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Investigator(s) and Authors</w:t>
      </w:r>
      <w:r>
        <w:rPr>
          <w:noProof/>
        </w:rPr>
        <w:tab/>
      </w:r>
      <w:r>
        <w:rPr>
          <w:noProof/>
        </w:rPr>
        <w:fldChar w:fldCharType="begin"/>
      </w:r>
      <w:r>
        <w:rPr>
          <w:noProof/>
        </w:rPr>
        <w:instrText xml:space="preserve"> PAGEREF _Toc518905783 \h </w:instrText>
      </w:r>
      <w:r>
        <w:rPr>
          <w:noProof/>
        </w:rPr>
      </w:r>
      <w:r>
        <w:rPr>
          <w:noProof/>
        </w:rPr>
        <w:fldChar w:fldCharType="separate"/>
      </w:r>
      <w:r>
        <w:rPr>
          <w:noProof/>
        </w:rPr>
        <w:t>3</w:t>
      </w:r>
      <w:r>
        <w:rPr>
          <w:noProof/>
        </w:rPr>
        <w:fldChar w:fldCharType="end"/>
      </w:r>
    </w:p>
    <w:p w14:paraId="2BCC61F4" w14:textId="7D2CCF82" w:rsidR="00754071" w:rsidRDefault="00754071">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Sponsor</w:t>
      </w:r>
      <w:r>
        <w:rPr>
          <w:noProof/>
        </w:rPr>
        <w:tab/>
      </w:r>
      <w:r>
        <w:rPr>
          <w:noProof/>
        </w:rPr>
        <w:fldChar w:fldCharType="begin"/>
      </w:r>
      <w:r>
        <w:rPr>
          <w:noProof/>
        </w:rPr>
        <w:instrText xml:space="preserve"> PAGEREF _Toc518905784 \h </w:instrText>
      </w:r>
      <w:r>
        <w:rPr>
          <w:noProof/>
        </w:rPr>
      </w:r>
      <w:r>
        <w:rPr>
          <w:noProof/>
        </w:rPr>
        <w:fldChar w:fldCharType="separate"/>
      </w:r>
      <w:r>
        <w:rPr>
          <w:noProof/>
        </w:rPr>
        <w:t>3</w:t>
      </w:r>
      <w:r>
        <w:rPr>
          <w:noProof/>
        </w:rPr>
        <w:fldChar w:fldCharType="end"/>
      </w:r>
    </w:p>
    <w:p w14:paraId="5AD68B4E" w14:textId="4441D9F5" w:rsidR="00754071" w:rsidRDefault="00754071">
      <w:pPr>
        <w:pStyle w:val="TOC1"/>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ABSTRACT</w:t>
      </w:r>
      <w:r>
        <w:rPr>
          <w:noProof/>
        </w:rPr>
        <w:tab/>
      </w:r>
      <w:r>
        <w:rPr>
          <w:noProof/>
        </w:rPr>
        <w:fldChar w:fldCharType="begin"/>
      </w:r>
      <w:r>
        <w:rPr>
          <w:noProof/>
        </w:rPr>
        <w:instrText xml:space="preserve"> PAGEREF _Toc518905785 \h </w:instrText>
      </w:r>
      <w:r>
        <w:rPr>
          <w:noProof/>
        </w:rPr>
      </w:r>
      <w:r>
        <w:rPr>
          <w:noProof/>
        </w:rPr>
        <w:fldChar w:fldCharType="separate"/>
      </w:r>
      <w:r>
        <w:rPr>
          <w:noProof/>
        </w:rPr>
        <w:t>3</w:t>
      </w:r>
      <w:r>
        <w:rPr>
          <w:noProof/>
        </w:rPr>
        <w:fldChar w:fldCharType="end"/>
      </w:r>
    </w:p>
    <w:p w14:paraId="73AB1BFB" w14:textId="6FCDA55F" w:rsidR="00754071" w:rsidRDefault="00754071">
      <w:pPr>
        <w:pStyle w:val="TOC1"/>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AMENDMENTS AND UPDATES</w:t>
      </w:r>
      <w:r>
        <w:rPr>
          <w:noProof/>
        </w:rPr>
        <w:tab/>
      </w:r>
      <w:r>
        <w:rPr>
          <w:noProof/>
        </w:rPr>
        <w:fldChar w:fldCharType="begin"/>
      </w:r>
      <w:r>
        <w:rPr>
          <w:noProof/>
        </w:rPr>
        <w:instrText xml:space="preserve"> PAGEREF _Toc518905786 \h </w:instrText>
      </w:r>
      <w:r>
        <w:rPr>
          <w:noProof/>
        </w:rPr>
      </w:r>
      <w:r>
        <w:rPr>
          <w:noProof/>
        </w:rPr>
        <w:fldChar w:fldCharType="separate"/>
      </w:r>
      <w:r>
        <w:rPr>
          <w:noProof/>
        </w:rPr>
        <w:t>3</w:t>
      </w:r>
      <w:r>
        <w:rPr>
          <w:noProof/>
        </w:rPr>
        <w:fldChar w:fldCharType="end"/>
      </w:r>
    </w:p>
    <w:p w14:paraId="065D5490" w14:textId="4BE30AC9" w:rsidR="00754071" w:rsidRDefault="00754071">
      <w:pPr>
        <w:pStyle w:val="TOC1"/>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RATIONALE AND BACKGROUND</w:t>
      </w:r>
      <w:r>
        <w:rPr>
          <w:noProof/>
        </w:rPr>
        <w:tab/>
      </w:r>
      <w:r>
        <w:rPr>
          <w:noProof/>
        </w:rPr>
        <w:fldChar w:fldCharType="begin"/>
      </w:r>
      <w:r>
        <w:rPr>
          <w:noProof/>
        </w:rPr>
        <w:instrText xml:space="preserve"> PAGEREF _Toc518905787 \h </w:instrText>
      </w:r>
      <w:r>
        <w:rPr>
          <w:noProof/>
        </w:rPr>
      </w:r>
      <w:r>
        <w:rPr>
          <w:noProof/>
        </w:rPr>
        <w:fldChar w:fldCharType="separate"/>
      </w:r>
      <w:r>
        <w:rPr>
          <w:noProof/>
        </w:rPr>
        <w:t>3</w:t>
      </w:r>
      <w:r>
        <w:rPr>
          <w:noProof/>
        </w:rPr>
        <w:fldChar w:fldCharType="end"/>
      </w:r>
    </w:p>
    <w:p w14:paraId="4581CCD6" w14:textId="08F2B277" w:rsidR="00754071" w:rsidRDefault="00754071">
      <w:pPr>
        <w:pStyle w:val="TOC1"/>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STUDY Objectives</w:t>
      </w:r>
      <w:r>
        <w:rPr>
          <w:noProof/>
        </w:rPr>
        <w:tab/>
      </w:r>
      <w:r>
        <w:rPr>
          <w:noProof/>
        </w:rPr>
        <w:fldChar w:fldCharType="begin"/>
      </w:r>
      <w:r>
        <w:rPr>
          <w:noProof/>
        </w:rPr>
        <w:instrText xml:space="preserve"> PAGEREF _Toc518905788 \h </w:instrText>
      </w:r>
      <w:r>
        <w:rPr>
          <w:noProof/>
        </w:rPr>
      </w:r>
      <w:r>
        <w:rPr>
          <w:noProof/>
        </w:rPr>
        <w:fldChar w:fldCharType="separate"/>
      </w:r>
      <w:r>
        <w:rPr>
          <w:noProof/>
        </w:rPr>
        <w:t>5</w:t>
      </w:r>
      <w:r>
        <w:rPr>
          <w:noProof/>
        </w:rPr>
        <w:fldChar w:fldCharType="end"/>
      </w:r>
    </w:p>
    <w:p w14:paraId="1F9C143F" w14:textId="3399FF29" w:rsidR="00754071" w:rsidRDefault="00754071">
      <w:pPr>
        <w:pStyle w:val="TOC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Primary Objective</w:t>
      </w:r>
      <w:r>
        <w:rPr>
          <w:noProof/>
        </w:rPr>
        <w:tab/>
      </w:r>
      <w:r>
        <w:rPr>
          <w:noProof/>
        </w:rPr>
        <w:fldChar w:fldCharType="begin"/>
      </w:r>
      <w:r>
        <w:rPr>
          <w:noProof/>
        </w:rPr>
        <w:instrText xml:space="preserve"> PAGEREF _Toc518905789 \h </w:instrText>
      </w:r>
      <w:r>
        <w:rPr>
          <w:noProof/>
        </w:rPr>
      </w:r>
      <w:r>
        <w:rPr>
          <w:noProof/>
        </w:rPr>
        <w:fldChar w:fldCharType="separate"/>
      </w:r>
      <w:r>
        <w:rPr>
          <w:noProof/>
        </w:rPr>
        <w:t>5</w:t>
      </w:r>
      <w:r>
        <w:rPr>
          <w:noProof/>
        </w:rPr>
        <w:fldChar w:fldCharType="end"/>
      </w:r>
    </w:p>
    <w:p w14:paraId="41C17AF2" w14:textId="1BC93E49" w:rsidR="00754071" w:rsidRDefault="00754071">
      <w:pPr>
        <w:pStyle w:val="TOC1"/>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research methods</w:t>
      </w:r>
      <w:r>
        <w:rPr>
          <w:noProof/>
        </w:rPr>
        <w:tab/>
      </w:r>
      <w:r>
        <w:rPr>
          <w:noProof/>
        </w:rPr>
        <w:fldChar w:fldCharType="begin"/>
      </w:r>
      <w:r>
        <w:rPr>
          <w:noProof/>
        </w:rPr>
        <w:instrText xml:space="preserve"> PAGEREF _Toc518905790 \h </w:instrText>
      </w:r>
      <w:r>
        <w:rPr>
          <w:noProof/>
        </w:rPr>
      </w:r>
      <w:r>
        <w:rPr>
          <w:noProof/>
        </w:rPr>
        <w:fldChar w:fldCharType="separate"/>
      </w:r>
      <w:r>
        <w:rPr>
          <w:noProof/>
        </w:rPr>
        <w:t>5</w:t>
      </w:r>
      <w:r>
        <w:rPr>
          <w:noProof/>
        </w:rPr>
        <w:fldChar w:fldCharType="end"/>
      </w:r>
    </w:p>
    <w:p w14:paraId="36966963" w14:textId="0D2F581F" w:rsidR="00754071" w:rsidRDefault="00754071">
      <w:pPr>
        <w:pStyle w:val="TOC1"/>
        <w:rPr>
          <w:rFonts w:asciiTheme="minorHAnsi" w:eastAsiaTheme="minorEastAsia" w:hAnsiTheme="minorHAnsi" w:cstheme="minorBidi"/>
          <w:b w:val="0"/>
          <w:caps w:val="0"/>
          <w:noProof/>
          <w:sz w:val="22"/>
          <w:szCs w:val="22"/>
        </w:rPr>
      </w:pPr>
      <w:r>
        <w:rPr>
          <w:noProof/>
        </w:rPr>
        <w:t>8.1</w:t>
      </w:r>
      <w:r>
        <w:rPr>
          <w:rFonts w:asciiTheme="minorHAnsi" w:eastAsiaTheme="minorEastAsia" w:hAnsiTheme="minorHAnsi" w:cstheme="minorBidi"/>
          <w:b w:val="0"/>
          <w:caps w:val="0"/>
          <w:noProof/>
          <w:sz w:val="22"/>
          <w:szCs w:val="22"/>
        </w:rPr>
        <w:tab/>
      </w:r>
      <w:r>
        <w:rPr>
          <w:noProof/>
        </w:rPr>
        <w:t>Study Design and Setting</w:t>
      </w:r>
      <w:r>
        <w:rPr>
          <w:noProof/>
        </w:rPr>
        <w:tab/>
      </w:r>
      <w:r>
        <w:rPr>
          <w:noProof/>
        </w:rPr>
        <w:fldChar w:fldCharType="begin"/>
      </w:r>
      <w:r>
        <w:rPr>
          <w:noProof/>
        </w:rPr>
        <w:instrText xml:space="preserve"> PAGEREF _Toc518905791 \h </w:instrText>
      </w:r>
      <w:r>
        <w:rPr>
          <w:noProof/>
        </w:rPr>
      </w:r>
      <w:r>
        <w:rPr>
          <w:noProof/>
        </w:rPr>
        <w:fldChar w:fldCharType="separate"/>
      </w:r>
      <w:r>
        <w:rPr>
          <w:noProof/>
        </w:rPr>
        <w:t>5</w:t>
      </w:r>
      <w:r>
        <w:rPr>
          <w:noProof/>
        </w:rPr>
        <w:fldChar w:fldCharType="end"/>
      </w:r>
    </w:p>
    <w:p w14:paraId="4355BBC7" w14:textId="1903D050" w:rsidR="00754071" w:rsidRDefault="00754071">
      <w:pPr>
        <w:pStyle w:val="TO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Describe Data Source(s)</w:t>
      </w:r>
      <w:r>
        <w:rPr>
          <w:noProof/>
        </w:rPr>
        <w:tab/>
      </w:r>
      <w:r>
        <w:rPr>
          <w:noProof/>
        </w:rPr>
        <w:fldChar w:fldCharType="begin"/>
      </w:r>
      <w:r>
        <w:rPr>
          <w:noProof/>
        </w:rPr>
        <w:instrText xml:space="preserve"> PAGEREF _Toc518905792 \h </w:instrText>
      </w:r>
      <w:r>
        <w:rPr>
          <w:noProof/>
        </w:rPr>
      </w:r>
      <w:r>
        <w:rPr>
          <w:noProof/>
        </w:rPr>
        <w:fldChar w:fldCharType="separate"/>
      </w:r>
      <w:r>
        <w:rPr>
          <w:noProof/>
        </w:rPr>
        <w:t>5</w:t>
      </w:r>
      <w:r>
        <w:rPr>
          <w:noProof/>
        </w:rPr>
        <w:fldChar w:fldCharType="end"/>
      </w:r>
    </w:p>
    <w:p w14:paraId="4B119FB4" w14:textId="5BE5863B" w:rsidR="00754071" w:rsidRDefault="00754071">
      <w:pPr>
        <w:pStyle w:val="TO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Study Population(s)</w:t>
      </w:r>
      <w:r>
        <w:rPr>
          <w:noProof/>
        </w:rPr>
        <w:tab/>
      </w:r>
      <w:r>
        <w:rPr>
          <w:noProof/>
        </w:rPr>
        <w:fldChar w:fldCharType="begin"/>
      </w:r>
      <w:r>
        <w:rPr>
          <w:noProof/>
        </w:rPr>
        <w:instrText xml:space="preserve"> PAGEREF _Toc518905793 \h </w:instrText>
      </w:r>
      <w:r>
        <w:rPr>
          <w:noProof/>
        </w:rPr>
      </w:r>
      <w:r>
        <w:rPr>
          <w:noProof/>
        </w:rPr>
        <w:fldChar w:fldCharType="separate"/>
      </w:r>
      <w:r>
        <w:rPr>
          <w:noProof/>
        </w:rPr>
        <w:t>5</w:t>
      </w:r>
      <w:r>
        <w:rPr>
          <w:noProof/>
        </w:rPr>
        <w:fldChar w:fldCharType="end"/>
      </w:r>
    </w:p>
    <w:p w14:paraId="7E289122" w14:textId="03BA3ACE" w:rsidR="00754071" w:rsidRDefault="00754071">
      <w:pPr>
        <w:pStyle w:val="TO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Outcome(s) of Interest</w:t>
      </w:r>
      <w:r>
        <w:rPr>
          <w:noProof/>
        </w:rPr>
        <w:tab/>
      </w:r>
      <w:r>
        <w:rPr>
          <w:noProof/>
        </w:rPr>
        <w:fldChar w:fldCharType="begin"/>
      </w:r>
      <w:r>
        <w:rPr>
          <w:noProof/>
        </w:rPr>
        <w:instrText xml:space="preserve"> PAGEREF _Toc518905794 \h </w:instrText>
      </w:r>
      <w:r>
        <w:rPr>
          <w:noProof/>
        </w:rPr>
      </w:r>
      <w:r>
        <w:rPr>
          <w:noProof/>
        </w:rPr>
        <w:fldChar w:fldCharType="separate"/>
      </w:r>
      <w:r>
        <w:rPr>
          <w:noProof/>
        </w:rPr>
        <w:t>6</w:t>
      </w:r>
      <w:r>
        <w:rPr>
          <w:noProof/>
        </w:rPr>
        <w:fldChar w:fldCharType="end"/>
      </w:r>
    </w:p>
    <w:p w14:paraId="7554AFE6" w14:textId="13892466" w:rsidR="00754071" w:rsidRDefault="00754071">
      <w:pPr>
        <w:pStyle w:val="TO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Model Covariates</w:t>
      </w:r>
      <w:r>
        <w:rPr>
          <w:noProof/>
        </w:rPr>
        <w:tab/>
      </w:r>
      <w:r>
        <w:rPr>
          <w:noProof/>
        </w:rPr>
        <w:fldChar w:fldCharType="begin"/>
      </w:r>
      <w:r>
        <w:rPr>
          <w:noProof/>
        </w:rPr>
        <w:instrText xml:space="preserve"> PAGEREF _Toc518905795 \h </w:instrText>
      </w:r>
      <w:r>
        <w:rPr>
          <w:noProof/>
        </w:rPr>
      </w:r>
      <w:r>
        <w:rPr>
          <w:noProof/>
        </w:rPr>
        <w:fldChar w:fldCharType="separate"/>
      </w:r>
      <w:r>
        <w:rPr>
          <w:noProof/>
        </w:rPr>
        <w:t>6</w:t>
      </w:r>
      <w:r>
        <w:rPr>
          <w:noProof/>
        </w:rPr>
        <w:fldChar w:fldCharType="end"/>
      </w:r>
    </w:p>
    <w:p w14:paraId="4CECEFC8" w14:textId="2A8DC237" w:rsidR="00754071" w:rsidRDefault="00754071">
      <w:pPr>
        <w:pStyle w:val="TOC1"/>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DATA ANALYSIS PLAN</w:t>
      </w:r>
      <w:r>
        <w:rPr>
          <w:noProof/>
        </w:rPr>
        <w:tab/>
      </w:r>
      <w:r>
        <w:rPr>
          <w:noProof/>
        </w:rPr>
        <w:fldChar w:fldCharType="begin"/>
      </w:r>
      <w:r>
        <w:rPr>
          <w:noProof/>
        </w:rPr>
        <w:instrText xml:space="preserve"> PAGEREF _Toc518905796 \h </w:instrText>
      </w:r>
      <w:r>
        <w:rPr>
          <w:noProof/>
        </w:rPr>
      </w:r>
      <w:r>
        <w:rPr>
          <w:noProof/>
        </w:rPr>
        <w:fldChar w:fldCharType="separate"/>
      </w:r>
      <w:r>
        <w:rPr>
          <w:noProof/>
        </w:rPr>
        <w:t>6</w:t>
      </w:r>
      <w:r>
        <w:rPr>
          <w:noProof/>
        </w:rPr>
        <w:fldChar w:fldCharType="end"/>
      </w:r>
    </w:p>
    <w:p w14:paraId="38B7B4C8" w14:textId="3610BC6E" w:rsidR="00754071" w:rsidRDefault="00754071">
      <w:pPr>
        <w:pStyle w:val="TOC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Calculation of Time-at-Risk</w:t>
      </w:r>
      <w:r>
        <w:rPr>
          <w:noProof/>
        </w:rPr>
        <w:tab/>
      </w:r>
      <w:r>
        <w:rPr>
          <w:noProof/>
        </w:rPr>
        <w:fldChar w:fldCharType="begin"/>
      </w:r>
      <w:r>
        <w:rPr>
          <w:noProof/>
        </w:rPr>
        <w:instrText xml:space="preserve"> PAGEREF _Toc518905797 \h </w:instrText>
      </w:r>
      <w:r>
        <w:rPr>
          <w:noProof/>
        </w:rPr>
      </w:r>
      <w:r>
        <w:rPr>
          <w:noProof/>
        </w:rPr>
        <w:fldChar w:fldCharType="separate"/>
      </w:r>
      <w:r>
        <w:rPr>
          <w:noProof/>
        </w:rPr>
        <w:t>6</w:t>
      </w:r>
      <w:r>
        <w:rPr>
          <w:noProof/>
        </w:rPr>
        <w:fldChar w:fldCharType="end"/>
      </w:r>
    </w:p>
    <w:p w14:paraId="7A9F306C" w14:textId="416B3936" w:rsidR="00754071" w:rsidRDefault="00754071">
      <w:pPr>
        <w:pStyle w:val="TOC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Model Specification</w:t>
      </w:r>
      <w:r>
        <w:rPr>
          <w:noProof/>
        </w:rPr>
        <w:tab/>
      </w:r>
      <w:r>
        <w:rPr>
          <w:noProof/>
        </w:rPr>
        <w:fldChar w:fldCharType="begin"/>
      </w:r>
      <w:r>
        <w:rPr>
          <w:noProof/>
        </w:rPr>
        <w:instrText xml:space="preserve"> PAGEREF _Toc518905798 \h </w:instrText>
      </w:r>
      <w:r>
        <w:rPr>
          <w:noProof/>
        </w:rPr>
      </w:r>
      <w:r>
        <w:rPr>
          <w:noProof/>
        </w:rPr>
        <w:fldChar w:fldCharType="separate"/>
      </w:r>
      <w:r>
        <w:rPr>
          <w:noProof/>
        </w:rPr>
        <w:t>7</w:t>
      </w:r>
      <w:r>
        <w:rPr>
          <w:noProof/>
        </w:rPr>
        <w:fldChar w:fldCharType="end"/>
      </w:r>
    </w:p>
    <w:p w14:paraId="4811A249" w14:textId="429A49A4" w:rsidR="00754071" w:rsidRDefault="00754071">
      <w:pPr>
        <w:pStyle w:val="TOC2"/>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Evidence Evaluation</w:t>
      </w:r>
      <w:r>
        <w:rPr>
          <w:noProof/>
        </w:rPr>
        <w:tab/>
      </w:r>
      <w:r>
        <w:rPr>
          <w:noProof/>
        </w:rPr>
        <w:fldChar w:fldCharType="begin"/>
      </w:r>
      <w:r>
        <w:rPr>
          <w:noProof/>
        </w:rPr>
        <w:instrText xml:space="preserve"> PAGEREF _Toc518905799 \h </w:instrText>
      </w:r>
      <w:r>
        <w:rPr>
          <w:noProof/>
        </w:rPr>
      </w:r>
      <w:r>
        <w:rPr>
          <w:noProof/>
        </w:rPr>
        <w:fldChar w:fldCharType="separate"/>
      </w:r>
      <w:r>
        <w:rPr>
          <w:noProof/>
        </w:rPr>
        <w:t>7</w:t>
      </w:r>
      <w:r>
        <w:rPr>
          <w:noProof/>
        </w:rPr>
        <w:fldChar w:fldCharType="end"/>
      </w:r>
    </w:p>
    <w:p w14:paraId="678B9885" w14:textId="7CCDDE5F" w:rsidR="00754071" w:rsidRDefault="00754071">
      <w:pPr>
        <w:pStyle w:val="TOC1"/>
        <w:rPr>
          <w:rFonts w:asciiTheme="minorHAnsi" w:eastAsiaTheme="minorEastAsia" w:hAnsiTheme="minorHAnsi" w:cstheme="minorBidi"/>
          <w:b w:val="0"/>
          <w:caps w:val="0"/>
          <w:noProof/>
          <w:sz w:val="22"/>
          <w:szCs w:val="22"/>
        </w:rPr>
      </w:pPr>
      <w:r w:rsidRPr="00572C1B">
        <w:rPr>
          <w:caps w:val="0"/>
          <w:noProof/>
        </w:rPr>
        <w:t>10</w:t>
      </w:r>
      <w:r>
        <w:rPr>
          <w:rFonts w:asciiTheme="minorHAnsi" w:eastAsiaTheme="minorEastAsia" w:hAnsiTheme="minorHAnsi" w:cstheme="minorBidi"/>
          <w:b w:val="0"/>
          <w:caps w:val="0"/>
          <w:noProof/>
          <w:sz w:val="22"/>
          <w:szCs w:val="22"/>
        </w:rPr>
        <w:tab/>
      </w:r>
      <w:r w:rsidRPr="00572C1B">
        <w:rPr>
          <w:caps w:val="0"/>
          <w:noProof/>
        </w:rPr>
        <w:t>STRENGTHS AND LIMITATIONS OF THE RESEARCH METHODS</w:t>
      </w:r>
      <w:r>
        <w:rPr>
          <w:noProof/>
        </w:rPr>
        <w:tab/>
      </w:r>
      <w:r>
        <w:rPr>
          <w:noProof/>
        </w:rPr>
        <w:fldChar w:fldCharType="begin"/>
      </w:r>
      <w:r>
        <w:rPr>
          <w:noProof/>
        </w:rPr>
        <w:instrText xml:space="preserve"> PAGEREF _Toc518905800 \h </w:instrText>
      </w:r>
      <w:r>
        <w:rPr>
          <w:noProof/>
        </w:rPr>
      </w:r>
      <w:r>
        <w:rPr>
          <w:noProof/>
        </w:rPr>
        <w:fldChar w:fldCharType="separate"/>
      </w:r>
      <w:r>
        <w:rPr>
          <w:noProof/>
        </w:rPr>
        <w:t>7</w:t>
      </w:r>
      <w:r>
        <w:rPr>
          <w:noProof/>
        </w:rPr>
        <w:fldChar w:fldCharType="end"/>
      </w:r>
    </w:p>
    <w:p w14:paraId="71670386" w14:textId="693B92CB" w:rsidR="00754071" w:rsidRDefault="00754071">
      <w:pPr>
        <w:pStyle w:val="TOC1"/>
        <w:rPr>
          <w:rFonts w:asciiTheme="minorHAnsi" w:eastAsiaTheme="minorEastAsia" w:hAnsiTheme="minorHAnsi" w:cstheme="minorBidi"/>
          <w:b w:val="0"/>
          <w:caps w:val="0"/>
          <w:noProof/>
          <w:sz w:val="22"/>
          <w:szCs w:val="22"/>
        </w:rPr>
      </w:pPr>
      <w:r>
        <w:rPr>
          <w:noProof/>
        </w:rPr>
        <w:t>11</w:t>
      </w:r>
      <w:r>
        <w:rPr>
          <w:rFonts w:asciiTheme="minorHAnsi" w:eastAsiaTheme="minorEastAsia" w:hAnsiTheme="minorHAnsi" w:cstheme="minorBidi"/>
          <w:b w:val="0"/>
          <w:caps w:val="0"/>
          <w:noProof/>
          <w:sz w:val="22"/>
          <w:szCs w:val="22"/>
        </w:rPr>
        <w:tab/>
      </w:r>
      <w:r>
        <w:rPr>
          <w:noProof/>
        </w:rPr>
        <w:t>PROTECTION OF HUMAN SUBJECTS</w:t>
      </w:r>
      <w:r>
        <w:rPr>
          <w:noProof/>
        </w:rPr>
        <w:tab/>
      </w:r>
      <w:r>
        <w:rPr>
          <w:noProof/>
        </w:rPr>
        <w:fldChar w:fldCharType="begin"/>
      </w:r>
      <w:r>
        <w:rPr>
          <w:noProof/>
        </w:rPr>
        <w:instrText xml:space="preserve"> PAGEREF _Toc518905801 \h </w:instrText>
      </w:r>
      <w:r>
        <w:rPr>
          <w:noProof/>
        </w:rPr>
      </w:r>
      <w:r>
        <w:rPr>
          <w:noProof/>
        </w:rPr>
        <w:fldChar w:fldCharType="separate"/>
      </w:r>
      <w:r>
        <w:rPr>
          <w:noProof/>
        </w:rPr>
        <w:t>7</w:t>
      </w:r>
      <w:r>
        <w:rPr>
          <w:noProof/>
        </w:rPr>
        <w:fldChar w:fldCharType="end"/>
      </w:r>
    </w:p>
    <w:p w14:paraId="17FF2A63" w14:textId="05345FA7" w:rsidR="00754071" w:rsidRDefault="00754071">
      <w:pPr>
        <w:pStyle w:val="TOC1"/>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sidRPr="00572C1B">
        <w:rPr>
          <w:caps w:val="0"/>
          <w:noProof/>
        </w:rPr>
        <w:t>MANAGEMENT AND REPORTING OF ADVERSE EVENTS AND ADVERSE REACTIONS</w:t>
      </w:r>
      <w:r>
        <w:rPr>
          <w:noProof/>
        </w:rPr>
        <w:tab/>
      </w:r>
      <w:r>
        <w:rPr>
          <w:noProof/>
        </w:rPr>
        <w:fldChar w:fldCharType="begin"/>
      </w:r>
      <w:r>
        <w:rPr>
          <w:noProof/>
        </w:rPr>
        <w:instrText xml:space="preserve"> PAGEREF _Toc518905802 \h </w:instrText>
      </w:r>
      <w:r>
        <w:rPr>
          <w:noProof/>
        </w:rPr>
      </w:r>
      <w:r>
        <w:rPr>
          <w:noProof/>
        </w:rPr>
        <w:fldChar w:fldCharType="separate"/>
      </w:r>
      <w:r>
        <w:rPr>
          <w:noProof/>
        </w:rPr>
        <w:t>7</w:t>
      </w:r>
      <w:r>
        <w:rPr>
          <w:noProof/>
        </w:rPr>
        <w:fldChar w:fldCharType="end"/>
      </w:r>
    </w:p>
    <w:p w14:paraId="3309D170" w14:textId="0222210F" w:rsidR="00754071" w:rsidRDefault="00754071">
      <w:pPr>
        <w:pStyle w:val="TOC1"/>
        <w:rPr>
          <w:rFonts w:asciiTheme="minorHAnsi" w:eastAsiaTheme="minorEastAsia" w:hAnsiTheme="minorHAnsi" w:cstheme="minorBidi"/>
          <w:b w:val="0"/>
          <w:caps w:val="0"/>
          <w:noProof/>
          <w:sz w:val="22"/>
          <w:szCs w:val="22"/>
        </w:rPr>
      </w:pPr>
      <w:r>
        <w:rPr>
          <w:noProof/>
        </w:rPr>
        <w:t>13</w:t>
      </w:r>
      <w:r>
        <w:rPr>
          <w:rFonts w:asciiTheme="minorHAnsi" w:eastAsiaTheme="minorEastAsia" w:hAnsiTheme="minorHAnsi" w:cstheme="minorBidi"/>
          <w:b w:val="0"/>
          <w:caps w:val="0"/>
          <w:noProof/>
          <w:sz w:val="22"/>
          <w:szCs w:val="22"/>
        </w:rPr>
        <w:tab/>
      </w:r>
      <w:r>
        <w:rPr>
          <w:noProof/>
        </w:rPr>
        <w:t>PLANS FOR DISSEMINATING AND COMMUNICATING STUDY RESULTS</w:t>
      </w:r>
      <w:r>
        <w:rPr>
          <w:noProof/>
        </w:rPr>
        <w:tab/>
      </w:r>
      <w:r>
        <w:rPr>
          <w:noProof/>
        </w:rPr>
        <w:fldChar w:fldCharType="begin"/>
      </w:r>
      <w:r>
        <w:rPr>
          <w:noProof/>
        </w:rPr>
        <w:instrText xml:space="preserve"> PAGEREF _Toc518905803 \h </w:instrText>
      </w:r>
      <w:r>
        <w:rPr>
          <w:noProof/>
        </w:rPr>
      </w:r>
      <w:r>
        <w:rPr>
          <w:noProof/>
        </w:rPr>
        <w:fldChar w:fldCharType="separate"/>
      </w:r>
      <w:r>
        <w:rPr>
          <w:noProof/>
        </w:rPr>
        <w:t>8</w:t>
      </w:r>
      <w:r>
        <w:rPr>
          <w:noProof/>
        </w:rPr>
        <w:fldChar w:fldCharType="end"/>
      </w:r>
    </w:p>
    <w:p w14:paraId="1AB47561" w14:textId="7EC35E89" w:rsidR="00754071" w:rsidRDefault="00754071">
      <w:pPr>
        <w:pStyle w:val="TOC1"/>
        <w:rPr>
          <w:rFonts w:asciiTheme="minorHAnsi" w:eastAsiaTheme="minorEastAsia" w:hAnsiTheme="minorHAnsi" w:cstheme="minorBidi"/>
          <w:b w:val="0"/>
          <w:caps w:val="0"/>
          <w:noProof/>
          <w:sz w:val="22"/>
          <w:szCs w:val="22"/>
        </w:rPr>
      </w:pPr>
      <w:r>
        <w:rPr>
          <w:noProof/>
        </w:rPr>
        <w:t>14</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_Toc518905804 \h </w:instrText>
      </w:r>
      <w:r>
        <w:rPr>
          <w:noProof/>
        </w:rPr>
      </w:r>
      <w:r>
        <w:rPr>
          <w:noProof/>
        </w:rPr>
        <w:fldChar w:fldCharType="separate"/>
      </w:r>
      <w:r>
        <w:rPr>
          <w:noProof/>
        </w:rPr>
        <w:t>8</w:t>
      </w:r>
      <w:r>
        <w:rPr>
          <w:noProof/>
        </w:rPr>
        <w:fldChar w:fldCharType="end"/>
      </w:r>
    </w:p>
    <w:p w14:paraId="1807CCDA" w14:textId="6589B372" w:rsidR="00754071" w:rsidRDefault="00754071">
      <w:pPr>
        <w:pStyle w:val="TOC1"/>
        <w:rPr>
          <w:rFonts w:asciiTheme="minorHAnsi" w:eastAsiaTheme="minorEastAsia" w:hAnsiTheme="minorHAnsi" w:cstheme="minorBidi"/>
          <w:b w:val="0"/>
          <w:caps w:val="0"/>
          <w:noProof/>
          <w:sz w:val="22"/>
          <w:szCs w:val="22"/>
        </w:rPr>
      </w:pPr>
      <w:r>
        <w:rPr>
          <w:noProof/>
        </w:rPr>
        <w:t>15</w:t>
      </w:r>
      <w:r>
        <w:rPr>
          <w:rFonts w:asciiTheme="minorHAnsi" w:eastAsiaTheme="minorEastAsia" w:hAnsiTheme="minorHAnsi" w:cstheme="minorBidi"/>
          <w:b w:val="0"/>
          <w:caps w:val="0"/>
          <w:noProof/>
          <w:sz w:val="22"/>
          <w:szCs w:val="22"/>
        </w:rPr>
        <w:tab/>
      </w:r>
      <w:r>
        <w:rPr>
          <w:noProof/>
        </w:rPr>
        <w:t>ANNEX: LIST OF STAND-ALONE DOCUMENTS</w:t>
      </w:r>
      <w:r>
        <w:rPr>
          <w:noProof/>
        </w:rPr>
        <w:tab/>
      </w:r>
      <w:r>
        <w:rPr>
          <w:noProof/>
        </w:rPr>
        <w:fldChar w:fldCharType="begin"/>
      </w:r>
      <w:r>
        <w:rPr>
          <w:noProof/>
        </w:rPr>
        <w:instrText xml:space="preserve"> PAGEREF _Toc518905805 \h </w:instrText>
      </w:r>
      <w:r>
        <w:rPr>
          <w:noProof/>
        </w:rPr>
      </w:r>
      <w:r>
        <w:rPr>
          <w:noProof/>
        </w:rPr>
        <w:fldChar w:fldCharType="separate"/>
      </w:r>
      <w:r>
        <w:rPr>
          <w:noProof/>
        </w:rPr>
        <w:t>8</w:t>
      </w:r>
      <w:r>
        <w:rPr>
          <w:noProof/>
        </w:rPr>
        <w:fldChar w:fldCharType="end"/>
      </w:r>
    </w:p>
    <w:p w14:paraId="7E4A8D06" w14:textId="06AABB45" w:rsidR="00754071" w:rsidRDefault="00754071">
      <w:pPr>
        <w:pStyle w:val="TOC2"/>
        <w:rPr>
          <w:rFonts w:asciiTheme="minorHAnsi" w:eastAsiaTheme="minorEastAsia" w:hAnsiTheme="minorHAnsi" w:cstheme="minorBidi"/>
          <w:noProof/>
          <w:sz w:val="22"/>
          <w:szCs w:val="22"/>
        </w:rPr>
      </w:pPr>
      <w:r>
        <w:rPr>
          <w:noProof/>
        </w:rPr>
        <w:t>15.1</w:t>
      </w:r>
      <w:r>
        <w:rPr>
          <w:rFonts w:asciiTheme="minorHAnsi" w:eastAsiaTheme="minorEastAsia" w:hAnsiTheme="minorHAnsi" w:cstheme="minorBidi"/>
          <w:noProof/>
          <w:sz w:val="22"/>
          <w:szCs w:val="22"/>
        </w:rPr>
        <w:tab/>
      </w:r>
      <w:r>
        <w:rPr>
          <w:noProof/>
        </w:rPr>
        <w:t>Annex 1: List of studies using surrogates of disease activity in large administrative health databases and validation findings if available</w:t>
      </w:r>
      <w:r>
        <w:rPr>
          <w:noProof/>
        </w:rPr>
        <w:tab/>
      </w:r>
      <w:r>
        <w:rPr>
          <w:noProof/>
        </w:rPr>
        <w:fldChar w:fldCharType="begin"/>
      </w:r>
      <w:r>
        <w:rPr>
          <w:noProof/>
        </w:rPr>
        <w:instrText xml:space="preserve"> PAGEREF _Toc518905806 \h </w:instrText>
      </w:r>
      <w:r>
        <w:rPr>
          <w:noProof/>
        </w:rPr>
      </w:r>
      <w:r>
        <w:rPr>
          <w:noProof/>
        </w:rPr>
        <w:fldChar w:fldCharType="separate"/>
      </w:r>
      <w:r>
        <w:rPr>
          <w:noProof/>
        </w:rPr>
        <w:t>9</w:t>
      </w:r>
      <w:r>
        <w:rPr>
          <w:noProof/>
        </w:rPr>
        <w:fldChar w:fldCharType="end"/>
      </w:r>
    </w:p>
    <w:p w14:paraId="0D112A7A" w14:textId="100FDEAF" w:rsidR="00754071" w:rsidRDefault="00754071">
      <w:pPr>
        <w:pStyle w:val="TOC2"/>
        <w:rPr>
          <w:rFonts w:asciiTheme="minorHAnsi" w:eastAsiaTheme="minorEastAsia" w:hAnsiTheme="minorHAnsi" w:cstheme="minorBidi"/>
          <w:noProof/>
          <w:sz w:val="22"/>
          <w:szCs w:val="22"/>
        </w:rPr>
      </w:pPr>
      <w:r>
        <w:rPr>
          <w:noProof/>
        </w:rPr>
        <w:t>15.2</w:t>
      </w:r>
      <w:r>
        <w:rPr>
          <w:rFonts w:asciiTheme="minorHAnsi" w:eastAsiaTheme="minorEastAsia" w:hAnsiTheme="minorHAnsi" w:cstheme="minorBidi"/>
          <w:noProof/>
          <w:sz w:val="22"/>
          <w:szCs w:val="22"/>
        </w:rPr>
        <w:tab/>
      </w:r>
      <w:r>
        <w:rPr>
          <w:noProof/>
        </w:rPr>
        <w:t>Annex 2: Description of databases used in this study</w:t>
      </w:r>
      <w:r>
        <w:rPr>
          <w:noProof/>
        </w:rPr>
        <w:tab/>
      </w:r>
      <w:r>
        <w:rPr>
          <w:noProof/>
        </w:rPr>
        <w:fldChar w:fldCharType="begin"/>
      </w:r>
      <w:r>
        <w:rPr>
          <w:noProof/>
        </w:rPr>
        <w:instrText xml:space="preserve"> PAGEREF _Toc518905807 \h </w:instrText>
      </w:r>
      <w:r>
        <w:rPr>
          <w:noProof/>
        </w:rPr>
      </w:r>
      <w:r>
        <w:rPr>
          <w:noProof/>
        </w:rPr>
        <w:fldChar w:fldCharType="separate"/>
      </w:r>
      <w:r>
        <w:rPr>
          <w:noProof/>
        </w:rPr>
        <w:t>10</w:t>
      </w:r>
      <w:r>
        <w:rPr>
          <w:noProof/>
        </w:rPr>
        <w:fldChar w:fldCharType="end"/>
      </w:r>
    </w:p>
    <w:p w14:paraId="774113AB" w14:textId="01028CE3" w:rsidR="00BC0EA4" w:rsidRDefault="004805F7" w:rsidP="00BC0EA4">
      <w:pPr>
        <w:pStyle w:val="TOC1"/>
      </w:pPr>
      <w:r>
        <w:fldChar w:fldCharType="end"/>
      </w:r>
    </w:p>
    <w:p w14:paraId="774113AC" w14:textId="77777777" w:rsidR="00BC0EA4" w:rsidRDefault="00BC0EA4" w:rsidP="00BC0EA4">
      <w:pPr>
        <w:pStyle w:val="Basic11"/>
      </w:pPr>
      <w:r>
        <w:br w:type="page"/>
      </w:r>
    </w:p>
    <w:p w14:paraId="774113AD" w14:textId="77777777" w:rsidR="00BC0EA4" w:rsidRDefault="00BC0EA4" w:rsidP="00506FE5">
      <w:pPr>
        <w:pStyle w:val="Heading1"/>
      </w:pPr>
      <w:bookmarkStart w:id="2" w:name="_Toc518905781"/>
      <w:r>
        <w:lastRenderedPageBreak/>
        <w:t>LIST OF ABBREVIATIONS</w:t>
      </w:r>
      <w:bookmarkEnd w:id="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ook w:val="0000" w:firstRow="0" w:lastRow="0" w:firstColumn="0" w:lastColumn="0" w:noHBand="0" w:noVBand="0"/>
      </w:tblPr>
      <w:tblGrid>
        <w:gridCol w:w="9558"/>
      </w:tblGrid>
      <w:tr w:rsidR="00BC0EA4" w14:paraId="774113AF" w14:textId="77777777" w:rsidTr="00BC0EA4">
        <w:tc>
          <w:tcPr>
            <w:tcW w:w="9558" w:type="dxa"/>
            <w:shd w:val="clear" w:color="auto" w:fill="FFFF99"/>
          </w:tcPr>
          <w:p w14:paraId="774113AE" w14:textId="77777777" w:rsidR="00BC0EA4" w:rsidRDefault="00B7104C" w:rsidP="00B7104C">
            <w:pPr>
              <w:pStyle w:val="GuideText"/>
            </w:pPr>
            <w:r>
              <w:t xml:space="preserve">List all </w:t>
            </w:r>
            <w:r w:rsidR="00BC0EA4">
              <w:t xml:space="preserve">abbreviations used in the </w:t>
            </w:r>
            <w:r>
              <w:t>study protocol</w:t>
            </w:r>
          </w:p>
        </w:tc>
      </w:tr>
    </w:tbl>
    <w:p w14:paraId="774113B0" w14:textId="77777777" w:rsidR="00BC0EA4" w:rsidRDefault="00BC0EA4" w:rsidP="00BC0EA4">
      <w:pPr>
        <w:pStyle w:val="Basic11"/>
      </w:pPr>
    </w:p>
    <w:tbl>
      <w:tblPr>
        <w:tblW w:w="9570" w:type="dxa"/>
        <w:tblInd w:w="-12" w:type="dxa"/>
        <w:tblLook w:val="0000" w:firstRow="0" w:lastRow="0" w:firstColumn="0" w:lastColumn="0" w:noHBand="0" w:noVBand="0"/>
      </w:tblPr>
      <w:tblGrid>
        <w:gridCol w:w="1440"/>
        <w:gridCol w:w="8130"/>
      </w:tblGrid>
      <w:tr w:rsidR="00BC0EA4" w14:paraId="774113B3" w14:textId="77777777" w:rsidTr="00696F8C">
        <w:tc>
          <w:tcPr>
            <w:tcW w:w="1440" w:type="dxa"/>
          </w:tcPr>
          <w:p w14:paraId="774113B1" w14:textId="77777777" w:rsidR="00BC0EA4" w:rsidRDefault="00BC0EA4" w:rsidP="00696F8C">
            <w:pPr>
              <w:pStyle w:val="TableText"/>
            </w:pPr>
            <w:r>
              <w:t>abbreviation</w:t>
            </w:r>
          </w:p>
        </w:tc>
        <w:tc>
          <w:tcPr>
            <w:tcW w:w="8130" w:type="dxa"/>
          </w:tcPr>
          <w:p w14:paraId="774113B2" w14:textId="77777777" w:rsidR="00BC0EA4" w:rsidRDefault="00BC0EA4" w:rsidP="00696F8C">
            <w:pPr>
              <w:pStyle w:val="TableText"/>
            </w:pPr>
            <w:r>
              <w:t>description of abbreviated term</w:t>
            </w:r>
          </w:p>
        </w:tc>
      </w:tr>
      <w:tr w:rsidR="00BC0EA4" w14:paraId="774113B6" w14:textId="77777777" w:rsidTr="00696F8C">
        <w:tc>
          <w:tcPr>
            <w:tcW w:w="1440" w:type="dxa"/>
          </w:tcPr>
          <w:p w14:paraId="774113B4" w14:textId="77777777" w:rsidR="00BC0EA4" w:rsidRDefault="00BC0EA4" w:rsidP="00696F8C">
            <w:pPr>
              <w:pStyle w:val="TableText"/>
            </w:pPr>
          </w:p>
        </w:tc>
        <w:tc>
          <w:tcPr>
            <w:tcW w:w="8130" w:type="dxa"/>
          </w:tcPr>
          <w:p w14:paraId="774113B5" w14:textId="77777777" w:rsidR="00BC0EA4" w:rsidRDefault="00BC0EA4" w:rsidP="00696F8C">
            <w:pPr>
              <w:pStyle w:val="TableText"/>
            </w:pPr>
          </w:p>
        </w:tc>
      </w:tr>
      <w:tr w:rsidR="00BC0EA4" w14:paraId="774113B9" w14:textId="77777777" w:rsidTr="00696F8C">
        <w:tc>
          <w:tcPr>
            <w:tcW w:w="1440" w:type="dxa"/>
          </w:tcPr>
          <w:p w14:paraId="774113B7" w14:textId="77777777" w:rsidR="00BC0EA4" w:rsidRDefault="00BC0EA4" w:rsidP="00696F8C">
            <w:pPr>
              <w:pStyle w:val="TableText"/>
            </w:pPr>
          </w:p>
        </w:tc>
        <w:tc>
          <w:tcPr>
            <w:tcW w:w="8130" w:type="dxa"/>
          </w:tcPr>
          <w:p w14:paraId="774113B8" w14:textId="77777777" w:rsidR="00BC0EA4" w:rsidRDefault="00BC0EA4" w:rsidP="00696F8C">
            <w:pPr>
              <w:pStyle w:val="TableText"/>
            </w:pPr>
          </w:p>
        </w:tc>
      </w:tr>
    </w:tbl>
    <w:p w14:paraId="774113BA" w14:textId="77777777" w:rsidR="00BC0EA4" w:rsidRDefault="00BC0EA4" w:rsidP="00BC0EA4">
      <w:pPr>
        <w:pStyle w:val="Basic11"/>
      </w:pPr>
    </w:p>
    <w:p w14:paraId="774113BB" w14:textId="77777777" w:rsidR="00B7104C" w:rsidRDefault="00B7104C" w:rsidP="00506FE5">
      <w:pPr>
        <w:pStyle w:val="Heading1"/>
      </w:pPr>
      <w:bookmarkStart w:id="3" w:name="_Toc518905782"/>
      <w:r>
        <w:t>RESPONSIBLE PARTIES</w:t>
      </w:r>
      <w:bookmarkEnd w:id="3"/>
    </w:p>
    <w:p w14:paraId="774113BC" w14:textId="77777777" w:rsidR="002D4327" w:rsidRDefault="002D4327" w:rsidP="00356468">
      <w:pPr>
        <w:pStyle w:val="Heading2"/>
      </w:pPr>
      <w:bookmarkStart w:id="4" w:name="_Toc518905783"/>
      <w:r>
        <w:t>Investigator(s) and Authors</w:t>
      </w:r>
      <w:bookmarkEnd w:id="4"/>
    </w:p>
    <w:p w14:paraId="4518324B" w14:textId="77777777" w:rsidR="001F3523" w:rsidRDefault="001F3523" w:rsidP="001F3523">
      <w:pPr>
        <w:pStyle w:val="Basic11"/>
        <w:tabs>
          <w:tab w:val="left" w:pos="1440"/>
        </w:tabs>
        <w:spacing w:after="60"/>
        <w:ind w:left="1440" w:hanging="1440"/>
      </w:pPr>
      <w:r>
        <w:t>Urmila Chandran</w:t>
      </w:r>
    </w:p>
    <w:p w14:paraId="4C4E505F" w14:textId="77777777" w:rsidR="001F3523" w:rsidRDefault="001F3523" w:rsidP="001F3523">
      <w:pPr>
        <w:pStyle w:val="Basic11"/>
        <w:tabs>
          <w:tab w:val="left" w:pos="1440"/>
        </w:tabs>
        <w:spacing w:after="60"/>
        <w:ind w:left="1440" w:hanging="1440"/>
      </w:pPr>
      <w:r>
        <w:t>Jenna Reps</w:t>
      </w:r>
    </w:p>
    <w:p w14:paraId="736E2047" w14:textId="77777777" w:rsidR="001F3523" w:rsidRDefault="001F3523" w:rsidP="001F3523">
      <w:pPr>
        <w:pStyle w:val="Basic11"/>
        <w:tabs>
          <w:tab w:val="left" w:pos="1440"/>
        </w:tabs>
        <w:spacing w:after="60"/>
        <w:ind w:left="1440" w:hanging="1440"/>
      </w:pPr>
      <w:r>
        <w:t>Patrick Ryan</w:t>
      </w:r>
    </w:p>
    <w:p w14:paraId="62D946D7" w14:textId="77777777" w:rsidR="001F3523" w:rsidRDefault="001F3523" w:rsidP="001F3523">
      <w:pPr>
        <w:pStyle w:val="Basic11"/>
        <w:tabs>
          <w:tab w:val="left" w:pos="1440"/>
        </w:tabs>
        <w:spacing w:after="60"/>
        <w:ind w:left="1440" w:hanging="1440"/>
      </w:pPr>
      <w:r>
        <w:t>Yiting Wang</w:t>
      </w:r>
    </w:p>
    <w:p w14:paraId="447F9A78" w14:textId="77777777" w:rsidR="001F3523" w:rsidRDefault="001F3523" w:rsidP="001F3523">
      <w:pPr>
        <w:pStyle w:val="Basic11"/>
        <w:tabs>
          <w:tab w:val="left" w:pos="1440"/>
        </w:tabs>
        <w:spacing w:after="60"/>
        <w:ind w:left="1440" w:hanging="1440"/>
      </w:pPr>
      <w:r>
        <w:t>Paul Stang</w:t>
      </w:r>
    </w:p>
    <w:p w14:paraId="774113C5" w14:textId="77777777" w:rsidR="002D4327" w:rsidRDefault="002D4327" w:rsidP="00356468">
      <w:pPr>
        <w:pStyle w:val="Heading2"/>
      </w:pPr>
      <w:bookmarkStart w:id="5" w:name="_Toc518905784"/>
      <w:r>
        <w:t>Sponsor</w:t>
      </w:r>
      <w:bookmarkEnd w:id="5"/>
    </w:p>
    <w:p w14:paraId="774113C8" w14:textId="7C249D2B" w:rsidR="002D4327" w:rsidRDefault="00704BC7" w:rsidP="002D4327">
      <w:pPr>
        <w:pStyle w:val="BodyText11"/>
      </w:pPr>
      <w:r>
        <w:t>Global Epidemiology. No additional budgetary requirements, as EPI owns the database.</w:t>
      </w:r>
    </w:p>
    <w:p w14:paraId="774113C9" w14:textId="77777777" w:rsidR="002D4327" w:rsidRDefault="002D4327" w:rsidP="00506FE5">
      <w:pPr>
        <w:pStyle w:val="Heading1"/>
      </w:pPr>
      <w:bookmarkStart w:id="6" w:name="_Toc518905785"/>
      <w:r>
        <w:t>ABSTRACT</w:t>
      </w:r>
      <w:bookmarkEnd w:id="6"/>
    </w:p>
    <w:p w14:paraId="774113CE" w14:textId="10A688C8" w:rsidR="002D4327" w:rsidRPr="00F55448" w:rsidRDefault="00F55448" w:rsidP="002D4327">
      <w:pPr>
        <w:pStyle w:val="BodyText11"/>
        <w:rPr>
          <w:sz w:val="24"/>
          <w:szCs w:val="24"/>
        </w:rPr>
      </w:pPr>
      <w:r w:rsidRPr="00F55448">
        <w:rPr>
          <w:sz w:val="24"/>
          <w:szCs w:val="24"/>
        </w:rPr>
        <w:t xml:space="preserve">The use of administrative claims databases to evaluate safety questions related to </w:t>
      </w:r>
      <w:r w:rsidR="008F5606">
        <w:rPr>
          <w:sz w:val="24"/>
          <w:szCs w:val="24"/>
        </w:rPr>
        <w:t xml:space="preserve">rheumatoid arthritis (RA) </w:t>
      </w:r>
      <w:r w:rsidRPr="00F55448">
        <w:rPr>
          <w:sz w:val="24"/>
          <w:szCs w:val="24"/>
        </w:rPr>
        <w:t xml:space="preserve">has been historically criticized due to the limited ability to control for confounding by indication and confounding by disease activity, due to the unavailability of clinical measures in these databases. </w:t>
      </w:r>
      <w:r w:rsidR="008F5606">
        <w:rPr>
          <w:sz w:val="24"/>
          <w:szCs w:val="24"/>
        </w:rPr>
        <w:t xml:space="preserve">Proxy measures for disease activity have been used by researchers, but with limited correlation with established measures. A limitation in published literature involving use of proxy measures is that these variables were generally manually selected by researchers, rather than driven by data. Although we also propose using use of a biologic as a surrogate measure for disease activity in RA patients, in this study, we in fact aim to develop a prediction model for RA disease activity by utilizing large scale data analytics that would utilize all available data and using multiple statistical models. Essentially, in this study, the prediction model will compute probability of receiving a biologic approved for RA in the US </w:t>
      </w:r>
      <w:r w:rsidR="009F49F6">
        <w:rPr>
          <w:sz w:val="24"/>
          <w:szCs w:val="24"/>
        </w:rPr>
        <w:t xml:space="preserve">or tofacitinib </w:t>
      </w:r>
      <w:r w:rsidR="008F5606">
        <w:rPr>
          <w:sz w:val="24"/>
          <w:szCs w:val="24"/>
        </w:rPr>
        <w:t xml:space="preserve">during a risk period of </w:t>
      </w:r>
      <w:r w:rsidR="009F49F6">
        <w:rPr>
          <w:sz w:val="24"/>
          <w:szCs w:val="24"/>
        </w:rPr>
        <w:t>90 days and 730 days</w:t>
      </w:r>
      <w:r w:rsidR="008F5606">
        <w:rPr>
          <w:sz w:val="24"/>
          <w:szCs w:val="24"/>
        </w:rPr>
        <w:t xml:space="preserve">. The </w:t>
      </w:r>
      <w:r w:rsidR="00C63606">
        <w:rPr>
          <w:sz w:val="24"/>
          <w:szCs w:val="24"/>
        </w:rPr>
        <w:t xml:space="preserve">prediction model will not only be internally validated within the same dataset, but will also be </w:t>
      </w:r>
      <w:r w:rsidR="00615418">
        <w:rPr>
          <w:sz w:val="24"/>
          <w:szCs w:val="24"/>
        </w:rPr>
        <w:t xml:space="preserve">externally </w:t>
      </w:r>
      <w:r w:rsidR="00C63606">
        <w:rPr>
          <w:sz w:val="24"/>
          <w:szCs w:val="24"/>
        </w:rPr>
        <w:t xml:space="preserve">validated in multiple </w:t>
      </w:r>
      <w:r w:rsidR="00615418">
        <w:rPr>
          <w:sz w:val="24"/>
          <w:szCs w:val="24"/>
        </w:rPr>
        <w:t xml:space="preserve">claims </w:t>
      </w:r>
      <w:r w:rsidR="00C63606">
        <w:rPr>
          <w:sz w:val="24"/>
          <w:szCs w:val="24"/>
        </w:rPr>
        <w:t>data sources.</w:t>
      </w:r>
    </w:p>
    <w:p w14:paraId="774113CF" w14:textId="77777777" w:rsidR="002D4327" w:rsidRPr="002D4327" w:rsidRDefault="002D4327" w:rsidP="00506FE5">
      <w:pPr>
        <w:pStyle w:val="Heading1"/>
      </w:pPr>
      <w:bookmarkStart w:id="7" w:name="_Toc518905786"/>
      <w:r>
        <w:t>AMENDMENTS AND UPDATES</w:t>
      </w:r>
      <w:bookmarkEnd w:id="7"/>
    </w:p>
    <w:p w14:paraId="774113D2" w14:textId="15EDA9BA" w:rsidR="002D4327" w:rsidRDefault="001F3523" w:rsidP="002D4327">
      <w:pPr>
        <w:pStyle w:val="BodyText11"/>
      </w:pPr>
      <w:r>
        <w:t>None</w:t>
      </w:r>
    </w:p>
    <w:p w14:paraId="774113E5" w14:textId="77777777" w:rsidR="002D4327" w:rsidRDefault="002D4327" w:rsidP="002D4327">
      <w:pPr>
        <w:pStyle w:val="BodyText11"/>
      </w:pPr>
    </w:p>
    <w:p w14:paraId="774113E6" w14:textId="77777777" w:rsidR="005D2306" w:rsidRDefault="005D2306" w:rsidP="005D2306">
      <w:pPr>
        <w:pStyle w:val="Heading1"/>
      </w:pPr>
      <w:bookmarkStart w:id="8" w:name="_Toc518905787"/>
      <w:r>
        <w:t>RATIONALE AND BACKGROUND</w:t>
      </w:r>
      <w:bookmarkEnd w:id="8"/>
    </w:p>
    <w:p w14:paraId="09193B2E" w14:textId="3CB71B67" w:rsidR="00F806C8" w:rsidRDefault="00F806C8" w:rsidP="00F806C8">
      <w:pPr>
        <w:spacing w:line="276" w:lineRule="auto"/>
        <w:rPr>
          <w:szCs w:val="24"/>
        </w:rPr>
      </w:pPr>
      <w:r w:rsidRPr="00F806C8">
        <w:rPr>
          <w:szCs w:val="24"/>
        </w:rPr>
        <w:t xml:space="preserve">Insurance claims databases have been increasingly employed in drug safety studies, given the advantages of large sample size, representativeness of patients in routine practice, comprehensive capture of all health encounters, and relative efficiency compared with randomized clinical trials (RCTs) and patient registries. However, these electronic data sources in the US have not been historically preferred for investigating safety of biologics in the </w:t>
      </w:r>
      <w:r w:rsidRPr="00F806C8">
        <w:rPr>
          <w:szCs w:val="24"/>
        </w:rPr>
        <w:lastRenderedPageBreak/>
        <w:t xml:space="preserve">immunology therapeutic area. A major reason for this is the lack of clinical measures in claims databases historically deemed important by investigators, such as disease severity/activity indices, disease duration, etc. For example, higher scores (indicating higher severity) for disease activity and severity as measured by a Disease Activity Score (DAS) or Health Assessment Questionnaire (HAQ) are generally associated with the prescription of a biologic, while also being associated with several safety outcomes. The lack of these important variables may result in safety outcomes being erroneously attributed to biologic exposure if proper adjustment for channeling bias is not undertaken.  </w:t>
      </w:r>
    </w:p>
    <w:p w14:paraId="57A31CC0" w14:textId="2D03B5AD" w:rsidR="00F806C8" w:rsidRDefault="00F806C8" w:rsidP="00F806C8">
      <w:pPr>
        <w:spacing w:line="276" w:lineRule="auto"/>
        <w:rPr>
          <w:szCs w:val="24"/>
        </w:rPr>
      </w:pPr>
    </w:p>
    <w:p w14:paraId="7CFE151D" w14:textId="706D0265" w:rsidR="00583C05" w:rsidRDefault="00F806C8" w:rsidP="00583C05">
      <w:pPr>
        <w:spacing w:line="276" w:lineRule="auto"/>
        <w:rPr>
          <w:szCs w:val="24"/>
        </w:rPr>
      </w:pPr>
      <w:r>
        <w:rPr>
          <w:szCs w:val="24"/>
        </w:rPr>
        <w:t>The American College of Rheumatology</w:t>
      </w:r>
      <w:r w:rsidR="00B24B45">
        <w:rPr>
          <w:szCs w:val="24"/>
        </w:rPr>
        <w:t xml:space="preserve"> (ACR)</w:t>
      </w:r>
      <w:r>
        <w:rPr>
          <w:szCs w:val="24"/>
        </w:rPr>
        <w:t xml:space="preserve"> guidelines for treating </w:t>
      </w:r>
      <w:r w:rsidR="00B24B45">
        <w:rPr>
          <w:szCs w:val="24"/>
        </w:rPr>
        <w:t>rheumatoid arthritis (</w:t>
      </w:r>
      <w:r>
        <w:rPr>
          <w:szCs w:val="24"/>
        </w:rPr>
        <w:t>RA</w:t>
      </w:r>
      <w:r w:rsidR="00B24B45">
        <w:rPr>
          <w:szCs w:val="24"/>
        </w:rPr>
        <w:t>)</w:t>
      </w:r>
      <w:r w:rsidR="00AA7DA1">
        <w:rPr>
          <w:szCs w:val="24"/>
        </w:rPr>
        <w:t xml:space="preserve"> (Singh 2016</w:t>
      </w:r>
      <w:r>
        <w:rPr>
          <w:szCs w:val="24"/>
        </w:rPr>
        <w:t xml:space="preserve">) specify five instruments to evaluate RA disease severity: Patient Activity Scale-PAS, Routine Assessment of Patient Index Data 3-RAPID3, Clinical Disease Activity Index-CDAI, Disease Activity Score-DAS, and Simplified Disease Activity Index-SDAI. Although there are other measures also available to clinicians, these five are most commonly used. </w:t>
      </w:r>
      <w:r w:rsidR="00583C05">
        <w:rPr>
          <w:szCs w:val="24"/>
        </w:rPr>
        <w:t>Data required for these instruments of clinical disease severity are generally not fully available in administrative claims databases. Hence, other</w:t>
      </w:r>
      <w:r w:rsidR="00583C05" w:rsidRPr="00F806C8">
        <w:rPr>
          <w:szCs w:val="24"/>
        </w:rPr>
        <w:t xml:space="preserve"> potential measures of RA disease severity and statistical methods to account for confounding by severity in the absence of clinical disease activity measures in claims databases have been explored in the literature. Although, no single method was concluded to be clearly superior (</w:t>
      </w:r>
      <w:proofErr w:type="spellStart"/>
      <w:r w:rsidR="00583C05" w:rsidRPr="00F806C8">
        <w:rPr>
          <w:szCs w:val="24"/>
        </w:rPr>
        <w:t>Bernatsky</w:t>
      </w:r>
      <w:proofErr w:type="spellEnd"/>
      <w:r w:rsidR="00583C05" w:rsidRPr="00F806C8">
        <w:rPr>
          <w:szCs w:val="24"/>
        </w:rPr>
        <w:t xml:space="preserve"> 2013), </w:t>
      </w:r>
      <w:r w:rsidR="00583C05">
        <w:rPr>
          <w:szCs w:val="24"/>
        </w:rPr>
        <w:t>a table listing</w:t>
      </w:r>
      <w:r w:rsidR="00583C05" w:rsidRPr="00F806C8">
        <w:rPr>
          <w:szCs w:val="24"/>
        </w:rPr>
        <w:t xml:space="preserve"> the different surrogates and validation findings from different studies in RA patients</w:t>
      </w:r>
      <w:r w:rsidR="00583C05">
        <w:rPr>
          <w:szCs w:val="24"/>
        </w:rPr>
        <w:t xml:space="preserve"> is available as an A</w:t>
      </w:r>
      <w:r w:rsidR="00AA4F55">
        <w:rPr>
          <w:szCs w:val="24"/>
        </w:rPr>
        <w:t>nnex 2</w:t>
      </w:r>
      <w:r w:rsidR="00583C05" w:rsidRPr="00F806C8">
        <w:rPr>
          <w:szCs w:val="24"/>
        </w:rPr>
        <w:t xml:space="preserve">. </w:t>
      </w:r>
    </w:p>
    <w:p w14:paraId="6B91A1EF" w14:textId="77777777" w:rsidR="00583C05" w:rsidRDefault="00583C05" w:rsidP="00583C05">
      <w:pPr>
        <w:spacing w:line="276" w:lineRule="auto"/>
        <w:rPr>
          <w:szCs w:val="24"/>
        </w:rPr>
      </w:pPr>
    </w:p>
    <w:p w14:paraId="236321CB" w14:textId="4A253D54" w:rsidR="00583C05" w:rsidRDefault="00583C05" w:rsidP="00DE763F">
      <w:pPr>
        <w:spacing w:line="276" w:lineRule="auto"/>
        <w:rPr>
          <w:szCs w:val="24"/>
        </w:rPr>
      </w:pPr>
      <w:r>
        <w:rPr>
          <w:szCs w:val="24"/>
        </w:rPr>
        <w:t>Another salient point accordi</w:t>
      </w:r>
      <w:r w:rsidR="00AA7DA1">
        <w:rPr>
          <w:szCs w:val="24"/>
        </w:rPr>
        <w:t>ng to ACR guidelines (Singh 2016</w:t>
      </w:r>
      <w:r>
        <w:rPr>
          <w:szCs w:val="24"/>
        </w:rPr>
        <w:t>)</w:t>
      </w:r>
      <w:r w:rsidR="00C747EE">
        <w:rPr>
          <w:szCs w:val="24"/>
        </w:rPr>
        <w:t xml:space="preserve"> is that</w:t>
      </w:r>
      <w:r>
        <w:rPr>
          <w:szCs w:val="24"/>
        </w:rPr>
        <w:t xml:space="preserve"> if disease continues to be moderate or severe despite DMARD monotherapy, then recommended treatments are combination of traditional non-biologic DMARDs (2 or more), or </w:t>
      </w:r>
      <w:proofErr w:type="spellStart"/>
      <w:r>
        <w:rPr>
          <w:szCs w:val="24"/>
        </w:rPr>
        <w:t>TNFi</w:t>
      </w:r>
      <w:proofErr w:type="spellEnd"/>
      <w:r>
        <w:rPr>
          <w:szCs w:val="24"/>
        </w:rPr>
        <w:t xml:space="preserve"> biologic or non-</w:t>
      </w:r>
      <w:proofErr w:type="spellStart"/>
      <w:r>
        <w:rPr>
          <w:szCs w:val="24"/>
        </w:rPr>
        <w:t>TNFi</w:t>
      </w:r>
      <w:proofErr w:type="spellEnd"/>
      <w:r>
        <w:rPr>
          <w:szCs w:val="24"/>
        </w:rPr>
        <w:t xml:space="preserve"> biologic (such as rituximab, abatacept, tocilizumab) or tofacitinib, all with or without traditional DMARD. Hence, </w:t>
      </w:r>
      <w:r w:rsidR="00C747EE">
        <w:rPr>
          <w:szCs w:val="24"/>
        </w:rPr>
        <w:t xml:space="preserve">an alternative approach in the absence of clinical measures could be identifying </w:t>
      </w:r>
      <w:r>
        <w:rPr>
          <w:szCs w:val="24"/>
        </w:rPr>
        <w:t>prescription of a</w:t>
      </w:r>
      <w:r w:rsidR="00A62FA0">
        <w:rPr>
          <w:szCs w:val="24"/>
        </w:rPr>
        <w:t xml:space="preserve"> biologic approved to treat </w:t>
      </w:r>
      <w:r>
        <w:rPr>
          <w:szCs w:val="24"/>
        </w:rPr>
        <w:t>moderate-to-severe RA.</w:t>
      </w:r>
      <w:r w:rsidR="00C747EE">
        <w:rPr>
          <w:szCs w:val="24"/>
        </w:rPr>
        <w:t xml:space="preserve"> Although past explorative analyses (listed in A</w:t>
      </w:r>
      <w:r w:rsidR="00AA4F55">
        <w:rPr>
          <w:szCs w:val="24"/>
        </w:rPr>
        <w:t xml:space="preserve">nnex </w:t>
      </w:r>
      <w:r w:rsidR="00B369A6">
        <w:rPr>
          <w:szCs w:val="24"/>
        </w:rPr>
        <w:t>1</w:t>
      </w:r>
      <w:r w:rsidR="00C747EE">
        <w:rPr>
          <w:szCs w:val="24"/>
        </w:rPr>
        <w:t xml:space="preserve">) have included biologic prescriptions in computing disease severity scores in claims databases, </w:t>
      </w:r>
      <w:r w:rsidR="00844CDA">
        <w:rPr>
          <w:szCs w:val="24"/>
        </w:rPr>
        <w:t xml:space="preserve">published studies using claims data have generally involved manual, </w:t>
      </w:r>
      <w:r w:rsidR="00C747EE">
        <w:rPr>
          <w:szCs w:val="24"/>
        </w:rPr>
        <w:t>and therefore</w:t>
      </w:r>
      <w:r w:rsidR="00844CDA">
        <w:rPr>
          <w:szCs w:val="24"/>
        </w:rPr>
        <w:t xml:space="preserve"> limited selection of variables</w:t>
      </w:r>
      <w:r w:rsidR="00C747EE">
        <w:rPr>
          <w:szCs w:val="24"/>
        </w:rPr>
        <w:t xml:space="preserve"> to impute disease severity</w:t>
      </w:r>
      <w:r w:rsidR="00844CDA">
        <w:rPr>
          <w:szCs w:val="24"/>
        </w:rPr>
        <w:t xml:space="preserve">. </w:t>
      </w:r>
      <w:r w:rsidR="00844CDA" w:rsidRPr="006201A8">
        <w:rPr>
          <w:szCs w:val="24"/>
        </w:rPr>
        <w:t xml:space="preserve">With recent advances in use of large scale analytics and ability to handle big data, powerful statistical tools are available to include all available variables (&gt;5,000) into a </w:t>
      </w:r>
      <w:r w:rsidR="00DE763F" w:rsidRPr="006201A8">
        <w:rPr>
          <w:szCs w:val="24"/>
        </w:rPr>
        <w:t xml:space="preserve">comprehensive </w:t>
      </w:r>
      <w:r w:rsidR="00844CDA" w:rsidRPr="006201A8">
        <w:rPr>
          <w:szCs w:val="24"/>
        </w:rPr>
        <w:t xml:space="preserve">model </w:t>
      </w:r>
      <w:r w:rsidR="00DE763F" w:rsidRPr="006201A8">
        <w:rPr>
          <w:szCs w:val="24"/>
        </w:rPr>
        <w:t>to identify measures that could inform disease severity in claims data.</w:t>
      </w:r>
      <w:r w:rsidR="00DE763F">
        <w:rPr>
          <w:szCs w:val="24"/>
        </w:rPr>
        <w:t xml:space="preserve"> </w:t>
      </w:r>
    </w:p>
    <w:p w14:paraId="64BB6C58" w14:textId="77777777" w:rsidR="00583C05" w:rsidRDefault="00583C05" w:rsidP="00DE763F">
      <w:pPr>
        <w:spacing w:line="276" w:lineRule="auto"/>
        <w:rPr>
          <w:szCs w:val="24"/>
        </w:rPr>
      </w:pPr>
    </w:p>
    <w:p w14:paraId="1B25D857" w14:textId="15899E40" w:rsidR="00583C05" w:rsidRDefault="00F806C8" w:rsidP="00F806C8">
      <w:pPr>
        <w:spacing w:line="276" w:lineRule="auto"/>
        <w:rPr>
          <w:szCs w:val="24"/>
        </w:rPr>
      </w:pPr>
      <w:r w:rsidRPr="00F806C8">
        <w:rPr>
          <w:szCs w:val="24"/>
        </w:rPr>
        <w:t>With the increasing cost of registries coupled with increasing requirements from health authorities to use real</w:t>
      </w:r>
      <w:r w:rsidR="00C747EE">
        <w:rPr>
          <w:szCs w:val="24"/>
        </w:rPr>
        <w:t>-</w:t>
      </w:r>
      <w:r w:rsidRPr="00F806C8">
        <w:rPr>
          <w:szCs w:val="24"/>
        </w:rPr>
        <w:t>world evidence for evaluating drug safety, investigating the scientific value of claims data to evaluate biologic drug safety in the immunology TA would be very valuable.</w:t>
      </w:r>
      <w:r w:rsidR="00C747EE">
        <w:rPr>
          <w:szCs w:val="24"/>
        </w:rPr>
        <w:t xml:space="preserve"> </w:t>
      </w:r>
      <w:r w:rsidR="00583C05">
        <w:rPr>
          <w:szCs w:val="24"/>
        </w:rPr>
        <w:t xml:space="preserve"> </w:t>
      </w:r>
      <w:r w:rsidR="008A4218">
        <w:rPr>
          <w:szCs w:val="24"/>
        </w:rPr>
        <w:t xml:space="preserve">Thus, the purpose of this study is to develop a prediction model for prescription of </w:t>
      </w:r>
      <w:r w:rsidR="00A62FA0">
        <w:rPr>
          <w:szCs w:val="24"/>
        </w:rPr>
        <w:t>biologics</w:t>
      </w:r>
      <w:r w:rsidR="008A4218">
        <w:rPr>
          <w:szCs w:val="24"/>
        </w:rPr>
        <w:t xml:space="preserve"> for RA and </w:t>
      </w:r>
      <w:r w:rsidR="00A62FA0">
        <w:rPr>
          <w:szCs w:val="24"/>
        </w:rPr>
        <w:t xml:space="preserve">validate the model in multiple data sources. </w:t>
      </w:r>
    </w:p>
    <w:p w14:paraId="67FA5093" w14:textId="1C9C9A92" w:rsidR="00583C05" w:rsidRDefault="00583C05" w:rsidP="00F806C8">
      <w:pPr>
        <w:spacing w:line="276" w:lineRule="auto"/>
        <w:rPr>
          <w:szCs w:val="24"/>
        </w:rPr>
      </w:pPr>
    </w:p>
    <w:p w14:paraId="3EE29174" w14:textId="77777777" w:rsidR="00AA4F55" w:rsidRDefault="00AA4F55" w:rsidP="00F806C8">
      <w:pPr>
        <w:spacing w:line="276" w:lineRule="auto"/>
        <w:rPr>
          <w:szCs w:val="24"/>
        </w:rPr>
      </w:pPr>
    </w:p>
    <w:p w14:paraId="774113F1" w14:textId="3D70F7B7" w:rsidR="0027482E" w:rsidRPr="0027482E" w:rsidRDefault="0027482E" w:rsidP="0027482E">
      <w:pPr>
        <w:pStyle w:val="Heading1"/>
      </w:pPr>
      <w:bookmarkStart w:id="9" w:name="_Toc518905788"/>
      <w:r>
        <w:lastRenderedPageBreak/>
        <w:t>STUDY</w:t>
      </w:r>
      <w:r w:rsidR="005D2306" w:rsidRPr="00DD0042">
        <w:t xml:space="preserve"> Objectives</w:t>
      </w:r>
      <w:bookmarkEnd w:id="9"/>
    </w:p>
    <w:p w14:paraId="774113F2" w14:textId="2E9DAC00" w:rsidR="005D2306" w:rsidRDefault="004C6C99" w:rsidP="00EC0BD4">
      <w:pPr>
        <w:pStyle w:val="Heading2"/>
      </w:pPr>
      <w:bookmarkStart w:id="10" w:name="_Toc518905789"/>
      <w:r>
        <w:t>Primary Objective</w:t>
      </w:r>
      <w:bookmarkEnd w:id="10"/>
    </w:p>
    <w:p w14:paraId="774113F6" w14:textId="37FDCC81" w:rsidR="00EC0BD4" w:rsidRDefault="006D1445" w:rsidP="00B369A6">
      <w:pPr>
        <w:pStyle w:val="ListParagraph"/>
      </w:pPr>
      <w:r w:rsidRPr="00743D45">
        <w:rPr>
          <w:rFonts w:ascii="Times New Roman" w:hAnsi="Times New Roman" w:cs="Times New Roman"/>
          <w:sz w:val="24"/>
          <w:szCs w:val="24"/>
        </w:rPr>
        <w:t xml:space="preserve">Develop a prediction model for </w:t>
      </w:r>
      <w:r w:rsidR="00065CA7" w:rsidRPr="00743D45">
        <w:rPr>
          <w:rFonts w:ascii="Times New Roman" w:hAnsi="Times New Roman" w:cs="Times New Roman"/>
          <w:sz w:val="24"/>
          <w:szCs w:val="24"/>
        </w:rPr>
        <w:t xml:space="preserve">RA disease severity based on </w:t>
      </w:r>
      <w:r w:rsidRPr="00743D45">
        <w:rPr>
          <w:rFonts w:ascii="Times New Roman" w:hAnsi="Times New Roman" w:cs="Times New Roman"/>
          <w:sz w:val="24"/>
          <w:szCs w:val="24"/>
        </w:rPr>
        <w:t xml:space="preserve">patient having </w:t>
      </w:r>
      <w:r w:rsidR="00704BC7" w:rsidRPr="00743D45">
        <w:rPr>
          <w:rFonts w:ascii="Times New Roman" w:hAnsi="Times New Roman" w:cs="Times New Roman"/>
          <w:sz w:val="24"/>
          <w:szCs w:val="24"/>
        </w:rPr>
        <w:t xml:space="preserve">at least 1 </w:t>
      </w:r>
      <w:r w:rsidRPr="00743D45">
        <w:rPr>
          <w:rFonts w:ascii="Times New Roman" w:hAnsi="Times New Roman" w:cs="Times New Roman"/>
          <w:sz w:val="24"/>
          <w:szCs w:val="24"/>
        </w:rPr>
        <w:t>prescription claim for any</w:t>
      </w:r>
      <w:r w:rsidR="00743D45" w:rsidRPr="00743D45">
        <w:rPr>
          <w:rFonts w:ascii="Times New Roman" w:hAnsi="Times New Roman" w:cs="Times New Roman"/>
          <w:sz w:val="24"/>
          <w:szCs w:val="24"/>
        </w:rPr>
        <w:t xml:space="preserve"> of the </w:t>
      </w:r>
      <w:r w:rsidR="00B369A6">
        <w:rPr>
          <w:rFonts w:ascii="Times New Roman" w:hAnsi="Times New Roman" w:cs="Times New Roman"/>
          <w:sz w:val="24"/>
          <w:szCs w:val="24"/>
        </w:rPr>
        <w:t>9</w:t>
      </w:r>
      <w:r w:rsidR="00743D45" w:rsidRPr="00743D45">
        <w:rPr>
          <w:rFonts w:ascii="Times New Roman" w:hAnsi="Times New Roman" w:cs="Times New Roman"/>
          <w:sz w:val="24"/>
          <w:szCs w:val="24"/>
        </w:rPr>
        <w:t xml:space="preserve"> approved biologics in the US, namely: </w:t>
      </w:r>
      <w:proofErr w:type="spellStart"/>
      <w:r w:rsidRPr="00743D45">
        <w:rPr>
          <w:rFonts w:ascii="Times New Roman" w:hAnsi="Times New Roman" w:cs="Times New Roman"/>
          <w:sz w:val="24"/>
          <w:szCs w:val="24"/>
        </w:rPr>
        <w:t>TNFi</w:t>
      </w:r>
      <w:proofErr w:type="spellEnd"/>
      <w:r w:rsidRPr="00743D45">
        <w:rPr>
          <w:rFonts w:ascii="Times New Roman" w:hAnsi="Times New Roman" w:cs="Times New Roman"/>
          <w:sz w:val="24"/>
          <w:szCs w:val="24"/>
        </w:rPr>
        <w:t xml:space="preserve"> or non-</w:t>
      </w:r>
      <w:proofErr w:type="spellStart"/>
      <w:r w:rsidRPr="00743D45">
        <w:rPr>
          <w:rFonts w:ascii="Times New Roman" w:hAnsi="Times New Roman" w:cs="Times New Roman"/>
          <w:sz w:val="24"/>
          <w:szCs w:val="24"/>
        </w:rPr>
        <w:t>TNFi</w:t>
      </w:r>
      <w:proofErr w:type="spellEnd"/>
      <w:r w:rsidRPr="00743D45">
        <w:rPr>
          <w:rFonts w:ascii="Times New Roman" w:hAnsi="Times New Roman" w:cs="Times New Roman"/>
          <w:sz w:val="24"/>
          <w:szCs w:val="24"/>
        </w:rPr>
        <w:t xml:space="preserve"> biologic (infliximab, adalimumab, golimumab, certolizumab pegol, etanercept, abatacept, rituximab, tocilizumab</w:t>
      </w:r>
      <w:r w:rsidR="00444183">
        <w:rPr>
          <w:rFonts w:ascii="Times New Roman" w:hAnsi="Times New Roman" w:cs="Times New Roman"/>
          <w:sz w:val="24"/>
          <w:szCs w:val="24"/>
        </w:rPr>
        <w:t>, anakinra</w:t>
      </w:r>
      <w:r w:rsidR="00B369A6">
        <w:rPr>
          <w:rFonts w:ascii="Times New Roman" w:hAnsi="Times New Roman" w:cs="Times New Roman"/>
          <w:sz w:val="24"/>
          <w:szCs w:val="24"/>
        </w:rPr>
        <w:t>)</w:t>
      </w:r>
      <w:r w:rsidR="00444183">
        <w:rPr>
          <w:rFonts w:ascii="Times New Roman" w:hAnsi="Times New Roman" w:cs="Times New Roman"/>
          <w:sz w:val="24"/>
          <w:szCs w:val="24"/>
        </w:rPr>
        <w:t xml:space="preserve"> </w:t>
      </w:r>
      <w:r w:rsidR="00B369A6">
        <w:rPr>
          <w:rFonts w:ascii="Times New Roman" w:hAnsi="Times New Roman" w:cs="Times New Roman"/>
          <w:sz w:val="24"/>
          <w:szCs w:val="24"/>
        </w:rPr>
        <w:t xml:space="preserve">or a JAK </w:t>
      </w:r>
      <w:proofErr w:type="gramStart"/>
      <w:r w:rsidR="00B369A6">
        <w:rPr>
          <w:rFonts w:ascii="Times New Roman" w:hAnsi="Times New Roman" w:cs="Times New Roman"/>
          <w:sz w:val="24"/>
          <w:szCs w:val="24"/>
        </w:rPr>
        <w:t xml:space="preserve">inhibitor, </w:t>
      </w:r>
      <w:r w:rsidR="00EA0A9C">
        <w:rPr>
          <w:rFonts w:ascii="Times New Roman" w:hAnsi="Times New Roman" w:cs="Times New Roman"/>
          <w:sz w:val="24"/>
          <w:szCs w:val="24"/>
        </w:rPr>
        <w:t xml:space="preserve"> tofacitinib</w:t>
      </w:r>
      <w:proofErr w:type="gramEnd"/>
      <w:r w:rsidR="00EA0A9C">
        <w:rPr>
          <w:rFonts w:ascii="Times New Roman" w:hAnsi="Times New Roman" w:cs="Times New Roman"/>
          <w:sz w:val="24"/>
          <w:szCs w:val="24"/>
        </w:rPr>
        <w:t>.</w:t>
      </w:r>
    </w:p>
    <w:p w14:paraId="587EC261" w14:textId="77777777" w:rsidR="00B369A6" w:rsidRDefault="00B369A6" w:rsidP="00B369A6">
      <w:pPr>
        <w:pStyle w:val="Heading1"/>
      </w:pPr>
      <w:bookmarkStart w:id="11" w:name="_Toc518905790"/>
      <w:r>
        <w:t>research methods</w:t>
      </w:r>
      <w:bookmarkEnd w:id="11"/>
    </w:p>
    <w:p w14:paraId="774113F7" w14:textId="0589B859" w:rsidR="00EC0BD4" w:rsidRDefault="00EC0BD4" w:rsidP="00B369A6">
      <w:pPr>
        <w:pStyle w:val="Heading1"/>
        <w:numPr>
          <w:ilvl w:val="1"/>
          <w:numId w:val="34"/>
        </w:numPr>
      </w:pPr>
      <w:bookmarkStart w:id="12" w:name="_Toc518905791"/>
      <w:r>
        <w:t>Study Design</w:t>
      </w:r>
      <w:r w:rsidR="004C6C99">
        <w:t xml:space="preserve"> and Setting</w:t>
      </w:r>
      <w:bookmarkEnd w:id="12"/>
    </w:p>
    <w:p w14:paraId="774113FB" w14:textId="682CCAEC" w:rsidR="00EC0BD4" w:rsidRDefault="00E051B7" w:rsidP="00EC0BD4">
      <w:pPr>
        <w:pStyle w:val="BodyText12"/>
      </w:pPr>
      <w:r>
        <w:t>This is a prediction study designed to compute probability of receiving treatments of interest (</w:t>
      </w:r>
      <w:proofErr w:type="spellStart"/>
      <w:r>
        <w:t>TNFi</w:t>
      </w:r>
      <w:proofErr w:type="spellEnd"/>
      <w:r>
        <w:t xml:space="preserve"> </w:t>
      </w:r>
      <w:r w:rsidR="00743D45">
        <w:t>or non-</w:t>
      </w:r>
      <w:proofErr w:type="spellStart"/>
      <w:r w:rsidR="00743D45">
        <w:t>TNFi</w:t>
      </w:r>
      <w:proofErr w:type="spellEnd"/>
      <w:r w:rsidR="00743D45">
        <w:t xml:space="preserve"> </w:t>
      </w:r>
      <w:r>
        <w:t>biologics</w:t>
      </w:r>
      <w:r w:rsidR="00B369A6">
        <w:t xml:space="preserve"> or tofacitinib</w:t>
      </w:r>
      <w:r>
        <w:t xml:space="preserve">) </w:t>
      </w:r>
      <w:r w:rsidR="004631E1">
        <w:t xml:space="preserve">in adult RA patients </w:t>
      </w:r>
      <w:r>
        <w:t xml:space="preserve">given patient and disease characteristics as represented by available covariates in </w:t>
      </w:r>
      <w:r w:rsidR="00615418">
        <w:t xml:space="preserve">a </w:t>
      </w:r>
      <w:r>
        <w:t xml:space="preserve">US administrative claims database. </w:t>
      </w:r>
      <w:r w:rsidR="004631E1">
        <w:t xml:space="preserve">The approval dates for treatments of interest range from 1998 to 2010. </w:t>
      </w:r>
      <w:r w:rsidR="00343853">
        <w:t>The</w:t>
      </w:r>
      <w:r w:rsidR="00661020">
        <w:t xml:space="preserve"> study period will be Janu</w:t>
      </w:r>
      <w:r w:rsidR="00343853">
        <w:t>ary 1, 2001 to December 31, 2016</w:t>
      </w:r>
      <w:r w:rsidR="00661020">
        <w:t xml:space="preserve">.  </w:t>
      </w:r>
      <w:r w:rsidR="004631E1">
        <w:t xml:space="preserve"> </w:t>
      </w:r>
      <w:r>
        <w:t xml:space="preserve"> </w:t>
      </w:r>
    </w:p>
    <w:p w14:paraId="774113FC" w14:textId="687FF5EE" w:rsidR="00EC0BD4" w:rsidRDefault="009B2F97" w:rsidP="00B369A6">
      <w:pPr>
        <w:pStyle w:val="Heading2"/>
        <w:numPr>
          <w:ilvl w:val="1"/>
          <w:numId w:val="34"/>
        </w:numPr>
      </w:pPr>
      <w:bookmarkStart w:id="13" w:name="_Toc518905792"/>
      <w:r w:rsidRPr="009B2F97">
        <w:t>Describe Data Source(s)</w:t>
      </w:r>
      <w:bookmarkEnd w:id="13"/>
    </w:p>
    <w:p w14:paraId="5CFEC6A2" w14:textId="51DFA2EE" w:rsidR="0077222A" w:rsidRPr="009B2F97" w:rsidRDefault="0077222A" w:rsidP="009B2F97">
      <w:pPr>
        <w:pStyle w:val="BodyText12"/>
      </w:pPr>
      <w:r>
        <w:t xml:space="preserve">The prediction </w:t>
      </w:r>
      <w:r w:rsidR="00615418">
        <w:t>model</w:t>
      </w:r>
      <w:r>
        <w:t xml:space="preserve"> will be </w:t>
      </w:r>
      <w:r w:rsidR="00615418">
        <w:t xml:space="preserve">developed using data in the Optum Extended Data Mart, Date of Death (hereafter referred to as “Optum”) database and will be externally validated in the Truven </w:t>
      </w:r>
      <w:proofErr w:type="spellStart"/>
      <w:r w:rsidR="00615418">
        <w:t>MarketScan</w:t>
      </w:r>
      <w:proofErr w:type="spellEnd"/>
      <w:r w:rsidR="00615418">
        <w:t xml:space="preserve"> databases (Truven Commercial Claims &amp; Encounters, “Truven CCAE”;</w:t>
      </w:r>
      <w:r w:rsidR="00743D45">
        <w:t xml:space="preserve"> Truven Medicare</w:t>
      </w:r>
      <w:r w:rsidR="00615418">
        <w:t xml:space="preserve">, </w:t>
      </w:r>
      <w:r w:rsidR="00743D45">
        <w:t>“Truven MDCR”</w:t>
      </w:r>
      <w:r w:rsidR="00615418">
        <w:t>; and</w:t>
      </w:r>
      <w:r w:rsidR="00743D45">
        <w:t xml:space="preserve"> Truven Medicaid</w:t>
      </w:r>
      <w:r w:rsidR="00615418">
        <w:t xml:space="preserve">, </w:t>
      </w:r>
      <w:r w:rsidR="00743D45">
        <w:t>“Truven MDCD</w:t>
      </w:r>
      <w:r w:rsidR="00615418">
        <w:t>”.</w:t>
      </w:r>
      <w:r>
        <w:t xml:space="preserve"> A brief description of each of the databases</w:t>
      </w:r>
      <w:r w:rsidR="00743D45">
        <w:t xml:space="preserve"> can be found in </w:t>
      </w:r>
      <w:r w:rsidR="003D110D">
        <w:t xml:space="preserve">Annex </w:t>
      </w:r>
      <w:r w:rsidR="00754071">
        <w:t>2</w:t>
      </w:r>
      <w:r w:rsidR="003D110D">
        <w:t xml:space="preserve">. </w:t>
      </w:r>
      <w:r w:rsidR="00743D45">
        <w:t xml:space="preserve"> </w:t>
      </w:r>
    </w:p>
    <w:p w14:paraId="77411414" w14:textId="151451E5" w:rsidR="00EC0BD4" w:rsidRDefault="00EC0BD4" w:rsidP="00B369A6">
      <w:pPr>
        <w:pStyle w:val="Heading2"/>
        <w:numPr>
          <w:ilvl w:val="1"/>
          <w:numId w:val="34"/>
        </w:numPr>
      </w:pPr>
      <w:bookmarkStart w:id="14" w:name="_Toc518905793"/>
      <w:bookmarkStart w:id="15" w:name="_Hlk504045730"/>
      <w:r>
        <w:t>Study Population</w:t>
      </w:r>
      <w:r w:rsidR="009B2F97">
        <w:t>(s)</w:t>
      </w:r>
      <w:bookmarkEnd w:id="14"/>
    </w:p>
    <w:p w14:paraId="468B3365" w14:textId="52FD05B6" w:rsidR="001E21FF" w:rsidRDefault="005C4C12" w:rsidP="00743D45">
      <w:pPr>
        <w:pStyle w:val="BodyText12"/>
        <w:spacing w:after="0"/>
        <w:rPr>
          <w:lang w:val="en-GB"/>
        </w:rPr>
      </w:pPr>
      <w:r>
        <w:rPr>
          <w:lang w:val="en-GB"/>
        </w:rPr>
        <w:t xml:space="preserve">The </w:t>
      </w:r>
      <w:r w:rsidR="001E21FF">
        <w:rPr>
          <w:lang w:val="en-GB"/>
        </w:rPr>
        <w:t xml:space="preserve">target cohort for this study </w:t>
      </w:r>
      <w:r w:rsidR="0034521A">
        <w:rPr>
          <w:lang w:val="en-GB"/>
        </w:rPr>
        <w:t>will be patients with a diagnosis claim for RA (index date)</w:t>
      </w:r>
      <w:r w:rsidR="0064141C">
        <w:rPr>
          <w:lang w:val="en-GB"/>
        </w:rPr>
        <w:t xml:space="preserve"> during the study period, Jan 1, 2001-Dec 31, 2016 that met these criteria</w:t>
      </w:r>
      <w:r w:rsidR="001E21FF">
        <w:rPr>
          <w:lang w:val="en-GB"/>
        </w:rPr>
        <w:t>:</w:t>
      </w:r>
    </w:p>
    <w:p w14:paraId="740F190E" w14:textId="309857DC" w:rsidR="001E21FF" w:rsidRPr="001E21FF" w:rsidRDefault="0034521A" w:rsidP="00743D45">
      <w:pPr>
        <w:pStyle w:val="BodyText12"/>
        <w:numPr>
          <w:ilvl w:val="0"/>
          <w:numId w:val="28"/>
        </w:numPr>
        <w:spacing w:after="0"/>
        <w:rPr>
          <w:lang w:val="en-GB"/>
        </w:rPr>
      </w:pPr>
      <w:r>
        <w:rPr>
          <w:lang w:val="en-GB"/>
        </w:rPr>
        <w:t>Are a</w:t>
      </w:r>
      <w:r w:rsidR="005C4C12" w:rsidRPr="001E21FF">
        <w:rPr>
          <w:lang w:val="en-GB"/>
        </w:rPr>
        <w:t xml:space="preserve">dults </w:t>
      </w:r>
      <w:r w:rsidR="001E21FF">
        <w:rPr>
          <w:szCs w:val="24"/>
        </w:rPr>
        <w:t>&gt;= 18 years old</w:t>
      </w:r>
      <w:r>
        <w:rPr>
          <w:szCs w:val="24"/>
        </w:rPr>
        <w:t xml:space="preserve"> as on index date,</w:t>
      </w:r>
    </w:p>
    <w:p w14:paraId="791BA7FE" w14:textId="26EFB86B" w:rsidR="001E21FF" w:rsidRPr="001E21FF" w:rsidRDefault="0034521A" w:rsidP="00743D45">
      <w:pPr>
        <w:pStyle w:val="BodyText12"/>
        <w:numPr>
          <w:ilvl w:val="0"/>
          <w:numId w:val="28"/>
        </w:numPr>
        <w:spacing w:after="0"/>
        <w:rPr>
          <w:lang w:val="en-GB"/>
        </w:rPr>
      </w:pPr>
      <w:r>
        <w:rPr>
          <w:szCs w:val="24"/>
        </w:rPr>
        <w:t xml:space="preserve">Have </w:t>
      </w:r>
      <w:r w:rsidR="0064141C">
        <w:rPr>
          <w:szCs w:val="24"/>
        </w:rPr>
        <w:t>730</w:t>
      </w:r>
      <w:r w:rsidR="00E04BBF" w:rsidRPr="001E21FF">
        <w:rPr>
          <w:szCs w:val="24"/>
        </w:rPr>
        <w:t xml:space="preserve"> days of </w:t>
      </w:r>
      <w:r w:rsidR="002F582B" w:rsidRPr="001E21FF">
        <w:rPr>
          <w:szCs w:val="24"/>
        </w:rPr>
        <w:t xml:space="preserve">continuous </w:t>
      </w:r>
      <w:r w:rsidR="00E04BBF" w:rsidRPr="001E21FF">
        <w:rPr>
          <w:szCs w:val="24"/>
        </w:rPr>
        <w:t>observable time</w:t>
      </w:r>
      <w:r w:rsidR="0064141C">
        <w:rPr>
          <w:szCs w:val="24"/>
        </w:rPr>
        <w:t xml:space="preserve"> prior to index, </w:t>
      </w:r>
    </w:p>
    <w:p w14:paraId="599BB8AA" w14:textId="22EE793F" w:rsidR="001E21FF" w:rsidRPr="001E21FF" w:rsidRDefault="0034521A" w:rsidP="00743D45">
      <w:pPr>
        <w:pStyle w:val="BodyText12"/>
        <w:numPr>
          <w:ilvl w:val="0"/>
          <w:numId w:val="28"/>
        </w:numPr>
        <w:spacing w:after="0"/>
        <w:rPr>
          <w:lang w:val="en-GB"/>
        </w:rPr>
      </w:pPr>
      <w:r>
        <w:rPr>
          <w:szCs w:val="24"/>
        </w:rPr>
        <w:t>Have</w:t>
      </w:r>
      <w:r w:rsidR="001E21FF">
        <w:rPr>
          <w:szCs w:val="24"/>
        </w:rPr>
        <w:t xml:space="preserve"> at least </w:t>
      </w:r>
      <w:r w:rsidR="0064141C">
        <w:rPr>
          <w:szCs w:val="24"/>
        </w:rPr>
        <w:t xml:space="preserve">1 diagnosis claim </w:t>
      </w:r>
      <w:r w:rsidR="0064141C">
        <w:rPr>
          <w:rFonts w:eastAsia="Calibri"/>
          <w:szCs w:val="24"/>
        </w:rPr>
        <w:t xml:space="preserve">for RA in both the 0-365 days and 365-730 </w:t>
      </w:r>
      <w:proofErr w:type="spellStart"/>
      <w:r w:rsidR="0064141C">
        <w:rPr>
          <w:rFonts w:eastAsia="Calibri"/>
          <w:szCs w:val="24"/>
        </w:rPr>
        <w:t xml:space="preserve">days </w:t>
      </w:r>
      <w:proofErr w:type="gramStart"/>
      <w:r w:rsidR="0064141C">
        <w:rPr>
          <w:rFonts w:eastAsia="Calibri"/>
          <w:szCs w:val="24"/>
        </w:rPr>
        <w:t>time</w:t>
      </w:r>
      <w:proofErr w:type="spellEnd"/>
      <w:r w:rsidR="0064141C">
        <w:rPr>
          <w:rFonts w:eastAsia="Calibri"/>
          <w:szCs w:val="24"/>
        </w:rPr>
        <w:t xml:space="preserve"> period</w:t>
      </w:r>
      <w:proofErr w:type="gramEnd"/>
      <w:r w:rsidR="0064141C">
        <w:rPr>
          <w:rFonts w:eastAsia="Calibri"/>
          <w:szCs w:val="24"/>
        </w:rPr>
        <w:t xml:space="preserve"> prior to index, and have at least one prescription claim for methotrexate, sulfasalazine, hydroxychloroquine, or leflunomide in the 365 days prior to index</w:t>
      </w:r>
    </w:p>
    <w:p w14:paraId="4D27292A" w14:textId="2FB12166" w:rsidR="00E04BBF" w:rsidRPr="001E21FF" w:rsidRDefault="0034521A" w:rsidP="001E21FF">
      <w:pPr>
        <w:pStyle w:val="BodyText12"/>
        <w:numPr>
          <w:ilvl w:val="0"/>
          <w:numId w:val="28"/>
        </w:numPr>
        <w:spacing w:after="0"/>
      </w:pPr>
      <w:r>
        <w:rPr>
          <w:szCs w:val="24"/>
        </w:rPr>
        <w:t>Have</w:t>
      </w:r>
      <w:r w:rsidR="001E21FF">
        <w:rPr>
          <w:szCs w:val="24"/>
        </w:rPr>
        <w:t xml:space="preserve"> at least 1 prescription claim for </w:t>
      </w:r>
      <w:r w:rsidR="00743D45">
        <w:t xml:space="preserve">methotrexate, sulfasalazine, hydroxychloroquine, </w:t>
      </w:r>
      <w:r w:rsidR="001E21FF">
        <w:t xml:space="preserve">or </w:t>
      </w:r>
      <w:r w:rsidR="00743D45">
        <w:t>leflunomide</w:t>
      </w:r>
      <w:r w:rsidR="001E21FF">
        <w:t xml:space="preserve"> in the 365 days prior to index.</w:t>
      </w:r>
    </w:p>
    <w:p w14:paraId="6A966669" w14:textId="77777777" w:rsidR="005C4C12" w:rsidRPr="005C4C12" w:rsidRDefault="005C4C12" w:rsidP="005C4C12">
      <w:pPr>
        <w:rPr>
          <w:szCs w:val="24"/>
          <w:lang w:val="en-GB"/>
        </w:rPr>
      </w:pPr>
    </w:p>
    <w:p w14:paraId="15A7BEA8" w14:textId="77777777" w:rsidR="001E21FF" w:rsidRPr="005B18FE" w:rsidRDefault="001E21FF" w:rsidP="0076772F">
      <w:pPr>
        <w:rPr>
          <w:b/>
          <w:szCs w:val="24"/>
        </w:rPr>
      </w:pPr>
      <w:r w:rsidRPr="005B18FE">
        <w:rPr>
          <w:b/>
          <w:szCs w:val="24"/>
        </w:rPr>
        <w:t>Exclusion criteria:</w:t>
      </w:r>
    </w:p>
    <w:p w14:paraId="31EDCA7A" w14:textId="77777777" w:rsidR="004B612F" w:rsidRDefault="001E21FF" w:rsidP="001E21FF">
      <w:pPr>
        <w:pStyle w:val="ListParagraph"/>
        <w:numPr>
          <w:ilvl w:val="0"/>
          <w:numId w:val="28"/>
        </w:numPr>
        <w:rPr>
          <w:rFonts w:ascii="Times New Roman" w:hAnsi="Times New Roman" w:cs="Times New Roman"/>
          <w:sz w:val="24"/>
          <w:szCs w:val="24"/>
        </w:rPr>
      </w:pPr>
      <w:r w:rsidRPr="001E21FF">
        <w:rPr>
          <w:rFonts w:ascii="Times New Roman" w:hAnsi="Times New Roman" w:cs="Times New Roman"/>
          <w:sz w:val="24"/>
          <w:szCs w:val="24"/>
        </w:rPr>
        <w:t xml:space="preserve">Exclude </w:t>
      </w:r>
      <w:r w:rsidR="004B612F">
        <w:rPr>
          <w:rFonts w:ascii="Times New Roman" w:hAnsi="Times New Roman" w:cs="Times New Roman"/>
          <w:sz w:val="24"/>
          <w:szCs w:val="24"/>
        </w:rPr>
        <w:t>p</w:t>
      </w:r>
      <w:r w:rsidR="00992661" w:rsidRPr="001E21FF">
        <w:rPr>
          <w:rFonts w:ascii="Times New Roman" w:hAnsi="Times New Roman" w:cs="Times New Roman"/>
          <w:sz w:val="24"/>
          <w:szCs w:val="24"/>
        </w:rPr>
        <w:t>atients if they ha</w:t>
      </w:r>
      <w:r w:rsidR="004B612F">
        <w:rPr>
          <w:rFonts w:ascii="Times New Roman" w:hAnsi="Times New Roman" w:cs="Times New Roman"/>
          <w:sz w:val="24"/>
          <w:szCs w:val="24"/>
        </w:rPr>
        <w:t>ve</w:t>
      </w:r>
      <w:r w:rsidR="00992661" w:rsidRPr="001E21FF">
        <w:rPr>
          <w:rFonts w:ascii="Times New Roman" w:hAnsi="Times New Roman" w:cs="Times New Roman"/>
          <w:sz w:val="24"/>
          <w:szCs w:val="24"/>
        </w:rPr>
        <w:t xml:space="preserve"> a diagnosis (ICD-9-CM) of juvenile idiopathic arthritis (714.3x), psoriasis (696.1x), psoriatic arthritis (696.0x), ankylosing spondylitis (720.0x), Crohn’s disease (555.xx), or ul</w:t>
      </w:r>
      <w:r w:rsidR="004B612F">
        <w:rPr>
          <w:rFonts w:ascii="Times New Roman" w:hAnsi="Times New Roman" w:cs="Times New Roman"/>
          <w:sz w:val="24"/>
          <w:szCs w:val="24"/>
        </w:rPr>
        <w:t xml:space="preserve">cerative colitis (556.xx) any time prior to index date, </w:t>
      </w:r>
      <w:r w:rsidR="00992661" w:rsidRPr="001E21FF">
        <w:rPr>
          <w:rFonts w:ascii="Times New Roman" w:hAnsi="Times New Roman" w:cs="Times New Roman"/>
          <w:sz w:val="24"/>
          <w:szCs w:val="24"/>
        </w:rPr>
        <w:t xml:space="preserve">as some nonbiologic and/or biologic DMARDs are indicated for the treatment of these conditions. </w:t>
      </w:r>
    </w:p>
    <w:p w14:paraId="5475BD11" w14:textId="0087DD85" w:rsidR="00343853" w:rsidRPr="001E21FF" w:rsidRDefault="004B612F" w:rsidP="001E21F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Exclude p</w:t>
      </w:r>
      <w:r w:rsidR="00992661" w:rsidRPr="001E21FF">
        <w:rPr>
          <w:rFonts w:ascii="Times New Roman" w:hAnsi="Times New Roman" w:cs="Times New Roman"/>
          <w:sz w:val="24"/>
          <w:szCs w:val="24"/>
        </w:rPr>
        <w:t xml:space="preserve">atients </w:t>
      </w:r>
      <w:r>
        <w:rPr>
          <w:rFonts w:ascii="Times New Roman" w:hAnsi="Times New Roman" w:cs="Times New Roman"/>
          <w:sz w:val="24"/>
          <w:szCs w:val="24"/>
        </w:rPr>
        <w:t>with</w:t>
      </w:r>
      <w:r w:rsidR="00992661" w:rsidRPr="001E21FF">
        <w:rPr>
          <w:rFonts w:ascii="Times New Roman" w:hAnsi="Times New Roman" w:cs="Times New Roman"/>
          <w:sz w:val="24"/>
          <w:szCs w:val="24"/>
        </w:rPr>
        <w:t xml:space="preserve"> J-codes for intravenous administration of </w:t>
      </w:r>
      <w:r>
        <w:rPr>
          <w:rFonts w:ascii="Times New Roman" w:hAnsi="Times New Roman" w:cs="Times New Roman"/>
          <w:sz w:val="24"/>
          <w:szCs w:val="24"/>
        </w:rPr>
        <w:t>methotrexate</w:t>
      </w:r>
      <w:r w:rsidR="00992661" w:rsidRPr="001E21FF">
        <w:rPr>
          <w:rFonts w:ascii="Times New Roman" w:hAnsi="Times New Roman" w:cs="Times New Roman"/>
          <w:sz w:val="24"/>
          <w:szCs w:val="24"/>
        </w:rPr>
        <w:t xml:space="preserve"> (J8610, J9250, and J9260) during the </w:t>
      </w:r>
      <w:r>
        <w:rPr>
          <w:rFonts w:ascii="Times New Roman" w:hAnsi="Times New Roman" w:cs="Times New Roman"/>
          <w:sz w:val="24"/>
          <w:szCs w:val="24"/>
        </w:rPr>
        <w:t xml:space="preserve">pre- or </w:t>
      </w:r>
      <w:r w:rsidR="00992661" w:rsidRPr="001E21FF">
        <w:rPr>
          <w:rFonts w:ascii="Times New Roman" w:hAnsi="Times New Roman" w:cs="Times New Roman"/>
          <w:sz w:val="24"/>
          <w:szCs w:val="24"/>
        </w:rPr>
        <w:t>post</w:t>
      </w:r>
      <w:r>
        <w:rPr>
          <w:rFonts w:ascii="Times New Roman" w:hAnsi="Times New Roman" w:cs="Times New Roman"/>
          <w:sz w:val="24"/>
          <w:szCs w:val="24"/>
        </w:rPr>
        <w:t>-</w:t>
      </w:r>
      <w:r w:rsidR="00992661" w:rsidRPr="001E21FF">
        <w:rPr>
          <w:rFonts w:ascii="Times New Roman" w:hAnsi="Times New Roman" w:cs="Times New Roman"/>
          <w:sz w:val="24"/>
          <w:szCs w:val="24"/>
        </w:rPr>
        <w:t>index period, which would suggest treatment for cancer</w:t>
      </w:r>
    </w:p>
    <w:p w14:paraId="7741142F" w14:textId="12021E3F" w:rsidR="0053367A" w:rsidRDefault="0053367A" w:rsidP="00B369A6">
      <w:pPr>
        <w:pStyle w:val="Heading2"/>
        <w:numPr>
          <w:ilvl w:val="1"/>
          <w:numId w:val="34"/>
        </w:numPr>
      </w:pPr>
      <w:bookmarkStart w:id="16" w:name="_Toc518905794"/>
      <w:bookmarkEnd w:id="15"/>
      <w:r>
        <w:t>Outcome(s) of Interest</w:t>
      </w:r>
      <w:bookmarkEnd w:id="16"/>
    </w:p>
    <w:p w14:paraId="586E8BAB" w14:textId="58844049" w:rsidR="0048597D" w:rsidRDefault="0076772F" w:rsidP="00430857">
      <w:pPr>
        <w:pStyle w:val="BodyText12"/>
        <w:spacing w:after="0" w:line="276" w:lineRule="auto"/>
        <w:jc w:val="left"/>
      </w:pPr>
      <w:r>
        <w:t xml:space="preserve">The </w:t>
      </w:r>
      <w:r w:rsidR="00075BCE">
        <w:t xml:space="preserve">primary </w:t>
      </w:r>
      <w:r>
        <w:t>outcome of intere</w:t>
      </w:r>
      <w:r w:rsidR="0048597D">
        <w:t xml:space="preserve">st for this study is at least 1 </w:t>
      </w:r>
      <w:r>
        <w:t>prescription claim for any of the</w:t>
      </w:r>
      <w:r w:rsidR="0048597D">
        <w:t xml:space="preserve">se biologics: </w:t>
      </w:r>
      <w:proofErr w:type="spellStart"/>
      <w:r>
        <w:t>TNFi</w:t>
      </w:r>
      <w:proofErr w:type="spellEnd"/>
      <w:r>
        <w:t xml:space="preserve"> or non-</w:t>
      </w:r>
      <w:proofErr w:type="spellStart"/>
      <w:r>
        <w:t>TNFi</w:t>
      </w:r>
      <w:proofErr w:type="spellEnd"/>
      <w:r>
        <w:t xml:space="preserve"> biologic (infliximab, adalimumab, golimumab, certolizumab pegol, etanercept, abatacept, rituximab, tocilizumab</w:t>
      </w:r>
      <w:r w:rsidR="00430857">
        <w:t>, anakinra</w:t>
      </w:r>
      <w:r w:rsidR="00B369A6">
        <w:t>) or</w:t>
      </w:r>
      <w:r w:rsidR="00EA0A9C">
        <w:t xml:space="preserve"> tofacitinib.</w:t>
      </w:r>
    </w:p>
    <w:p w14:paraId="25E3385C" w14:textId="77777777" w:rsidR="0048597D" w:rsidRDefault="0048597D" w:rsidP="0048597D">
      <w:pPr>
        <w:pStyle w:val="BodyText12"/>
        <w:spacing w:after="0" w:line="276" w:lineRule="auto"/>
      </w:pPr>
    </w:p>
    <w:p w14:paraId="77411439" w14:textId="7D1B81B5" w:rsidR="0053367A" w:rsidRDefault="0053367A" w:rsidP="00430857">
      <w:pPr>
        <w:pStyle w:val="BodyText12"/>
        <w:spacing w:after="0" w:line="276" w:lineRule="auto"/>
      </w:pPr>
    </w:p>
    <w:p w14:paraId="6A311408" w14:textId="234C0700" w:rsidR="00AA7DA1" w:rsidRPr="0053367A" w:rsidRDefault="00B369A6" w:rsidP="00754071">
      <w:pPr>
        <w:pStyle w:val="BodyText12"/>
        <w:spacing w:after="0" w:line="276" w:lineRule="auto"/>
        <w:jc w:val="left"/>
      </w:pPr>
      <w:r>
        <w:t xml:space="preserve">The cohort definitions and concept sets and codes included in Target and Outcome cohorts are available at: </w:t>
      </w:r>
      <w:hyperlink r:id="rId15" w:anchor="/cohortdefinition/5040" w:history="1">
        <w:r w:rsidRPr="00B62EA4">
          <w:rPr>
            <w:rStyle w:val="Hyperlink"/>
          </w:rPr>
          <w:t>https://epi.jnj.com/atlas/#/cohortdefinition/5040</w:t>
        </w:r>
      </w:hyperlink>
      <w:r>
        <w:t xml:space="preserve"> and </w:t>
      </w:r>
      <w:hyperlink r:id="rId16" w:anchor="/cohortdefinition/5041" w:history="1">
        <w:r w:rsidRPr="00B62EA4">
          <w:rPr>
            <w:rStyle w:val="Hyperlink"/>
          </w:rPr>
          <w:t>https://epi.jnj.com/atlas/#/cohortdefinition/5041</w:t>
        </w:r>
      </w:hyperlink>
      <w:r>
        <w:t xml:space="preserve">. </w:t>
      </w:r>
    </w:p>
    <w:p w14:paraId="77411442" w14:textId="4ECEAFDA" w:rsidR="00EC0BD4" w:rsidRDefault="007D0BC5" w:rsidP="00B369A6">
      <w:pPr>
        <w:pStyle w:val="Heading2"/>
        <w:numPr>
          <w:ilvl w:val="1"/>
          <w:numId w:val="34"/>
        </w:numPr>
      </w:pPr>
      <w:bookmarkStart w:id="17" w:name="_Toc518905795"/>
      <w:r>
        <w:t>Model Covariates</w:t>
      </w:r>
      <w:bookmarkEnd w:id="17"/>
    </w:p>
    <w:p w14:paraId="2263D2B9" w14:textId="7E4533F1" w:rsidR="00B959CF" w:rsidRDefault="00B959CF" w:rsidP="003C3F07">
      <w:pPr>
        <w:spacing w:line="276" w:lineRule="auto"/>
        <w:rPr>
          <w:lang w:val="en-GB"/>
        </w:rPr>
      </w:pPr>
      <w:r>
        <w:rPr>
          <w:lang w:val="en-GB"/>
        </w:rPr>
        <w:t xml:space="preserve">All standard covariates namely the below, will be included as covariates in the model, with a minimum constraint of </w:t>
      </w:r>
      <w:r w:rsidR="007366FB">
        <w:rPr>
          <w:lang w:val="en-GB"/>
        </w:rPr>
        <w:t>2</w:t>
      </w:r>
      <w:r>
        <w:rPr>
          <w:lang w:val="en-GB"/>
        </w:rPr>
        <w:t xml:space="preserve">0 people. So, for example if a feature is recorded for </w:t>
      </w:r>
      <w:r w:rsidR="007366FB">
        <w:rPr>
          <w:lang w:val="en-GB"/>
        </w:rPr>
        <w:t>1</w:t>
      </w:r>
      <w:r>
        <w:rPr>
          <w:lang w:val="en-GB"/>
        </w:rPr>
        <w:t xml:space="preserve">9 people or less, then it is excluded from the model. Standard set of covariates include: </w:t>
      </w:r>
    </w:p>
    <w:p w14:paraId="2AAD9FFF" w14:textId="77777777" w:rsidR="00B959CF" w:rsidRDefault="00B959CF" w:rsidP="003C3F07">
      <w:pPr>
        <w:spacing w:line="276" w:lineRule="auto"/>
        <w:rPr>
          <w:color w:val="1F497D"/>
          <w:lang w:val="en-GB"/>
        </w:rPr>
      </w:pPr>
    </w:p>
    <w:p w14:paraId="3F92598F" w14:textId="0821AB33" w:rsidR="00B959CF" w:rsidRPr="00B959CF" w:rsidRDefault="00B959CF" w:rsidP="003C3F07">
      <w:pPr>
        <w:spacing w:line="276" w:lineRule="auto"/>
        <w:rPr>
          <w:sz w:val="22"/>
          <w:lang w:val="en-GB"/>
        </w:rPr>
      </w:pPr>
      <w:r w:rsidRPr="00B959CF">
        <w:rPr>
          <w:lang w:val="en-GB"/>
        </w:rPr>
        <w:t>Demographics (age, gender, race, ethnicity, index month)</w:t>
      </w:r>
    </w:p>
    <w:p w14:paraId="6C828B07" w14:textId="04DF179A" w:rsidR="00B959CF" w:rsidRPr="00B959CF" w:rsidRDefault="00B959CF" w:rsidP="003C3F07">
      <w:pPr>
        <w:spacing w:line="276" w:lineRule="auto"/>
        <w:rPr>
          <w:lang w:val="en-GB"/>
        </w:rPr>
      </w:pPr>
      <w:r w:rsidRPr="00B959CF">
        <w:rPr>
          <w:lang w:val="en-GB"/>
        </w:rPr>
        <w:t>Conditions (occurrence in past 365 days, in past 30 days</w:t>
      </w:r>
      <w:r w:rsidR="00B54955">
        <w:rPr>
          <w:lang w:val="en-GB"/>
        </w:rPr>
        <w:t>)</w:t>
      </w:r>
    </w:p>
    <w:p w14:paraId="671C81B4" w14:textId="74C8763E" w:rsidR="00B959CF" w:rsidRPr="00B959CF" w:rsidRDefault="00B959CF" w:rsidP="003C3F07">
      <w:pPr>
        <w:spacing w:line="276" w:lineRule="auto"/>
        <w:rPr>
          <w:lang w:val="en-GB"/>
        </w:rPr>
      </w:pPr>
      <w:r w:rsidRPr="00B959CF">
        <w:rPr>
          <w:lang w:val="en-GB"/>
        </w:rPr>
        <w:t xml:space="preserve">Condition groups (using </w:t>
      </w:r>
      <w:r>
        <w:rPr>
          <w:lang w:val="en-GB"/>
        </w:rPr>
        <w:t>SNOMED</w:t>
      </w:r>
      <w:r w:rsidRPr="00B959CF">
        <w:rPr>
          <w:lang w:val="en-GB"/>
        </w:rPr>
        <w:t xml:space="preserve"> groups or </w:t>
      </w:r>
      <w:r>
        <w:rPr>
          <w:lang w:val="en-GB"/>
        </w:rPr>
        <w:t>MEDRA</w:t>
      </w:r>
      <w:r w:rsidRPr="00B959CF">
        <w:rPr>
          <w:lang w:val="en-GB"/>
        </w:rPr>
        <w:t xml:space="preserve"> groups)</w:t>
      </w:r>
    </w:p>
    <w:p w14:paraId="4BA8C176" w14:textId="36B5436C" w:rsidR="00B959CF" w:rsidRPr="00B959CF" w:rsidRDefault="00B959CF" w:rsidP="003C3F07">
      <w:pPr>
        <w:spacing w:line="276" w:lineRule="auto"/>
        <w:rPr>
          <w:lang w:val="en-GB"/>
        </w:rPr>
      </w:pPr>
      <w:r w:rsidRPr="00B959CF">
        <w:rPr>
          <w:lang w:val="en-GB"/>
        </w:rPr>
        <w:t>Drugs (exposures in past 365 days, in past 30 days)</w:t>
      </w:r>
    </w:p>
    <w:p w14:paraId="2412BB5D" w14:textId="77777777" w:rsidR="00B959CF" w:rsidRPr="00B959CF" w:rsidRDefault="00B959CF" w:rsidP="003C3F07">
      <w:pPr>
        <w:spacing w:line="276" w:lineRule="auto"/>
        <w:rPr>
          <w:lang w:val="en-GB"/>
        </w:rPr>
      </w:pPr>
      <w:r w:rsidRPr="00B959CF">
        <w:rPr>
          <w:lang w:val="en-GB"/>
        </w:rPr>
        <w:t>Drug groups (ingredient level)</w:t>
      </w:r>
    </w:p>
    <w:p w14:paraId="7DAA9D0C" w14:textId="77777777" w:rsidR="00B959CF" w:rsidRPr="00B959CF" w:rsidRDefault="00B959CF" w:rsidP="003C3F07">
      <w:pPr>
        <w:spacing w:line="276" w:lineRule="auto"/>
        <w:rPr>
          <w:lang w:val="en-GB"/>
        </w:rPr>
      </w:pPr>
      <w:r w:rsidRPr="00B959CF">
        <w:rPr>
          <w:lang w:val="en-GB"/>
        </w:rPr>
        <w:t>Measurements in past 365 days and 30 days</w:t>
      </w:r>
    </w:p>
    <w:p w14:paraId="1557D364" w14:textId="77777777" w:rsidR="00B959CF" w:rsidRPr="00B959CF" w:rsidRDefault="00B959CF" w:rsidP="003C3F07">
      <w:pPr>
        <w:spacing w:line="276" w:lineRule="auto"/>
        <w:rPr>
          <w:lang w:val="en-GB"/>
        </w:rPr>
      </w:pPr>
      <w:r w:rsidRPr="00B959CF">
        <w:rPr>
          <w:lang w:val="en-GB"/>
        </w:rPr>
        <w:t>Measurements above/below normal</w:t>
      </w:r>
    </w:p>
    <w:p w14:paraId="65556AE2" w14:textId="77777777" w:rsidR="00B959CF" w:rsidRPr="00B959CF" w:rsidRDefault="00B959CF" w:rsidP="003C3F07">
      <w:pPr>
        <w:spacing w:line="276" w:lineRule="auto"/>
        <w:rPr>
          <w:lang w:val="en-GB"/>
        </w:rPr>
      </w:pPr>
      <w:r w:rsidRPr="00B959CF">
        <w:rPr>
          <w:lang w:val="en-GB"/>
        </w:rPr>
        <w:t>Observations in past 365 days and 30 days</w:t>
      </w:r>
    </w:p>
    <w:p w14:paraId="18F24BDA" w14:textId="77777777" w:rsidR="00B959CF" w:rsidRPr="00B959CF" w:rsidRDefault="00B959CF" w:rsidP="003C3F07">
      <w:pPr>
        <w:spacing w:line="276" w:lineRule="auto"/>
        <w:rPr>
          <w:lang w:val="en-GB"/>
        </w:rPr>
      </w:pPr>
      <w:r w:rsidRPr="00B959CF">
        <w:rPr>
          <w:lang w:val="en-GB"/>
        </w:rPr>
        <w:t>Procedures in past 365 days and 30 days</w:t>
      </w:r>
    </w:p>
    <w:p w14:paraId="2254A551" w14:textId="77777777" w:rsidR="00B959CF" w:rsidRPr="00B959CF" w:rsidRDefault="00B959CF" w:rsidP="003C3F07">
      <w:pPr>
        <w:spacing w:line="276" w:lineRule="auto"/>
        <w:rPr>
          <w:lang w:val="en-GB"/>
        </w:rPr>
      </w:pPr>
      <w:r w:rsidRPr="00B959CF">
        <w:rPr>
          <w:lang w:val="en-GB"/>
        </w:rPr>
        <w:t>Concept counts (number of drugs, conditions, etc in past)</w:t>
      </w:r>
    </w:p>
    <w:p w14:paraId="2456D3F8" w14:textId="0EE2C3D6" w:rsidR="00B959CF" w:rsidRDefault="00B959CF" w:rsidP="003C3F07">
      <w:pPr>
        <w:spacing w:line="276" w:lineRule="auto"/>
        <w:rPr>
          <w:lang w:val="en-GB"/>
        </w:rPr>
      </w:pPr>
      <w:r w:rsidRPr="00B959CF">
        <w:rPr>
          <w:lang w:val="en-GB"/>
        </w:rPr>
        <w:t>Risk scores (</w:t>
      </w:r>
      <w:proofErr w:type="spellStart"/>
      <w:r w:rsidRPr="00B959CF">
        <w:rPr>
          <w:lang w:val="en-GB"/>
        </w:rPr>
        <w:t>charlson</w:t>
      </w:r>
      <w:proofErr w:type="spellEnd"/>
      <w:r w:rsidRPr="00B959CF">
        <w:rPr>
          <w:lang w:val="en-GB"/>
        </w:rPr>
        <w:t>, DCSI, CHADS2, CHADS2VASc)</w:t>
      </w:r>
    </w:p>
    <w:p w14:paraId="2C7F9434" w14:textId="2EBD978D" w:rsidR="00B54955" w:rsidRDefault="00B54955" w:rsidP="00B959CF">
      <w:pPr>
        <w:rPr>
          <w:lang w:val="en-GB"/>
        </w:rPr>
      </w:pPr>
    </w:p>
    <w:p w14:paraId="3A6BBA44" w14:textId="77777777" w:rsidR="00241FC8" w:rsidRDefault="00241FC8" w:rsidP="00B959CF">
      <w:pPr>
        <w:rPr>
          <w:lang w:val="en-GB"/>
        </w:rPr>
      </w:pPr>
    </w:p>
    <w:p w14:paraId="13A0E7B2" w14:textId="715A586B" w:rsidR="00B54955" w:rsidRPr="00B54955" w:rsidRDefault="00B54955" w:rsidP="00B959CF">
      <w:pPr>
        <w:rPr>
          <w:b/>
          <w:lang w:val="en-GB"/>
        </w:rPr>
      </w:pPr>
      <w:r w:rsidRPr="00B54955">
        <w:rPr>
          <w:b/>
          <w:lang w:val="en-GB"/>
        </w:rPr>
        <w:t>Exclusions:</w:t>
      </w:r>
    </w:p>
    <w:p w14:paraId="7741144A" w14:textId="644580B4" w:rsidR="00EC0BD4" w:rsidRPr="003C3F07" w:rsidRDefault="00B54955" w:rsidP="00EC426E">
      <w:pPr>
        <w:pStyle w:val="ListParagraph"/>
        <w:numPr>
          <w:ilvl w:val="0"/>
          <w:numId w:val="24"/>
        </w:numPr>
        <w:rPr>
          <w:rFonts w:ascii="Times New Roman" w:hAnsi="Times New Roman" w:cs="Times New Roman"/>
          <w:sz w:val="24"/>
          <w:szCs w:val="24"/>
          <w:lang w:val="en-GB"/>
        </w:rPr>
      </w:pPr>
      <w:r w:rsidRPr="003C3F07">
        <w:rPr>
          <w:rFonts w:ascii="Times New Roman" w:hAnsi="Times New Roman" w:cs="Times New Roman"/>
          <w:sz w:val="24"/>
          <w:szCs w:val="24"/>
          <w:lang w:val="en-GB"/>
        </w:rPr>
        <w:t>Only variables with data in at least 20 patients in the study population will be included in the model.</w:t>
      </w:r>
    </w:p>
    <w:p w14:paraId="7741145C" w14:textId="4B73E0F1" w:rsidR="00EC0BD4" w:rsidRDefault="00EC426E" w:rsidP="00B369A6">
      <w:pPr>
        <w:pStyle w:val="Heading1"/>
      </w:pPr>
      <w:bookmarkStart w:id="18" w:name="_Toc518905796"/>
      <w:r>
        <w:t>DATA ANALYSIS PLAN</w:t>
      </w:r>
      <w:bookmarkEnd w:id="18"/>
    </w:p>
    <w:p w14:paraId="7741145D" w14:textId="77777777" w:rsidR="00B7761D" w:rsidRDefault="00EC426E" w:rsidP="00B369A6">
      <w:pPr>
        <w:pStyle w:val="Heading2"/>
      </w:pPr>
      <w:bookmarkStart w:id="19" w:name="_Toc518905797"/>
      <w:r>
        <w:t>Calculation of Time-at</w:t>
      </w:r>
      <w:r w:rsidR="00AA6537">
        <w:t>-</w:t>
      </w:r>
      <w:r>
        <w:t>Risk</w:t>
      </w:r>
      <w:bookmarkEnd w:id="19"/>
    </w:p>
    <w:p w14:paraId="6F558C4B" w14:textId="7075CC30" w:rsidR="0064141C" w:rsidRDefault="00287A79" w:rsidP="005219C8">
      <w:pPr>
        <w:spacing w:line="276" w:lineRule="auto"/>
        <w:rPr>
          <w:szCs w:val="24"/>
          <w:lang w:val="en-GB"/>
        </w:rPr>
      </w:pPr>
      <w:proofErr w:type="gramStart"/>
      <w:r>
        <w:rPr>
          <w:szCs w:val="24"/>
          <w:lang w:val="en-GB"/>
        </w:rPr>
        <w:t>For the purpose of</w:t>
      </w:r>
      <w:proofErr w:type="gramEnd"/>
      <w:r>
        <w:rPr>
          <w:szCs w:val="24"/>
          <w:lang w:val="en-GB"/>
        </w:rPr>
        <w:t xml:space="preserve"> this study, two different time-at-risk</w:t>
      </w:r>
      <w:r w:rsidR="0064141C">
        <w:rPr>
          <w:szCs w:val="24"/>
          <w:lang w:val="en-GB"/>
        </w:rPr>
        <w:t xml:space="preserve"> periods (TAR)</w:t>
      </w:r>
      <w:r>
        <w:rPr>
          <w:szCs w:val="24"/>
          <w:lang w:val="en-GB"/>
        </w:rPr>
        <w:t xml:space="preserve"> will be used: </w:t>
      </w:r>
      <w:r w:rsidR="0064141C">
        <w:rPr>
          <w:szCs w:val="24"/>
          <w:lang w:val="en-GB"/>
        </w:rPr>
        <w:t>1) 90 days since index</w:t>
      </w:r>
      <w:r w:rsidR="00EA0A9C">
        <w:rPr>
          <w:szCs w:val="24"/>
          <w:lang w:val="en-GB"/>
        </w:rPr>
        <w:t xml:space="preserve"> (as proxy for current disease severity)</w:t>
      </w:r>
      <w:r w:rsidR="0064141C">
        <w:rPr>
          <w:szCs w:val="24"/>
          <w:lang w:val="en-GB"/>
        </w:rPr>
        <w:t xml:space="preserve"> 2) 730 days since index</w:t>
      </w:r>
      <w:r w:rsidR="00EA0A9C">
        <w:rPr>
          <w:szCs w:val="24"/>
          <w:lang w:val="en-GB"/>
        </w:rPr>
        <w:t xml:space="preserve"> (as proxy for future disease severity)</w:t>
      </w:r>
      <w:r w:rsidR="0064141C">
        <w:rPr>
          <w:szCs w:val="24"/>
          <w:lang w:val="en-GB"/>
        </w:rPr>
        <w:t>.</w:t>
      </w:r>
    </w:p>
    <w:p w14:paraId="77411466" w14:textId="4FFDF678" w:rsidR="00BC0EA4" w:rsidRPr="00B369A6" w:rsidRDefault="00B369A6" w:rsidP="00B369A6">
      <w:pPr>
        <w:spacing w:line="276" w:lineRule="auto"/>
        <w:rPr>
          <w:rFonts w:ascii="Arial" w:hAnsi="Arial" w:cs="Arial"/>
          <w:b/>
        </w:rPr>
      </w:pPr>
      <w:r>
        <w:rPr>
          <w:rFonts w:ascii="Arial" w:hAnsi="Arial" w:cs="Arial"/>
          <w:b/>
        </w:rPr>
        <w:lastRenderedPageBreak/>
        <w:t xml:space="preserve">9.2 </w:t>
      </w:r>
      <w:r w:rsidR="00AA6537" w:rsidRPr="00B369A6">
        <w:rPr>
          <w:rFonts w:ascii="Arial" w:hAnsi="Arial" w:cs="Arial"/>
          <w:b/>
        </w:rPr>
        <w:t>Patient Characteristics Summary</w:t>
      </w:r>
    </w:p>
    <w:p w14:paraId="77411469" w14:textId="748F1538" w:rsidR="00696F8C" w:rsidRDefault="002F5C7D" w:rsidP="00696F8C">
      <w:pPr>
        <w:pStyle w:val="BodyText12"/>
      </w:pPr>
      <w:r>
        <w:t>P</w:t>
      </w:r>
      <w:r w:rsidR="00C66B48">
        <w:t xml:space="preserve">lots of the covariate count in the outcome vs. non-outcome populations </w:t>
      </w:r>
      <w:r>
        <w:t xml:space="preserve">will be generated </w:t>
      </w:r>
      <w:r w:rsidR="00C66B48">
        <w:t>to identify univariate differences between the groups.</w:t>
      </w:r>
    </w:p>
    <w:p w14:paraId="7741146A" w14:textId="248DD873" w:rsidR="00BC0EA4" w:rsidRDefault="00AA6537" w:rsidP="00B369A6">
      <w:pPr>
        <w:pStyle w:val="Heading2"/>
        <w:numPr>
          <w:ilvl w:val="1"/>
          <w:numId w:val="35"/>
        </w:numPr>
      </w:pPr>
      <w:bookmarkStart w:id="20" w:name="_Toc518905798"/>
      <w:r>
        <w:t>Model Specification</w:t>
      </w:r>
      <w:bookmarkEnd w:id="20"/>
    </w:p>
    <w:p w14:paraId="082CDB29" w14:textId="751DB520" w:rsidR="000516CC" w:rsidRDefault="000516CC" w:rsidP="000516CC">
      <w:pPr>
        <w:pStyle w:val="BodyText12"/>
      </w:pPr>
      <w:r>
        <w:t xml:space="preserve">This study aims to predict </w:t>
      </w:r>
      <w:r w:rsidR="00BC4DA8">
        <w:t xml:space="preserve">a proxy disease activity score by developing a model that predicts which RA patients receive a </w:t>
      </w:r>
      <w:proofErr w:type="spellStart"/>
      <w:r w:rsidR="00BC4DA8">
        <w:t>TNFi</w:t>
      </w:r>
      <w:proofErr w:type="spellEnd"/>
      <w:r w:rsidR="00BC4DA8">
        <w:t xml:space="preserve"> </w:t>
      </w:r>
      <w:r w:rsidR="00EA0A9C">
        <w:t>biologic, n</w:t>
      </w:r>
      <w:r w:rsidR="00BC4DA8">
        <w:t>on-</w:t>
      </w:r>
      <w:proofErr w:type="spellStart"/>
      <w:r w:rsidR="00BC4DA8">
        <w:t>TNFi</w:t>
      </w:r>
      <w:proofErr w:type="spellEnd"/>
      <w:r w:rsidR="00BC4DA8">
        <w:t xml:space="preserve"> biologic</w:t>
      </w:r>
      <w:r w:rsidR="00EA0A9C">
        <w:t>, or tofacitinib</w:t>
      </w:r>
      <w:r w:rsidR="00BC4DA8">
        <w:t xml:space="preserve"> versus those that don’t. </w:t>
      </w:r>
      <w:r w:rsidR="007D0BC5">
        <w:t xml:space="preserve">We will implement </w:t>
      </w:r>
      <w:r w:rsidR="00BC4DA8">
        <w:t xml:space="preserve">three models: </w:t>
      </w:r>
      <w:r w:rsidR="007D0BC5">
        <w:t>regularized lasso logistic regression</w:t>
      </w:r>
      <w:r w:rsidR="00BC4DA8">
        <w:t xml:space="preserve">, random forest, and gradient boosting machine, </w:t>
      </w:r>
      <w:r w:rsidR="007D0BC5">
        <w:t>trained on 75% of the dataset and internally validate the model using the remaining 25% of the data.  Hyper-parameter selection will be determined using 10-fold cross-validation on the train set and an automated search for the optimal lambda will be implemented.</w:t>
      </w:r>
      <w:r w:rsidR="0036578B">
        <w:t xml:space="preserve">  We will use the OHDSI </w:t>
      </w:r>
      <w:proofErr w:type="spellStart"/>
      <w:r w:rsidR="0036578B">
        <w:t>PatientLevelPrediction</w:t>
      </w:r>
      <w:proofErr w:type="spellEnd"/>
      <w:r w:rsidR="0036578B">
        <w:t xml:space="preserve"> R package to perform the analysis</w:t>
      </w:r>
      <w:r w:rsidR="00C66B48">
        <w:t>.</w:t>
      </w:r>
    </w:p>
    <w:p w14:paraId="77411475" w14:textId="4D18FB7B" w:rsidR="00BC0EA4" w:rsidRDefault="00AA6537" w:rsidP="00B369A6">
      <w:pPr>
        <w:pStyle w:val="Heading2"/>
        <w:numPr>
          <w:ilvl w:val="1"/>
          <w:numId w:val="35"/>
        </w:numPr>
      </w:pPr>
      <w:bookmarkStart w:id="21" w:name="_Toc518905799"/>
      <w:r>
        <w:t>Evidence Evaluation</w:t>
      </w:r>
      <w:bookmarkEnd w:id="21"/>
    </w:p>
    <w:p w14:paraId="56CD9D89" w14:textId="42C6BF4E" w:rsidR="006E4C7E" w:rsidRDefault="006E4C7E" w:rsidP="006E4C7E">
      <w:pPr>
        <w:pStyle w:val="BodyText12"/>
      </w:pPr>
      <w:r>
        <w:t xml:space="preserve">We will validate the </w:t>
      </w:r>
      <w:r w:rsidR="00C66B48">
        <w:t xml:space="preserve">prediction </w:t>
      </w:r>
      <w:r>
        <w:t xml:space="preserve">model by using a 25%:75% </w:t>
      </w:r>
      <w:proofErr w:type="spellStart"/>
      <w:proofErr w:type="gramStart"/>
      <w:r>
        <w:t>test:train</w:t>
      </w:r>
      <w:proofErr w:type="spellEnd"/>
      <w:proofErr w:type="gramEnd"/>
      <w:r>
        <w:t xml:space="preserve"> split</w:t>
      </w:r>
      <w:r w:rsidR="00430857">
        <w:t xml:space="preserve"> using the Optum data</w:t>
      </w:r>
      <w:r>
        <w:t>, where 75% of the data are used to trained the model and 25% of the data is left out of training and just used to validate the model by comparing the prediction with the ground truth.  We will also implement external validation by implementing the trained model on</w:t>
      </w:r>
      <w:r w:rsidR="00BC4DA8">
        <w:t xml:space="preserve"> multiple US administrative claims</w:t>
      </w:r>
      <w:r>
        <w:t xml:space="preserve"> datasets</w:t>
      </w:r>
      <w:r w:rsidR="00430857">
        <w:t xml:space="preserve"> – Truven CCAE, Truven MDCR, and Truven MDCD</w:t>
      </w:r>
      <w:r>
        <w:t>.</w:t>
      </w:r>
    </w:p>
    <w:p w14:paraId="54105FDD" w14:textId="4A88E58C" w:rsidR="00B935C4" w:rsidRDefault="00B935C4" w:rsidP="00B369A6">
      <w:pPr>
        <w:pStyle w:val="Heading1"/>
        <w:numPr>
          <w:ilvl w:val="0"/>
          <w:numId w:val="35"/>
        </w:numPr>
        <w:rPr>
          <w:caps w:val="0"/>
        </w:rPr>
      </w:pPr>
      <w:bookmarkStart w:id="22" w:name="_Toc518905800"/>
      <w:bookmarkStart w:id="23" w:name="_Toc470006284"/>
      <w:r>
        <w:rPr>
          <w:caps w:val="0"/>
        </w:rPr>
        <w:t>STRENGTHS AND LIMITATIONS OF THE RESEARCH METHODS</w:t>
      </w:r>
      <w:bookmarkEnd w:id="22"/>
    </w:p>
    <w:bookmarkEnd w:id="23"/>
    <w:p w14:paraId="77411482" w14:textId="30DE756C" w:rsidR="00AA6537" w:rsidRPr="00AA6537" w:rsidRDefault="00D41932" w:rsidP="00AA6537">
      <w:pPr>
        <w:pStyle w:val="BodyText12"/>
      </w:pPr>
      <w:r>
        <w:t xml:space="preserve">The strength of this study is the use of advanced analytics in deriving a prediction model that incorporates </w:t>
      </w:r>
      <w:r w:rsidR="00BE3A2D">
        <w:t>close to 10,000 measured</w:t>
      </w:r>
      <w:r>
        <w:t xml:space="preserve"> variables available in the dataset. Limitations include lack of </w:t>
      </w:r>
      <w:r w:rsidR="00BE3A2D">
        <w:t xml:space="preserve">non-representative </w:t>
      </w:r>
      <w:r>
        <w:t xml:space="preserve">clinical data, due to which </w:t>
      </w:r>
      <w:r w:rsidR="00BE3A2D">
        <w:t xml:space="preserve">not all </w:t>
      </w:r>
      <w:r>
        <w:t>measures pertin</w:t>
      </w:r>
      <w:r w:rsidR="00BE3A2D">
        <w:t xml:space="preserve">ent to disease activity may </w:t>
      </w:r>
      <w:r>
        <w:t xml:space="preserve">be available to build </w:t>
      </w:r>
      <w:r w:rsidR="00BE3A2D">
        <w:t xml:space="preserve">the model. The prediction model can only be built using measured variables. </w:t>
      </w:r>
    </w:p>
    <w:p w14:paraId="77411483" w14:textId="38E53980" w:rsidR="00BC0EA4" w:rsidRDefault="00696F8C" w:rsidP="00B369A6">
      <w:pPr>
        <w:pStyle w:val="Heading1"/>
        <w:numPr>
          <w:ilvl w:val="0"/>
          <w:numId w:val="35"/>
        </w:numPr>
      </w:pPr>
      <w:bookmarkStart w:id="24" w:name="_Toc518905801"/>
      <w:r>
        <w:t>PROTECTION OF HUMAN SUBJECTS</w:t>
      </w:r>
      <w:bookmarkEnd w:id="24"/>
    </w:p>
    <w:p w14:paraId="2F3DB422" w14:textId="3BFE0469" w:rsidR="001F3523" w:rsidRPr="001F3523" w:rsidRDefault="001F3523" w:rsidP="001F3523">
      <w:pPr>
        <w:pStyle w:val="GuideDash"/>
        <w:numPr>
          <w:ilvl w:val="0"/>
          <w:numId w:val="0"/>
        </w:numPr>
        <w:ind w:left="288"/>
        <w:rPr>
          <w:sz w:val="24"/>
          <w:szCs w:val="24"/>
        </w:rPr>
      </w:pPr>
      <w:r w:rsidRPr="001F3523">
        <w:rPr>
          <w:iCs/>
          <w:sz w:val="24"/>
          <w:szCs w:val="24"/>
        </w:rPr>
        <w:t xml:space="preserve">The use of </w:t>
      </w:r>
      <w:r>
        <w:rPr>
          <w:iCs/>
          <w:sz w:val="24"/>
          <w:szCs w:val="24"/>
        </w:rPr>
        <w:t>Truven CCAE</w:t>
      </w:r>
      <w:r w:rsidR="00BC4DA8">
        <w:rPr>
          <w:iCs/>
          <w:sz w:val="24"/>
          <w:szCs w:val="24"/>
        </w:rPr>
        <w:t>, Truven MDCR, and Truven MDCD</w:t>
      </w:r>
      <w:r>
        <w:rPr>
          <w:iCs/>
          <w:sz w:val="24"/>
          <w:szCs w:val="24"/>
        </w:rPr>
        <w:t xml:space="preserve"> and Optum DOD </w:t>
      </w:r>
      <w:r w:rsidRPr="001F3523">
        <w:rPr>
          <w:iCs/>
          <w:sz w:val="24"/>
          <w:szCs w:val="24"/>
        </w:rPr>
        <w:t>was reviewed by the New England Institutional Review Board (IRB) and was determined to be exempt from broad IRB approval, as this research project did not i</w:t>
      </w:r>
      <w:r>
        <w:rPr>
          <w:iCs/>
          <w:sz w:val="24"/>
          <w:szCs w:val="24"/>
        </w:rPr>
        <w:t>nvolve human subjects research.</w:t>
      </w:r>
    </w:p>
    <w:p w14:paraId="77411490" w14:textId="77777777" w:rsidR="00696F8C" w:rsidRDefault="00696F8C" w:rsidP="00696F8C">
      <w:pPr>
        <w:pStyle w:val="BodyText12"/>
      </w:pPr>
    </w:p>
    <w:p w14:paraId="77411491" w14:textId="56EF7933" w:rsidR="00BC0EA4" w:rsidRDefault="00E864F9" w:rsidP="00B369A6">
      <w:pPr>
        <w:pStyle w:val="Heading1"/>
        <w:numPr>
          <w:ilvl w:val="0"/>
          <w:numId w:val="35"/>
        </w:numPr>
      </w:pPr>
      <w:bookmarkStart w:id="25" w:name="_Toc518905802"/>
      <w:r w:rsidRPr="0054294D">
        <w:rPr>
          <w:caps w:val="0"/>
        </w:rPr>
        <w:t>MANAGEMENT AND REPORTING OF ADVERSE EVENTS</w:t>
      </w:r>
      <w:r>
        <w:rPr>
          <w:caps w:val="0"/>
        </w:rPr>
        <w:t xml:space="preserve"> AND </w:t>
      </w:r>
      <w:r w:rsidRPr="0054294D">
        <w:rPr>
          <w:caps w:val="0"/>
        </w:rPr>
        <w:t>ADVERSE REACTIONS</w:t>
      </w:r>
      <w:bookmarkEnd w:id="25"/>
    </w:p>
    <w:p w14:paraId="774114A2" w14:textId="1615E12A" w:rsidR="00E864F9" w:rsidRPr="001F3523" w:rsidRDefault="001F3523" w:rsidP="00E864F9">
      <w:pPr>
        <w:pStyle w:val="BodyText12"/>
      </w:pPr>
      <w:r w:rsidRPr="001F3523">
        <w:t xml:space="preserve">This study uses coded data that already exist in an electronic database.  In this type of database, it is not possible to link (i.e., identify a potential causal association between) a </w:t>
      </w:r>
      <w:proofErr w:type="gramStart"/>
      <w:r w:rsidRPr="001F3523">
        <w:t>particular product</w:t>
      </w:r>
      <w:proofErr w:type="gramEnd"/>
      <w:r w:rsidRPr="001F3523">
        <w:t xml:space="preserve"> and medical event for any individual. Thus, the </w:t>
      </w:r>
      <w:r w:rsidRPr="001F3523">
        <w:rPr>
          <w:i/>
        </w:rPr>
        <w:t>minimum criteria for reporting an adverse event (i.e., identifiable patient, identifiable reporter, a suspect product, and event) are not available</w:t>
      </w:r>
      <w:r w:rsidRPr="001F3523">
        <w:t xml:space="preserve"> and adverse events are not reportable as individual AE reports. The study results will be assessed for medically important results</w:t>
      </w:r>
      <w:r>
        <w:t>.</w:t>
      </w:r>
    </w:p>
    <w:p w14:paraId="774114A3" w14:textId="17E58669" w:rsidR="0088451F" w:rsidRDefault="0088451F" w:rsidP="00B369A6">
      <w:pPr>
        <w:pStyle w:val="Heading1"/>
        <w:numPr>
          <w:ilvl w:val="0"/>
          <w:numId w:val="35"/>
        </w:numPr>
      </w:pPr>
      <w:bookmarkStart w:id="26" w:name="_Toc518905803"/>
      <w:r>
        <w:lastRenderedPageBreak/>
        <w:t>PLANS FOR DISSEMINATING AND COMMUNICATING STUDY RESULTS</w:t>
      </w:r>
      <w:bookmarkEnd w:id="26"/>
    </w:p>
    <w:p w14:paraId="21960871" w14:textId="1EF3E270" w:rsidR="001F3523" w:rsidRPr="0088451F" w:rsidRDefault="001F3523" w:rsidP="0088451F">
      <w:pPr>
        <w:pStyle w:val="BodyText12"/>
      </w:pPr>
      <w:r>
        <w:t>Results of study analyses will be reviewed and assessed for publication.</w:t>
      </w:r>
    </w:p>
    <w:p w14:paraId="774114A7" w14:textId="2734F9FC" w:rsidR="00E864F9" w:rsidRDefault="00E864F9" w:rsidP="00B369A6">
      <w:pPr>
        <w:pStyle w:val="Heading1"/>
        <w:numPr>
          <w:ilvl w:val="0"/>
          <w:numId w:val="35"/>
        </w:numPr>
      </w:pPr>
      <w:bookmarkStart w:id="27" w:name="_Toc518905804"/>
      <w:r>
        <w:t>references</w:t>
      </w:r>
      <w:bookmarkEnd w:id="27"/>
    </w:p>
    <w:p w14:paraId="57A191DC" w14:textId="05D68C39" w:rsidR="00AA7DA1" w:rsidRPr="00291B6D" w:rsidRDefault="00AA7DA1" w:rsidP="00AA7DA1">
      <w:pPr>
        <w:rPr>
          <w:noProof/>
          <w:sz w:val="20"/>
        </w:rPr>
      </w:pPr>
      <w:bookmarkStart w:id="28" w:name="_ENREF_1"/>
      <w:r w:rsidRPr="00291B6D">
        <w:rPr>
          <w:noProof/>
          <w:sz w:val="20"/>
        </w:rPr>
        <w:t>Singh JA et al, 2016. 2015 American College of Rheumatology guidelines for the treatment of rheumatoid arthritis. Arthritis Care &amp; Research. 68(1): 1-25.</w:t>
      </w:r>
    </w:p>
    <w:p w14:paraId="12CE1072" w14:textId="77777777" w:rsidR="00AA7DA1" w:rsidRPr="00291B6D" w:rsidRDefault="00AA7DA1" w:rsidP="00AA7DA1">
      <w:pPr>
        <w:rPr>
          <w:noProof/>
          <w:sz w:val="20"/>
        </w:rPr>
      </w:pPr>
    </w:p>
    <w:p w14:paraId="6C657697" w14:textId="05925996" w:rsidR="00AA7DA1" w:rsidRPr="00291B6D" w:rsidRDefault="00AA7DA1" w:rsidP="00AA7DA1">
      <w:pPr>
        <w:rPr>
          <w:noProof/>
          <w:sz w:val="20"/>
        </w:rPr>
      </w:pPr>
      <w:r w:rsidRPr="00291B6D">
        <w:rPr>
          <w:noProof/>
          <w:sz w:val="20"/>
        </w:rPr>
        <w:t xml:space="preserve">Bernatsky, S., et al. (2013). "Consensus statements for the use of administrative health data in rheumatic disease research and surveillance." </w:t>
      </w:r>
      <w:r w:rsidRPr="00291B6D">
        <w:rPr>
          <w:noProof/>
          <w:sz w:val="20"/>
          <w:u w:val="single"/>
        </w:rPr>
        <w:t>J Rheumatol</w:t>
      </w:r>
      <w:r w:rsidRPr="00291B6D">
        <w:rPr>
          <w:noProof/>
          <w:sz w:val="20"/>
        </w:rPr>
        <w:t xml:space="preserve"> </w:t>
      </w:r>
      <w:r w:rsidRPr="00291B6D">
        <w:rPr>
          <w:b/>
          <w:noProof/>
          <w:sz w:val="20"/>
        </w:rPr>
        <w:t>40</w:t>
      </w:r>
      <w:r w:rsidRPr="00291B6D">
        <w:rPr>
          <w:noProof/>
          <w:sz w:val="20"/>
        </w:rPr>
        <w:t>(1): 66-73.</w:t>
      </w:r>
      <w:bookmarkEnd w:id="28"/>
    </w:p>
    <w:p w14:paraId="5A837375" w14:textId="77777777" w:rsidR="00AA7DA1" w:rsidRPr="00291B6D" w:rsidRDefault="00AA7DA1" w:rsidP="00AA7DA1">
      <w:pPr>
        <w:rPr>
          <w:noProof/>
          <w:sz w:val="20"/>
        </w:rPr>
      </w:pPr>
    </w:p>
    <w:p w14:paraId="0B837E9D" w14:textId="5A432045" w:rsidR="00AA7DA1" w:rsidRPr="00291B6D" w:rsidRDefault="00AA7DA1" w:rsidP="00AA7DA1">
      <w:pPr>
        <w:rPr>
          <w:noProof/>
          <w:sz w:val="20"/>
        </w:rPr>
      </w:pPr>
      <w:bookmarkStart w:id="29" w:name="_ENREF_11"/>
      <w:r w:rsidRPr="00291B6D">
        <w:rPr>
          <w:noProof/>
          <w:sz w:val="20"/>
        </w:rPr>
        <w:t xml:space="preserve">Desai, R. J., et al. (2015). "An external validation study reporting poor correlation between the claims-based index for rheumatoid arthritis severity and the disease activity score." </w:t>
      </w:r>
      <w:r w:rsidRPr="00291B6D">
        <w:rPr>
          <w:noProof/>
          <w:sz w:val="20"/>
          <w:u w:val="single"/>
        </w:rPr>
        <w:t>Arthritis Res Ther</w:t>
      </w:r>
      <w:r w:rsidRPr="00291B6D">
        <w:rPr>
          <w:noProof/>
          <w:sz w:val="20"/>
        </w:rPr>
        <w:t xml:space="preserve"> </w:t>
      </w:r>
      <w:r w:rsidRPr="00291B6D">
        <w:rPr>
          <w:b/>
          <w:noProof/>
          <w:sz w:val="20"/>
        </w:rPr>
        <w:t>17</w:t>
      </w:r>
      <w:r w:rsidRPr="00291B6D">
        <w:rPr>
          <w:noProof/>
          <w:sz w:val="20"/>
        </w:rPr>
        <w:t>: 83.</w:t>
      </w:r>
      <w:bookmarkEnd w:id="29"/>
    </w:p>
    <w:p w14:paraId="5C39D04E" w14:textId="77777777" w:rsidR="00AA7DA1" w:rsidRPr="00291B6D" w:rsidRDefault="00AA7DA1" w:rsidP="00AA7DA1">
      <w:pPr>
        <w:rPr>
          <w:noProof/>
          <w:sz w:val="20"/>
        </w:rPr>
      </w:pPr>
    </w:p>
    <w:p w14:paraId="4E9CF4F9" w14:textId="02079110" w:rsidR="00AA7DA1" w:rsidRPr="00291B6D" w:rsidRDefault="00AA7DA1" w:rsidP="00AA7DA1">
      <w:pPr>
        <w:rPr>
          <w:noProof/>
          <w:sz w:val="20"/>
        </w:rPr>
      </w:pPr>
      <w:bookmarkStart w:id="30" w:name="_ENREF_14"/>
      <w:r w:rsidRPr="00291B6D">
        <w:rPr>
          <w:noProof/>
          <w:sz w:val="20"/>
        </w:rPr>
        <w:t xml:space="preserve">Sato, M., et al. (2006). "The validity of a rheumatoid arthritis medical records-based index of severity compared with the DAS28." </w:t>
      </w:r>
      <w:r w:rsidRPr="00291B6D">
        <w:rPr>
          <w:noProof/>
          <w:sz w:val="20"/>
          <w:u w:val="single"/>
        </w:rPr>
        <w:t>Arthritis Res Ther</w:t>
      </w:r>
      <w:r w:rsidRPr="00291B6D">
        <w:rPr>
          <w:noProof/>
          <w:sz w:val="20"/>
        </w:rPr>
        <w:t xml:space="preserve"> </w:t>
      </w:r>
      <w:r w:rsidRPr="00291B6D">
        <w:rPr>
          <w:b/>
          <w:noProof/>
          <w:sz w:val="20"/>
        </w:rPr>
        <w:t>8</w:t>
      </w:r>
      <w:r w:rsidRPr="00291B6D">
        <w:rPr>
          <w:noProof/>
          <w:sz w:val="20"/>
        </w:rPr>
        <w:t>(3): R57.</w:t>
      </w:r>
      <w:bookmarkEnd w:id="30"/>
    </w:p>
    <w:p w14:paraId="7754B5CD" w14:textId="77777777" w:rsidR="00AA7DA1" w:rsidRPr="00291B6D" w:rsidRDefault="00AA7DA1" w:rsidP="00AA7DA1">
      <w:pPr>
        <w:rPr>
          <w:noProof/>
          <w:sz w:val="20"/>
        </w:rPr>
      </w:pPr>
    </w:p>
    <w:p w14:paraId="766EC72D" w14:textId="3ABDBC93" w:rsidR="00AA7DA1" w:rsidRPr="00291B6D" w:rsidRDefault="00AA7DA1" w:rsidP="00AA7DA1">
      <w:pPr>
        <w:rPr>
          <w:noProof/>
          <w:sz w:val="20"/>
        </w:rPr>
      </w:pPr>
      <w:bookmarkStart w:id="31" w:name="_ENREF_3"/>
      <w:r w:rsidRPr="00291B6D">
        <w:rPr>
          <w:noProof/>
          <w:sz w:val="20"/>
        </w:rPr>
        <w:t xml:space="preserve">Avina-Zubieta, J. A., et al. (2011). "Risk of cerebrovascular disease associated with the use of glucocorticoids in patients with incident rheumatoid arthritis: a population-based study." </w:t>
      </w:r>
      <w:r w:rsidRPr="00291B6D">
        <w:rPr>
          <w:noProof/>
          <w:sz w:val="20"/>
          <w:u w:val="single"/>
        </w:rPr>
        <w:t>Ann Rheum Dis</w:t>
      </w:r>
      <w:r w:rsidRPr="00291B6D">
        <w:rPr>
          <w:noProof/>
          <w:sz w:val="20"/>
        </w:rPr>
        <w:t xml:space="preserve"> </w:t>
      </w:r>
      <w:r w:rsidRPr="00291B6D">
        <w:rPr>
          <w:b/>
          <w:noProof/>
          <w:sz w:val="20"/>
        </w:rPr>
        <w:t>70</w:t>
      </w:r>
      <w:r w:rsidRPr="00291B6D">
        <w:rPr>
          <w:noProof/>
          <w:sz w:val="20"/>
        </w:rPr>
        <w:t>(6): 990-995.</w:t>
      </w:r>
      <w:bookmarkEnd w:id="31"/>
    </w:p>
    <w:p w14:paraId="1BF82138" w14:textId="77777777" w:rsidR="00AA7DA1" w:rsidRPr="00291B6D" w:rsidRDefault="00AA7DA1" w:rsidP="00AA7DA1">
      <w:pPr>
        <w:rPr>
          <w:noProof/>
          <w:sz w:val="20"/>
        </w:rPr>
      </w:pPr>
    </w:p>
    <w:p w14:paraId="12DBF792" w14:textId="6DA8BF0B" w:rsidR="00AA7DA1" w:rsidRPr="00291B6D" w:rsidRDefault="00AA7DA1" w:rsidP="00AA7DA1">
      <w:pPr>
        <w:rPr>
          <w:noProof/>
          <w:sz w:val="20"/>
        </w:rPr>
      </w:pPr>
      <w:bookmarkStart w:id="32" w:name="_ENREF_8"/>
      <w:r w:rsidRPr="00291B6D">
        <w:rPr>
          <w:noProof/>
          <w:sz w:val="20"/>
        </w:rPr>
        <w:t xml:space="preserve">Widdifield, J., et al. (2013). "Serious infections in a population-based cohort of 86,039 seniors with rheumatoid arthritis." </w:t>
      </w:r>
      <w:r w:rsidRPr="00291B6D">
        <w:rPr>
          <w:noProof/>
          <w:sz w:val="20"/>
          <w:u w:val="single"/>
        </w:rPr>
        <w:t>Arthritis Care Res (Hoboken)</w:t>
      </w:r>
      <w:r w:rsidRPr="00291B6D">
        <w:rPr>
          <w:noProof/>
          <w:sz w:val="20"/>
        </w:rPr>
        <w:t xml:space="preserve"> </w:t>
      </w:r>
      <w:r w:rsidRPr="00291B6D">
        <w:rPr>
          <w:b/>
          <w:noProof/>
          <w:sz w:val="20"/>
        </w:rPr>
        <w:t>65</w:t>
      </w:r>
      <w:r w:rsidRPr="00291B6D">
        <w:rPr>
          <w:noProof/>
          <w:sz w:val="20"/>
        </w:rPr>
        <w:t>(3): 353-361.</w:t>
      </w:r>
      <w:bookmarkEnd w:id="32"/>
    </w:p>
    <w:p w14:paraId="7DB5EB26" w14:textId="77777777" w:rsidR="00AA7DA1" w:rsidRPr="00291B6D" w:rsidRDefault="00AA7DA1" w:rsidP="00AA7DA1">
      <w:pPr>
        <w:rPr>
          <w:noProof/>
          <w:sz w:val="20"/>
        </w:rPr>
      </w:pPr>
    </w:p>
    <w:p w14:paraId="1BB55703" w14:textId="28E6073B" w:rsidR="00AA7DA1" w:rsidRPr="00291B6D" w:rsidRDefault="00AA7DA1" w:rsidP="00AA7DA1">
      <w:pPr>
        <w:rPr>
          <w:noProof/>
          <w:sz w:val="20"/>
        </w:rPr>
      </w:pPr>
      <w:bookmarkStart w:id="33" w:name="_ENREF_9"/>
      <w:r w:rsidRPr="00291B6D">
        <w:rPr>
          <w:noProof/>
          <w:sz w:val="20"/>
        </w:rPr>
        <w:t xml:space="preserve">McBride, S., et al. (2011). "Biologic disease-modifying drug treatment patterns and associated costs for patients with rheumatoid Arthritis." </w:t>
      </w:r>
      <w:r w:rsidRPr="00291B6D">
        <w:rPr>
          <w:noProof/>
          <w:sz w:val="20"/>
          <w:u w:val="single"/>
        </w:rPr>
        <w:t>J Rheumatol</w:t>
      </w:r>
      <w:r w:rsidRPr="00291B6D">
        <w:rPr>
          <w:noProof/>
          <w:sz w:val="20"/>
        </w:rPr>
        <w:t xml:space="preserve"> </w:t>
      </w:r>
      <w:r w:rsidRPr="00291B6D">
        <w:rPr>
          <w:b/>
          <w:noProof/>
          <w:sz w:val="20"/>
        </w:rPr>
        <w:t>38</w:t>
      </w:r>
      <w:r w:rsidRPr="00291B6D">
        <w:rPr>
          <w:noProof/>
          <w:sz w:val="20"/>
        </w:rPr>
        <w:t>(10): 2141-2149.</w:t>
      </w:r>
      <w:bookmarkEnd w:id="33"/>
    </w:p>
    <w:p w14:paraId="1BB03B4D" w14:textId="77777777" w:rsidR="00AA7DA1" w:rsidRPr="00291B6D" w:rsidRDefault="00AA7DA1" w:rsidP="00AA7DA1">
      <w:pPr>
        <w:rPr>
          <w:noProof/>
          <w:sz w:val="20"/>
        </w:rPr>
      </w:pPr>
    </w:p>
    <w:p w14:paraId="16D7BFB2" w14:textId="03833BD3" w:rsidR="00AA7DA1" w:rsidRPr="00291B6D" w:rsidRDefault="00AA7DA1" w:rsidP="00AA7DA1">
      <w:pPr>
        <w:rPr>
          <w:noProof/>
          <w:sz w:val="20"/>
        </w:rPr>
      </w:pPr>
      <w:bookmarkStart w:id="34" w:name="_ENREF_10"/>
      <w:r w:rsidRPr="00291B6D">
        <w:rPr>
          <w:noProof/>
          <w:sz w:val="20"/>
        </w:rPr>
        <w:t xml:space="preserve">Ting, G., et al. (2005). "Performance of a rheumatoid arthritis records-based index of severity." </w:t>
      </w:r>
      <w:r w:rsidRPr="00291B6D">
        <w:rPr>
          <w:noProof/>
          <w:sz w:val="20"/>
          <w:u w:val="single"/>
        </w:rPr>
        <w:t>J Rheumatol</w:t>
      </w:r>
      <w:r w:rsidRPr="00291B6D">
        <w:rPr>
          <w:noProof/>
          <w:sz w:val="20"/>
        </w:rPr>
        <w:t xml:space="preserve"> </w:t>
      </w:r>
      <w:r w:rsidRPr="00291B6D">
        <w:rPr>
          <w:b/>
          <w:noProof/>
          <w:sz w:val="20"/>
        </w:rPr>
        <w:t>32</w:t>
      </w:r>
      <w:r w:rsidRPr="00291B6D">
        <w:rPr>
          <w:noProof/>
          <w:sz w:val="20"/>
        </w:rPr>
        <w:t>(9): 1679-1687.</w:t>
      </w:r>
      <w:bookmarkEnd w:id="34"/>
    </w:p>
    <w:p w14:paraId="5C9AB8E2" w14:textId="77777777" w:rsidR="00AA7DA1" w:rsidRPr="00291B6D" w:rsidRDefault="00AA7DA1" w:rsidP="00AA7DA1">
      <w:pPr>
        <w:rPr>
          <w:noProof/>
          <w:sz w:val="20"/>
        </w:rPr>
      </w:pPr>
    </w:p>
    <w:p w14:paraId="6DE1CC94" w14:textId="1F24F119" w:rsidR="00AA7DA1" w:rsidRPr="00291B6D" w:rsidRDefault="00AA7DA1" w:rsidP="00AA7DA1">
      <w:pPr>
        <w:rPr>
          <w:noProof/>
          <w:sz w:val="20"/>
        </w:rPr>
      </w:pPr>
      <w:bookmarkStart w:id="35" w:name="_ENREF_15"/>
      <w:r w:rsidRPr="00291B6D">
        <w:rPr>
          <w:noProof/>
          <w:sz w:val="20"/>
        </w:rPr>
        <w:t xml:space="preserve">Baser, O., et al. (2012). "Derivation of severity index for rheumatoid arthritis and its association with healthcare outcomes." </w:t>
      </w:r>
      <w:r w:rsidRPr="00291B6D">
        <w:rPr>
          <w:noProof/>
          <w:sz w:val="20"/>
          <w:u w:val="single"/>
        </w:rPr>
        <w:t>J Med Econ</w:t>
      </w:r>
      <w:r w:rsidRPr="00291B6D">
        <w:rPr>
          <w:noProof/>
          <w:sz w:val="20"/>
        </w:rPr>
        <w:t xml:space="preserve"> </w:t>
      </w:r>
      <w:r w:rsidRPr="00291B6D">
        <w:rPr>
          <w:b/>
          <w:noProof/>
          <w:sz w:val="20"/>
        </w:rPr>
        <w:t>15</w:t>
      </w:r>
      <w:r w:rsidRPr="00291B6D">
        <w:rPr>
          <w:noProof/>
          <w:sz w:val="20"/>
        </w:rPr>
        <w:t>(5): 918-924.</w:t>
      </w:r>
      <w:bookmarkEnd w:id="35"/>
    </w:p>
    <w:p w14:paraId="6741FFDB" w14:textId="77777777" w:rsidR="00AA7DA1" w:rsidRPr="00291B6D" w:rsidRDefault="00AA7DA1" w:rsidP="00AA7DA1">
      <w:pPr>
        <w:rPr>
          <w:noProof/>
          <w:sz w:val="20"/>
        </w:rPr>
      </w:pPr>
    </w:p>
    <w:p w14:paraId="0A723D75" w14:textId="77777777" w:rsidR="00AA7DA1" w:rsidRPr="00291B6D" w:rsidRDefault="00AA7DA1" w:rsidP="00AA7DA1">
      <w:pPr>
        <w:rPr>
          <w:sz w:val="20"/>
        </w:rPr>
      </w:pPr>
      <w:bookmarkStart w:id="36" w:name="_ENREF_16"/>
      <w:r w:rsidRPr="00291B6D">
        <w:rPr>
          <w:noProof/>
          <w:sz w:val="20"/>
        </w:rPr>
        <w:t xml:space="preserve">Baser, O., et al. (2015). "Impact of Switching From an Initial Tumor Necrosis Factor Inhibitor on Health Care Resource Utilization and Costs Among Patients With Rheumatoid Arthritis." </w:t>
      </w:r>
      <w:r w:rsidRPr="00291B6D">
        <w:rPr>
          <w:noProof/>
          <w:sz w:val="20"/>
          <w:u w:val="single"/>
        </w:rPr>
        <w:t>Clin Ther</w:t>
      </w:r>
      <w:r w:rsidRPr="00291B6D">
        <w:rPr>
          <w:noProof/>
          <w:sz w:val="20"/>
        </w:rPr>
        <w:t xml:space="preserve"> </w:t>
      </w:r>
      <w:r w:rsidRPr="00291B6D">
        <w:rPr>
          <w:b/>
          <w:noProof/>
          <w:sz w:val="20"/>
        </w:rPr>
        <w:t>37</w:t>
      </w:r>
      <w:r w:rsidRPr="00291B6D">
        <w:rPr>
          <w:noProof/>
          <w:sz w:val="20"/>
        </w:rPr>
        <w:t>(7): 1454-1465.</w:t>
      </w:r>
      <w:bookmarkEnd w:id="36"/>
    </w:p>
    <w:p w14:paraId="774114AA" w14:textId="77777777" w:rsidR="00E864F9" w:rsidRPr="00291B6D" w:rsidRDefault="00E864F9" w:rsidP="00E864F9">
      <w:pPr>
        <w:pStyle w:val="Basic11"/>
      </w:pPr>
    </w:p>
    <w:p w14:paraId="774114B4" w14:textId="77777777" w:rsidR="00BC78F6" w:rsidRDefault="00BC78F6" w:rsidP="00E864F9">
      <w:pPr>
        <w:pStyle w:val="BodyText12"/>
      </w:pPr>
    </w:p>
    <w:p w14:paraId="774114B5" w14:textId="1B16797B" w:rsidR="00E864F9" w:rsidRDefault="00E864F9" w:rsidP="00B369A6">
      <w:pPr>
        <w:pStyle w:val="Heading1"/>
        <w:numPr>
          <w:ilvl w:val="0"/>
          <w:numId w:val="35"/>
        </w:numPr>
      </w:pPr>
      <w:bookmarkStart w:id="37" w:name="_Toc518905805"/>
      <w:r>
        <w:t>ANNEX</w:t>
      </w:r>
      <w:r w:rsidR="003D110D">
        <w:t>:</w:t>
      </w:r>
      <w:r>
        <w:t xml:space="preserve"> LIST OF STAND-ALONE DOCUMENTS</w:t>
      </w:r>
      <w:bookmarkEnd w:id="37"/>
    </w:p>
    <w:p w14:paraId="774114B8" w14:textId="77777777" w:rsidR="00E864F9" w:rsidRDefault="00E864F9" w:rsidP="00E864F9">
      <w:pPr>
        <w:pStyle w:val="BodyText12"/>
      </w:pPr>
    </w:p>
    <w:p w14:paraId="5A58B130" w14:textId="77777777" w:rsidR="00D41932" w:rsidRDefault="00D41932" w:rsidP="00D41932">
      <w:pPr>
        <w:pStyle w:val="BodyText12"/>
      </w:pPr>
    </w:p>
    <w:p w14:paraId="0AF35F67" w14:textId="01D41688" w:rsidR="00844CDA" w:rsidRDefault="00B369A6" w:rsidP="00B369A6">
      <w:pPr>
        <w:pStyle w:val="Heading2"/>
        <w:numPr>
          <w:ilvl w:val="1"/>
          <w:numId w:val="36"/>
        </w:numPr>
      </w:pPr>
      <w:bookmarkStart w:id="38" w:name="_Toc518905806"/>
      <w:r>
        <w:lastRenderedPageBreak/>
        <w:t>Annex 1</w:t>
      </w:r>
      <w:r w:rsidR="00D41932" w:rsidRPr="00D41932">
        <w:t xml:space="preserve">: </w:t>
      </w:r>
      <w:r w:rsidR="00844CDA">
        <w:t>List of studies using surrogates of disease activity in large administrative health databases and validation findings if available</w:t>
      </w:r>
      <w:bookmarkEnd w:id="38"/>
    </w:p>
    <w:tbl>
      <w:tblPr>
        <w:tblStyle w:val="LightList-Accent1"/>
        <w:tblW w:w="49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1787"/>
        <w:gridCol w:w="2966"/>
        <w:gridCol w:w="3002"/>
      </w:tblGrid>
      <w:tr w:rsidR="00844CDA" w:rsidRPr="00F75B08" w14:paraId="657E0A88" w14:textId="77777777" w:rsidTr="00844CDA">
        <w:trPr>
          <w:cnfStyle w:val="100000000000" w:firstRow="1" w:lastRow="0" w:firstColumn="0" w:lastColumn="0" w:oddVBand="0" w:evenVBand="0" w:oddHBand="0" w:evenHBand="0" w:firstRowFirstColumn="0" w:firstRowLastColumn="0" w:lastRowFirstColumn="0" w:lastRowLastColumn="0"/>
          <w:cantSplit/>
          <w:trHeight w:val="1134"/>
          <w:tblHeader/>
        </w:trPr>
        <w:tc>
          <w:tcPr>
            <w:cnfStyle w:val="001000000000" w:firstRow="0" w:lastRow="0" w:firstColumn="1" w:lastColumn="0" w:oddVBand="0" w:evenVBand="0" w:oddHBand="0" w:evenHBand="0" w:firstRowFirstColumn="0" w:firstRowLastColumn="0" w:lastRowFirstColumn="0" w:lastRowLastColumn="0"/>
            <w:tcW w:w="1432" w:type="dxa"/>
            <w:shd w:val="clear" w:color="auto" w:fill="E5DFEC" w:themeFill="accent4" w:themeFillTint="33"/>
            <w:noWrap/>
            <w:hideMark/>
          </w:tcPr>
          <w:p w14:paraId="359FAA8A"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1st author, year</w:t>
            </w:r>
          </w:p>
        </w:tc>
        <w:tc>
          <w:tcPr>
            <w:tcW w:w="1787" w:type="dxa"/>
            <w:shd w:val="clear" w:color="auto" w:fill="E5DFEC" w:themeFill="accent4" w:themeFillTint="33"/>
            <w:noWrap/>
            <w:hideMark/>
          </w:tcPr>
          <w:p w14:paraId="495E4BD8" w14:textId="77777777" w:rsidR="00844CDA" w:rsidRPr="00F75B08" w:rsidRDefault="00844CDA" w:rsidP="00844CD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Data source</w:t>
            </w:r>
          </w:p>
        </w:tc>
        <w:tc>
          <w:tcPr>
            <w:tcW w:w="2966" w:type="dxa"/>
            <w:shd w:val="clear" w:color="auto" w:fill="E5DFEC" w:themeFill="accent4" w:themeFillTint="33"/>
            <w:noWrap/>
            <w:hideMark/>
          </w:tcPr>
          <w:p w14:paraId="419083E5" w14:textId="77777777" w:rsidR="00844CDA" w:rsidRPr="00F75B08" w:rsidRDefault="00844CDA" w:rsidP="00844CD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Surrogates used for disease activity/severity </w:t>
            </w:r>
          </w:p>
        </w:tc>
        <w:tc>
          <w:tcPr>
            <w:tcW w:w="3002" w:type="dxa"/>
            <w:shd w:val="clear" w:color="auto" w:fill="E5DFEC" w:themeFill="accent4" w:themeFillTint="33"/>
            <w:noWrap/>
            <w:hideMark/>
          </w:tcPr>
          <w:p w14:paraId="6020CDA5" w14:textId="77777777" w:rsidR="00844CDA" w:rsidRPr="00F75B08" w:rsidRDefault="00844CDA" w:rsidP="00844CD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Any validation of index </w:t>
            </w:r>
          </w:p>
        </w:tc>
      </w:tr>
      <w:tr w:rsidR="00844CDA" w:rsidRPr="00F75B08" w14:paraId="16FE4325"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noWrap/>
          </w:tcPr>
          <w:p w14:paraId="2F66EA36"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Desai 2015</w:t>
            </w:r>
          </w:p>
        </w:tc>
        <w:tc>
          <w:tcPr>
            <w:tcW w:w="1787" w:type="dxa"/>
            <w:noWrap/>
          </w:tcPr>
          <w:p w14:paraId="1A33D530"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FF0000"/>
                <w:sz w:val="20"/>
                <w:szCs w:val="20"/>
              </w:rPr>
              <w:t>Linked</w:t>
            </w:r>
            <w:r w:rsidRPr="00F75B08">
              <w:rPr>
                <w:rFonts w:ascii="Arial" w:eastAsia="Times New Roman" w:hAnsi="Arial" w:cs="Arial"/>
                <w:color w:val="000000"/>
                <w:sz w:val="20"/>
                <w:szCs w:val="20"/>
              </w:rPr>
              <w:t xml:space="preserve"> BRASS (RA study from Brigham’s that collected DAS28-CRP and HAQ)) &amp; Medicare</w:t>
            </w:r>
          </w:p>
        </w:tc>
        <w:tc>
          <w:tcPr>
            <w:tcW w:w="2966" w:type="dxa"/>
            <w:noWrap/>
          </w:tcPr>
          <w:p w14:paraId="5186556C" w14:textId="77777777" w:rsidR="00844CDA"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CIRAS </w:t>
            </w:r>
            <w:r>
              <w:rPr>
                <w:rFonts w:ascii="Arial" w:eastAsia="Times New Roman" w:hAnsi="Arial" w:cs="Arial"/>
                <w:color w:val="000000"/>
                <w:sz w:val="20"/>
                <w:szCs w:val="20"/>
              </w:rPr>
              <w:t>index:</w:t>
            </w:r>
          </w:p>
          <w:p w14:paraId="2987F8E9"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Rheumatology visits</w:t>
            </w:r>
            <w:r w:rsidRPr="00F75B08">
              <w:rPr>
                <w:rFonts w:ascii="Arial" w:eastAsia="Times New Roman" w:hAnsi="Arial" w:cs="Arial"/>
                <w:color w:val="000000"/>
                <w:sz w:val="20"/>
                <w:szCs w:val="20"/>
              </w:rPr>
              <w:br/>
              <w:t>rehab visits</w:t>
            </w:r>
            <w:r w:rsidRPr="00F75B08">
              <w:rPr>
                <w:rFonts w:ascii="Arial" w:eastAsia="Times New Roman" w:hAnsi="Arial" w:cs="Arial"/>
                <w:color w:val="000000"/>
                <w:sz w:val="20"/>
                <w:szCs w:val="20"/>
              </w:rPr>
              <w:br/>
              <w:t>x-ray</w:t>
            </w:r>
            <w:r w:rsidRPr="00F75B08">
              <w:rPr>
                <w:rFonts w:ascii="Arial" w:eastAsia="Times New Roman" w:hAnsi="Arial" w:cs="Arial"/>
                <w:color w:val="000000"/>
                <w:sz w:val="20"/>
                <w:szCs w:val="20"/>
              </w:rPr>
              <w:br/>
              <w:t>rheumatoid lung involvement</w:t>
            </w:r>
            <w:r w:rsidRPr="00F75B08">
              <w:rPr>
                <w:rFonts w:ascii="Arial" w:eastAsia="Times New Roman" w:hAnsi="Arial" w:cs="Arial"/>
                <w:color w:val="000000"/>
                <w:sz w:val="20"/>
                <w:szCs w:val="20"/>
              </w:rPr>
              <w:br/>
            </w:r>
            <w:proofErr w:type="spellStart"/>
            <w:r w:rsidRPr="00F75B08">
              <w:rPr>
                <w:rFonts w:ascii="Arial" w:eastAsia="Times New Roman" w:hAnsi="Arial" w:cs="Arial"/>
                <w:color w:val="000000"/>
                <w:sz w:val="20"/>
                <w:szCs w:val="20"/>
              </w:rPr>
              <w:t>Felty's</w:t>
            </w:r>
            <w:proofErr w:type="spellEnd"/>
            <w:r w:rsidRPr="00F75B08">
              <w:rPr>
                <w:rFonts w:ascii="Arial" w:eastAsia="Times New Roman" w:hAnsi="Arial" w:cs="Arial"/>
                <w:color w:val="000000"/>
                <w:sz w:val="20"/>
                <w:szCs w:val="20"/>
              </w:rPr>
              <w:t xml:space="preserve"> syndrome</w:t>
            </w:r>
            <w:r w:rsidRPr="00F75B08">
              <w:rPr>
                <w:rFonts w:ascii="Arial" w:eastAsia="Times New Roman" w:hAnsi="Arial" w:cs="Arial"/>
                <w:color w:val="000000"/>
                <w:sz w:val="20"/>
                <w:szCs w:val="20"/>
              </w:rPr>
              <w:br/>
              <w:t>hand surgery</w:t>
            </w:r>
            <w:r w:rsidRPr="00F75B08">
              <w:rPr>
                <w:rFonts w:ascii="Arial" w:eastAsia="Times New Roman" w:hAnsi="Arial" w:cs="Arial"/>
                <w:color w:val="000000"/>
                <w:sz w:val="20"/>
                <w:szCs w:val="20"/>
              </w:rPr>
              <w:br/>
              <w:t># inflammatory marker tests</w:t>
            </w:r>
            <w:r w:rsidRPr="00F75B08">
              <w:rPr>
                <w:rFonts w:ascii="Arial" w:eastAsia="Times New Roman" w:hAnsi="Arial" w:cs="Arial"/>
                <w:color w:val="000000"/>
                <w:sz w:val="20"/>
                <w:szCs w:val="20"/>
              </w:rPr>
              <w:br/>
              <w:t>rheumatoid factor test</w:t>
            </w:r>
            <w:r w:rsidRPr="00F75B08">
              <w:rPr>
                <w:rFonts w:ascii="Arial" w:eastAsia="Times New Roman" w:hAnsi="Arial" w:cs="Arial"/>
                <w:color w:val="000000"/>
                <w:sz w:val="20"/>
                <w:szCs w:val="20"/>
              </w:rPr>
              <w:br/>
              <w:t># platelet counts</w:t>
            </w:r>
            <w:r w:rsidRPr="00F75B08">
              <w:rPr>
                <w:rFonts w:ascii="Arial" w:eastAsia="Times New Roman" w:hAnsi="Arial" w:cs="Arial"/>
                <w:color w:val="000000"/>
                <w:sz w:val="20"/>
                <w:szCs w:val="20"/>
              </w:rPr>
              <w:br/>
              <w:t># chemistry panels</w:t>
            </w:r>
            <w:r w:rsidRPr="00F75B08">
              <w:rPr>
                <w:rFonts w:ascii="Arial" w:eastAsia="Times New Roman" w:hAnsi="Arial" w:cs="Arial"/>
                <w:color w:val="000000"/>
                <w:sz w:val="20"/>
                <w:szCs w:val="20"/>
              </w:rPr>
              <w:br/>
              <w:t>medication count</w:t>
            </w:r>
          </w:p>
        </w:tc>
        <w:tc>
          <w:tcPr>
            <w:tcW w:w="3002" w:type="dxa"/>
          </w:tcPr>
          <w:p w14:paraId="6064D2F7"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hAnsi="Arial" w:cs="Arial"/>
                <w:sz w:val="20"/>
                <w:szCs w:val="20"/>
              </w:rPr>
              <w:t>correlation between CIRAS and DAS28-CRP was low (Pearson r=0.07), and the correlation between calculated CIRAS and MD-HAQ physical function score was also low (Pearson r=0.08).</w:t>
            </w:r>
          </w:p>
        </w:tc>
      </w:tr>
      <w:tr w:rsidR="00844CDA" w:rsidRPr="00F75B08" w14:paraId="3F79BE58" w14:textId="77777777" w:rsidTr="00844CDA">
        <w:trPr>
          <w:cantSplit/>
          <w:trHeight w:val="300"/>
        </w:trPr>
        <w:tc>
          <w:tcPr>
            <w:cnfStyle w:val="001000000000" w:firstRow="0" w:lastRow="0" w:firstColumn="1" w:lastColumn="0" w:oddVBand="0" w:evenVBand="0" w:oddHBand="0" w:evenHBand="0" w:firstRowFirstColumn="0" w:firstRowLastColumn="0" w:lastRowFirstColumn="0" w:lastRowLastColumn="0"/>
            <w:tcW w:w="1432" w:type="dxa"/>
            <w:noWrap/>
          </w:tcPr>
          <w:p w14:paraId="3362AE1F"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Sato 2006</w:t>
            </w:r>
          </w:p>
        </w:tc>
        <w:tc>
          <w:tcPr>
            <w:tcW w:w="1787" w:type="dxa"/>
            <w:noWrap/>
          </w:tcPr>
          <w:p w14:paraId="6BBEA045"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rPr>
            </w:pPr>
            <w:r w:rsidRPr="00FA4224">
              <w:rPr>
                <w:rFonts w:ascii="Arial" w:eastAsia="Times New Roman" w:hAnsi="Arial" w:cs="Arial"/>
                <w:color w:val="FF0000"/>
                <w:sz w:val="20"/>
                <w:szCs w:val="20"/>
              </w:rPr>
              <w:t xml:space="preserve">Linked </w:t>
            </w:r>
            <w:r w:rsidRPr="00F75B08">
              <w:rPr>
                <w:rFonts w:ascii="Arial" w:eastAsia="Times New Roman" w:hAnsi="Arial" w:cs="Arial"/>
                <w:color w:val="000000"/>
                <w:sz w:val="20"/>
                <w:szCs w:val="20"/>
              </w:rPr>
              <w:t>BRASS &amp; Medicare</w:t>
            </w:r>
          </w:p>
        </w:tc>
        <w:tc>
          <w:tcPr>
            <w:tcW w:w="2966" w:type="dxa"/>
            <w:noWrap/>
          </w:tcPr>
          <w:p w14:paraId="0B175C13"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RARBIS </w:t>
            </w:r>
          </w:p>
          <w:p w14:paraId="1A33F2B0"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hAnsi="Arial" w:cs="Arial"/>
                <w:sz w:val="20"/>
                <w:szCs w:val="20"/>
              </w:rPr>
              <w:t>RARBIS is an RA severity score using information from medical records, including: prior surgical history, radiologic findings, laboratory findings, clinical and functional status and extra-articular manifestations, with prior surgical and radiologic subscales given higher weights in the total RARBIS score</w:t>
            </w:r>
          </w:p>
        </w:tc>
        <w:tc>
          <w:tcPr>
            <w:tcW w:w="3002" w:type="dxa"/>
          </w:tcPr>
          <w:p w14:paraId="55F1FCBD"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5B08">
              <w:rPr>
                <w:rFonts w:ascii="Arial" w:eastAsia="Times New Roman" w:hAnsi="Arial" w:cs="Arial"/>
                <w:color w:val="000000"/>
                <w:sz w:val="20"/>
                <w:szCs w:val="20"/>
              </w:rPr>
              <w:t>RARBIS was moderately correlated with the DAS28 (r = 0.41, 95% CI 0.23–0.56)</w:t>
            </w:r>
            <w:r w:rsidRPr="00F75B08">
              <w:rPr>
                <w:rFonts w:ascii="Arial" w:eastAsia="Times New Roman" w:hAnsi="Arial" w:cs="Arial"/>
                <w:color w:val="000000"/>
                <w:sz w:val="20"/>
                <w:szCs w:val="20"/>
              </w:rPr>
              <w:br/>
              <w:t>Clinical subscale r=0.42 (0.24 – 0.57)</w:t>
            </w:r>
            <w:r w:rsidRPr="00F75B08">
              <w:rPr>
                <w:rFonts w:ascii="Arial" w:eastAsia="Times New Roman" w:hAnsi="Arial" w:cs="Arial"/>
                <w:color w:val="000000"/>
                <w:sz w:val="20"/>
                <w:szCs w:val="20"/>
              </w:rPr>
              <w:br/>
              <w:t>Total score with medication: r= 0.33 (0.14 – 0.49)</w:t>
            </w:r>
            <w:r w:rsidRPr="00F75B08">
              <w:rPr>
                <w:rFonts w:ascii="Arial" w:eastAsia="Times New Roman" w:hAnsi="Arial" w:cs="Arial"/>
                <w:color w:val="000000"/>
                <w:sz w:val="20"/>
                <w:szCs w:val="20"/>
              </w:rPr>
              <w:br/>
              <w:t>x-ray subscale: r= 0.34 (0.15 – 0.50)</w:t>
            </w:r>
          </w:p>
        </w:tc>
      </w:tr>
      <w:tr w:rsidR="00844CDA" w:rsidRPr="00F75B08" w14:paraId="3DA27FFC"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val="restart"/>
            <w:noWrap/>
            <w:hideMark/>
          </w:tcPr>
          <w:p w14:paraId="3C880E16" w14:textId="77777777" w:rsidR="00844CDA" w:rsidRPr="00F75B08" w:rsidRDefault="00844CDA" w:rsidP="00844CDA">
            <w:pPr>
              <w:rPr>
                <w:rFonts w:ascii="Arial" w:eastAsia="Times New Roman" w:hAnsi="Arial" w:cs="Arial"/>
                <w:color w:val="000000"/>
                <w:sz w:val="20"/>
                <w:szCs w:val="20"/>
              </w:rPr>
            </w:pPr>
            <w:proofErr w:type="spellStart"/>
            <w:r w:rsidRPr="00F75B08">
              <w:rPr>
                <w:rFonts w:ascii="Arial" w:eastAsia="Times New Roman" w:hAnsi="Arial" w:cs="Arial"/>
                <w:color w:val="000000"/>
                <w:sz w:val="20"/>
                <w:szCs w:val="20"/>
              </w:rPr>
              <w:t>Avina-Zubieta</w:t>
            </w:r>
            <w:proofErr w:type="spellEnd"/>
            <w:r w:rsidRPr="00F75B08">
              <w:rPr>
                <w:rFonts w:ascii="Arial" w:eastAsia="Times New Roman" w:hAnsi="Arial" w:cs="Arial"/>
                <w:color w:val="000000"/>
                <w:sz w:val="20"/>
                <w:szCs w:val="20"/>
              </w:rPr>
              <w:t xml:space="preserve"> 2011</w:t>
            </w:r>
          </w:p>
        </w:tc>
        <w:tc>
          <w:tcPr>
            <w:tcW w:w="1787" w:type="dxa"/>
            <w:vMerge w:val="restart"/>
            <w:noWrap/>
            <w:hideMark/>
          </w:tcPr>
          <w:p w14:paraId="4A912CD8"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Canadian Ministry of Health databases</w:t>
            </w:r>
          </w:p>
        </w:tc>
        <w:tc>
          <w:tcPr>
            <w:tcW w:w="2966" w:type="dxa"/>
            <w:noWrap/>
            <w:hideMark/>
          </w:tcPr>
          <w:p w14:paraId="3E7245EB"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ever visited a rheumatologist for RA</w:t>
            </w:r>
          </w:p>
          <w:p w14:paraId="40F10DFB"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visits for RA visits to family doctors &amp; all visits to rheumatologists for each person-year of f/u</w:t>
            </w:r>
          </w:p>
          <w:p w14:paraId="7AB22634"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DMARD use</w:t>
            </w:r>
          </w:p>
        </w:tc>
        <w:tc>
          <w:tcPr>
            <w:tcW w:w="3002" w:type="dxa"/>
            <w:vMerge w:val="restart"/>
            <w:hideMark/>
          </w:tcPr>
          <w:p w14:paraId="1F7098CC"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PS modeling used; Authors </w:t>
            </w:r>
            <w:r>
              <w:rPr>
                <w:rFonts w:ascii="Arial" w:eastAsia="Times New Roman" w:hAnsi="Arial" w:cs="Arial"/>
                <w:color w:val="000000"/>
                <w:sz w:val="20"/>
                <w:szCs w:val="20"/>
              </w:rPr>
              <w:t>proposed</w:t>
            </w:r>
            <w:r w:rsidRPr="00F75B08">
              <w:rPr>
                <w:rFonts w:ascii="Arial" w:eastAsia="Times New Roman" w:hAnsi="Arial" w:cs="Arial"/>
                <w:color w:val="000000"/>
                <w:sz w:val="20"/>
                <w:szCs w:val="20"/>
              </w:rPr>
              <w:t xml:space="preserve"> that patients with at least one visit to a rheumatologist, patients with more doctor visits per person-year of follow-up and patients with a higher DMARD ranking were those with more severe disease </w:t>
            </w:r>
          </w:p>
        </w:tc>
      </w:tr>
      <w:tr w:rsidR="00844CDA" w:rsidRPr="00F75B08" w14:paraId="3FC0BDF4" w14:textId="77777777" w:rsidTr="00844CDA">
        <w:trPr>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1E14B107"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1AD82227"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966" w:type="dxa"/>
            <w:noWrap/>
            <w:hideMark/>
          </w:tcPr>
          <w:p w14:paraId="70A2E604"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3002" w:type="dxa"/>
            <w:vMerge/>
            <w:hideMark/>
          </w:tcPr>
          <w:p w14:paraId="345F1BF8"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844CDA" w:rsidRPr="00F75B08" w14:paraId="5B5F9276" w14:textId="77777777" w:rsidTr="00844CDA">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604410B5"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2E41CC24"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2966" w:type="dxa"/>
            <w:hideMark/>
          </w:tcPr>
          <w:p w14:paraId="2D41597F"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DMARD use categorized as ordinal variable - highest rank of:</w:t>
            </w:r>
            <w:r w:rsidRPr="00F75B08">
              <w:rPr>
                <w:rFonts w:ascii="Arial" w:eastAsia="Times New Roman" w:hAnsi="Arial" w:cs="Arial"/>
                <w:color w:val="000000"/>
                <w:sz w:val="20"/>
                <w:szCs w:val="20"/>
              </w:rPr>
              <w:br/>
              <w:t xml:space="preserve">1: no-DMARD </w:t>
            </w:r>
            <w:proofErr w:type="gramStart"/>
            <w:r w:rsidRPr="00F75B08">
              <w:rPr>
                <w:rFonts w:ascii="Arial" w:eastAsia="Times New Roman" w:hAnsi="Arial" w:cs="Arial"/>
                <w:color w:val="000000"/>
                <w:sz w:val="20"/>
                <w:szCs w:val="20"/>
              </w:rPr>
              <w:t>use ;</w:t>
            </w:r>
            <w:proofErr w:type="gramEnd"/>
            <w:r w:rsidRPr="00F75B08">
              <w:rPr>
                <w:rFonts w:ascii="Arial" w:eastAsia="Times New Roman" w:hAnsi="Arial" w:cs="Arial"/>
                <w:color w:val="000000"/>
                <w:sz w:val="20"/>
                <w:szCs w:val="20"/>
              </w:rPr>
              <w:t xml:space="preserve"> </w:t>
            </w:r>
            <w:r w:rsidRPr="00F75B08">
              <w:rPr>
                <w:rFonts w:ascii="Arial" w:eastAsia="Times New Roman" w:hAnsi="Arial" w:cs="Arial"/>
                <w:color w:val="000000"/>
                <w:sz w:val="20"/>
                <w:szCs w:val="20"/>
              </w:rPr>
              <w:br/>
              <w:t xml:space="preserve">2: sulfasalazine and antimalarial agents </w:t>
            </w:r>
            <w:r w:rsidRPr="00F75B08">
              <w:rPr>
                <w:rFonts w:ascii="Arial" w:eastAsia="Times New Roman" w:hAnsi="Arial" w:cs="Arial"/>
                <w:color w:val="000000"/>
                <w:sz w:val="20"/>
                <w:szCs w:val="20"/>
              </w:rPr>
              <w:br/>
              <w:t>3: methotrexate or intramuscular gold</w:t>
            </w:r>
            <w:r w:rsidRPr="00F75B08">
              <w:rPr>
                <w:rFonts w:ascii="Arial" w:eastAsia="Times New Roman" w:hAnsi="Arial" w:cs="Arial"/>
                <w:color w:val="000000"/>
                <w:sz w:val="20"/>
                <w:szCs w:val="20"/>
              </w:rPr>
              <w:br/>
              <w:t xml:space="preserve">4: leflunomide, ciclosporin A, azathioprine, cyclophosphamide, chlorambucil or mycophenolate mofetil </w:t>
            </w:r>
            <w:r w:rsidRPr="00F75B08">
              <w:rPr>
                <w:rFonts w:ascii="Arial" w:eastAsia="Times New Roman" w:hAnsi="Arial" w:cs="Arial"/>
                <w:color w:val="000000"/>
                <w:sz w:val="20"/>
                <w:szCs w:val="20"/>
              </w:rPr>
              <w:br/>
              <w:t xml:space="preserve">5: biological agents </w:t>
            </w:r>
          </w:p>
        </w:tc>
        <w:tc>
          <w:tcPr>
            <w:tcW w:w="3002" w:type="dxa"/>
            <w:vMerge/>
            <w:hideMark/>
          </w:tcPr>
          <w:p w14:paraId="3F131D80"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r w:rsidR="00844CDA" w:rsidRPr="00F75B08" w14:paraId="41B15225" w14:textId="77777777" w:rsidTr="00844CDA">
        <w:trPr>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val="restart"/>
            <w:noWrap/>
            <w:hideMark/>
          </w:tcPr>
          <w:p w14:paraId="7C82A656" w14:textId="77777777" w:rsidR="00844CDA" w:rsidRPr="00F75B08" w:rsidRDefault="00844CDA" w:rsidP="00844CDA">
            <w:pPr>
              <w:rPr>
                <w:rFonts w:ascii="Arial" w:eastAsia="Times New Roman" w:hAnsi="Arial" w:cs="Arial"/>
                <w:color w:val="000000"/>
                <w:sz w:val="20"/>
                <w:szCs w:val="20"/>
              </w:rPr>
            </w:pPr>
            <w:proofErr w:type="spellStart"/>
            <w:r w:rsidRPr="00F75B08">
              <w:rPr>
                <w:rFonts w:ascii="Arial" w:eastAsia="Times New Roman" w:hAnsi="Arial" w:cs="Arial"/>
                <w:color w:val="000000"/>
                <w:sz w:val="20"/>
                <w:szCs w:val="20"/>
              </w:rPr>
              <w:lastRenderedPageBreak/>
              <w:t>Widdifield</w:t>
            </w:r>
            <w:proofErr w:type="spellEnd"/>
            <w:r w:rsidRPr="00F75B08">
              <w:rPr>
                <w:rFonts w:ascii="Arial" w:eastAsia="Times New Roman" w:hAnsi="Arial" w:cs="Arial"/>
                <w:color w:val="000000"/>
                <w:sz w:val="20"/>
                <w:szCs w:val="20"/>
              </w:rPr>
              <w:t xml:space="preserve"> 2013</w:t>
            </w:r>
          </w:p>
        </w:tc>
        <w:tc>
          <w:tcPr>
            <w:tcW w:w="1787" w:type="dxa"/>
            <w:vMerge w:val="restart"/>
            <w:noWrap/>
            <w:hideMark/>
          </w:tcPr>
          <w:p w14:paraId="3B34198B"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health administrative databases from Ontario</w:t>
            </w:r>
          </w:p>
        </w:tc>
        <w:tc>
          <w:tcPr>
            <w:tcW w:w="2966" w:type="dxa"/>
            <w:noWrap/>
            <w:hideMark/>
          </w:tcPr>
          <w:p w14:paraId="58C4BD57"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number of rheumatology visits</w:t>
            </w:r>
          </w:p>
        </w:tc>
        <w:tc>
          <w:tcPr>
            <w:tcW w:w="3002" w:type="dxa"/>
            <w:noWrap/>
            <w:hideMark/>
          </w:tcPr>
          <w:p w14:paraId="0EA09643"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none</w:t>
            </w:r>
          </w:p>
        </w:tc>
      </w:tr>
      <w:tr w:rsidR="00844CDA" w:rsidRPr="00F75B08" w14:paraId="5675B39C"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4AA92C0F"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570C1463"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2966" w:type="dxa"/>
            <w:noWrap/>
            <w:hideMark/>
          </w:tcPr>
          <w:p w14:paraId="05770B1C"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history of joint replacement</w:t>
            </w:r>
          </w:p>
        </w:tc>
        <w:tc>
          <w:tcPr>
            <w:tcW w:w="3002" w:type="dxa"/>
            <w:noWrap/>
            <w:hideMark/>
          </w:tcPr>
          <w:p w14:paraId="42F1EF4A"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r w:rsidR="00844CDA" w:rsidRPr="00F75B08" w14:paraId="7386A62B" w14:textId="77777777" w:rsidTr="00844CDA">
        <w:trPr>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7C785DAE"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30AEDFA3"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2966" w:type="dxa"/>
            <w:noWrap/>
            <w:hideMark/>
          </w:tcPr>
          <w:p w14:paraId="3FC63AC5"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extra-articular RA features </w:t>
            </w:r>
          </w:p>
        </w:tc>
        <w:tc>
          <w:tcPr>
            <w:tcW w:w="3002" w:type="dxa"/>
            <w:noWrap/>
            <w:hideMark/>
          </w:tcPr>
          <w:p w14:paraId="32C96724"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844CDA" w:rsidRPr="00F75B08" w14:paraId="3A90C63E"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0FA1B483"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4996C6DA"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2966" w:type="dxa"/>
            <w:noWrap/>
            <w:hideMark/>
          </w:tcPr>
          <w:p w14:paraId="38577B0D"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use of NSAIDs and COX inhibitors</w:t>
            </w:r>
          </w:p>
        </w:tc>
        <w:tc>
          <w:tcPr>
            <w:tcW w:w="3002" w:type="dxa"/>
            <w:noWrap/>
            <w:hideMark/>
          </w:tcPr>
          <w:p w14:paraId="0F18841B"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r w:rsidR="00844CDA" w:rsidRPr="00F75B08" w14:paraId="4AA9AAEA" w14:textId="77777777" w:rsidTr="00844CDA">
        <w:trPr>
          <w:cantSplit/>
          <w:trHeight w:val="1519"/>
        </w:trPr>
        <w:tc>
          <w:tcPr>
            <w:cnfStyle w:val="001000000000" w:firstRow="0" w:lastRow="0" w:firstColumn="1" w:lastColumn="0" w:oddVBand="0" w:evenVBand="0" w:oddHBand="0" w:evenHBand="0" w:firstRowFirstColumn="0" w:firstRowLastColumn="0" w:lastRowFirstColumn="0" w:lastRowLastColumn="0"/>
            <w:tcW w:w="1432" w:type="dxa"/>
            <w:vMerge w:val="restart"/>
            <w:noWrap/>
            <w:hideMark/>
          </w:tcPr>
          <w:p w14:paraId="5F120878"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McBride, 2011</w:t>
            </w:r>
          </w:p>
        </w:tc>
        <w:tc>
          <w:tcPr>
            <w:tcW w:w="1787" w:type="dxa"/>
            <w:vMerge w:val="restart"/>
            <w:noWrap/>
            <w:hideMark/>
          </w:tcPr>
          <w:p w14:paraId="51DBDC87"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employer-based health insurance database</w:t>
            </w:r>
          </w:p>
        </w:tc>
        <w:tc>
          <w:tcPr>
            <w:tcW w:w="2966" w:type="dxa"/>
            <w:hideMark/>
          </w:tcPr>
          <w:p w14:paraId="7AA80753"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medical care use:</w:t>
            </w:r>
            <w:r w:rsidRPr="00F75B08">
              <w:rPr>
                <w:rFonts w:ascii="Arial" w:eastAsia="Times New Roman" w:hAnsi="Arial" w:cs="Arial"/>
                <w:color w:val="000000"/>
                <w:sz w:val="20"/>
                <w:szCs w:val="20"/>
              </w:rPr>
              <w:br/>
              <w:t>• inpatient hospital</w:t>
            </w:r>
            <w:r w:rsidRPr="00F75B08">
              <w:rPr>
                <w:rFonts w:ascii="Arial" w:eastAsia="Times New Roman" w:hAnsi="Arial" w:cs="Arial"/>
                <w:color w:val="000000"/>
                <w:sz w:val="20"/>
                <w:szCs w:val="20"/>
              </w:rPr>
              <w:br/>
              <w:t>• outpatient visits</w:t>
            </w:r>
            <w:r w:rsidRPr="00F75B08">
              <w:rPr>
                <w:rFonts w:ascii="Arial" w:eastAsia="Times New Roman" w:hAnsi="Arial" w:cs="Arial"/>
                <w:color w:val="000000"/>
                <w:sz w:val="20"/>
                <w:szCs w:val="20"/>
              </w:rPr>
              <w:br/>
              <w:t>• bone &amp; joint procedures</w:t>
            </w:r>
            <w:r w:rsidRPr="00F75B08">
              <w:rPr>
                <w:rFonts w:ascii="Arial" w:eastAsia="Times New Roman" w:hAnsi="Arial" w:cs="Arial"/>
                <w:color w:val="000000"/>
                <w:sz w:val="20"/>
                <w:szCs w:val="20"/>
              </w:rPr>
              <w:br/>
              <w:t>• imaging procedures</w:t>
            </w:r>
            <w:r w:rsidRPr="00F75B08">
              <w:rPr>
                <w:rFonts w:ascii="Arial" w:eastAsia="Times New Roman" w:hAnsi="Arial" w:cs="Arial"/>
                <w:color w:val="000000"/>
                <w:sz w:val="20"/>
                <w:szCs w:val="20"/>
              </w:rPr>
              <w:br/>
              <w:t>• OT &amp; PT</w:t>
            </w:r>
          </w:p>
        </w:tc>
        <w:tc>
          <w:tcPr>
            <w:tcW w:w="3002" w:type="dxa"/>
            <w:noWrap/>
            <w:hideMark/>
          </w:tcPr>
          <w:p w14:paraId="1B2DE4A7"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none</w:t>
            </w:r>
          </w:p>
        </w:tc>
      </w:tr>
      <w:tr w:rsidR="00844CDA" w:rsidRPr="00F75B08" w14:paraId="1C421556"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vMerge/>
            <w:hideMark/>
          </w:tcPr>
          <w:p w14:paraId="6A0EC173" w14:textId="77777777" w:rsidR="00844CDA" w:rsidRPr="00F75B08" w:rsidRDefault="00844CDA" w:rsidP="00844CDA">
            <w:pPr>
              <w:rPr>
                <w:rFonts w:ascii="Arial" w:eastAsia="Times New Roman" w:hAnsi="Arial" w:cs="Arial"/>
                <w:color w:val="000000"/>
                <w:sz w:val="20"/>
                <w:szCs w:val="20"/>
              </w:rPr>
            </w:pPr>
          </w:p>
        </w:tc>
        <w:tc>
          <w:tcPr>
            <w:tcW w:w="1787" w:type="dxa"/>
            <w:vMerge/>
            <w:hideMark/>
          </w:tcPr>
          <w:p w14:paraId="53204EF0"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2966" w:type="dxa"/>
            <w:noWrap/>
            <w:hideMark/>
          </w:tcPr>
          <w:p w14:paraId="19813830"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RA-related prescription drug use</w:t>
            </w:r>
          </w:p>
        </w:tc>
        <w:tc>
          <w:tcPr>
            <w:tcW w:w="3002" w:type="dxa"/>
            <w:noWrap/>
            <w:hideMark/>
          </w:tcPr>
          <w:p w14:paraId="0D554B9A"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r w:rsidR="00844CDA" w:rsidRPr="00F75B08" w14:paraId="14193960" w14:textId="77777777" w:rsidTr="00844CDA">
        <w:trPr>
          <w:cantSplit/>
          <w:trHeight w:val="1447"/>
        </w:trPr>
        <w:tc>
          <w:tcPr>
            <w:cnfStyle w:val="001000000000" w:firstRow="0" w:lastRow="0" w:firstColumn="1" w:lastColumn="0" w:oddVBand="0" w:evenVBand="0" w:oddHBand="0" w:evenHBand="0" w:firstRowFirstColumn="0" w:firstRowLastColumn="0" w:lastRowFirstColumn="0" w:lastRowLastColumn="0"/>
            <w:tcW w:w="1432" w:type="dxa"/>
            <w:noWrap/>
            <w:hideMark/>
          </w:tcPr>
          <w:p w14:paraId="2E39352C"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Ting, 2005</w:t>
            </w:r>
          </w:p>
        </w:tc>
        <w:tc>
          <w:tcPr>
            <w:tcW w:w="1787" w:type="dxa"/>
            <w:noWrap/>
            <w:hideMark/>
          </w:tcPr>
          <w:p w14:paraId="63B9A3E9" w14:textId="77777777" w:rsidR="00844CDA" w:rsidRPr="00F75B08" w:rsidRDefault="00844CDA" w:rsidP="00844CDA">
            <w:pPr>
              <w:ind w:right="-10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VA Health System, medical records</w:t>
            </w:r>
          </w:p>
        </w:tc>
        <w:tc>
          <w:tcPr>
            <w:tcW w:w="2966" w:type="dxa"/>
            <w:hideMark/>
          </w:tcPr>
          <w:p w14:paraId="63D2140F"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RARBIS:</w:t>
            </w:r>
            <w:r w:rsidRPr="00F75B08">
              <w:rPr>
                <w:rFonts w:ascii="Arial" w:eastAsia="Times New Roman" w:hAnsi="Arial" w:cs="Arial"/>
                <w:color w:val="000000"/>
                <w:sz w:val="20"/>
                <w:szCs w:val="20"/>
              </w:rPr>
              <w:br/>
              <w:t xml:space="preserve">prior surgical history, </w:t>
            </w:r>
            <w:r w:rsidRPr="00F75B08">
              <w:rPr>
                <w:rFonts w:ascii="Arial" w:eastAsia="Times New Roman" w:hAnsi="Arial" w:cs="Arial"/>
                <w:color w:val="000000"/>
                <w:sz w:val="20"/>
                <w:szCs w:val="20"/>
              </w:rPr>
              <w:br/>
              <w:t xml:space="preserve">radiologic findings, </w:t>
            </w:r>
            <w:r w:rsidRPr="00F75B08">
              <w:rPr>
                <w:rFonts w:ascii="Arial" w:eastAsia="Times New Roman" w:hAnsi="Arial" w:cs="Arial"/>
                <w:color w:val="000000"/>
                <w:sz w:val="20"/>
                <w:szCs w:val="20"/>
              </w:rPr>
              <w:br/>
              <w:t xml:space="preserve">laboratory findings, </w:t>
            </w:r>
            <w:r w:rsidRPr="00F75B08">
              <w:rPr>
                <w:rFonts w:ascii="Arial" w:eastAsia="Times New Roman" w:hAnsi="Arial" w:cs="Arial"/>
                <w:color w:val="000000"/>
                <w:sz w:val="20"/>
                <w:szCs w:val="20"/>
              </w:rPr>
              <w:br/>
              <w:t>clinical and functional status</w:t>
            </w:r>
            <w:r w:rsidRPr="00F75B08">
              <w:rPr>
                <w:rFonts w:ascii="Arial" w:eastAsia="Times New Roman" w:hAnsi="Arial" w:cs="Arial"/>
                <w:color w:val="000000"/>
                <w:sz w:val="20"/>
                <w:szCs w:val="20"/>
              </w:rPr>
              <w:br/>
              <w:t>extra-articular manifestations</w:t>
            </w:r>
          </w:p>
        </w:tc>
        <w:tc>
          <w:tcPr>
            <w:tcW w:w="3002" w:type="dxa"/>
            <w:hideMark/>
          </w:tcPr>
          <w:p w14:paraId="0D586B4E"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correlation between the</w:t>
            </w:r>
            <w:r w:rsidRPr="00F75B08">
              <w:rPr>
                <w:rFonts w:ascii="Arial" w:eastAsia="Times New Roman" w:hAnsi="Arial" w:cs="Arial"/>
                <w:color w:val="000000"/>
                <w:sz w:val="20"/>
                <w:szCs w:val="20"/>
              </w:rPr>
              <w:br/>
              <w:t>summary score and its components and the intensity of RA treatment      r = 0.35, 95% CI 0.18–0.55</w:t>
            </w:r>
          </w:p>
        </w:tc>
      </w:tr>
      <w:tr w:rsidR="00844CDA" w:rsidRPr="00F75B08" w14:paraId="0A6CFB1A" w14:textId="77777777" w:rsidTr="00844CDA">
        <w:trPr>
          <w:cnfStyle w:val="000000100000" w:firstRow="0" w:lastRow="0" w:firstColumn="0" w:lastColumn="0" w:oddVBand="0" w:evenVBand="0" w:oddHBand="1" w:evenHBand="0" w:firstRowFirstColumn="0" w:firstRowLastColumn="0" w:lastRowFirstColumn="0" w:lastRowLastColumn="0"/>
          <w:cantSplit/>
          <w:trHeight w:val="2149"/>
        </w:trPr>
        <w:tc>
          <w:tcPr>
            <w:cnfStyle w:val="001000000000" w:firstRow="0" w:lastRow="0" w:firstColumn="1" w:lastColumn="0" w:oddVBand="0" w:evenVBand="0" w:oddHBand="0" w:evenHBand="0" w:firstRowFirstColumn="0" w:firstRowLastColumn="0" w:lastRowFirstColumn="0" w:lastRowLastColumn="0"/>
            <w:tcW w:w="1432" w:type="dxa"/>
            <w:noWrap/>
            <w:hideMark/>
          </w:tcPr>
          <w:p w14:paraId="26BAC788"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Baser, 2012</w:t>
            </w:r>
          </w:p>
        </w:tc>
        <w:tc>
          <w:tcPr>
            <w:tcW w:w="1787" w:type="dxa"/>
            <w:noWrap/>
            <w:hideMark/>
          </w:tcPr>
          <w:p w14:paraId="668573F6"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VHA database</w:t>
            </w:r>
          </w:p>
        </w:tc>
        <w:tc>
          <w:tcPr>
            <w:tcW w:w="2966" w:type="dxa"/>
            <w:hideMark/>
          </w:tcPr>
          <w:p w14:paraId="28BE901E"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gramStart"/>
            <w:r w:rsidRPr="00F75B08">
              <w:rPr>
                <w:rFonts w:ascii="Arial" w:eastAsia="Times New Roman" w:hAnsi="Arial" w:cs="Arial"/>
                <w:color w:val="000000"/>
                <w:sz w:val="20"/>
                <w:szCs w:val="20"/>
              </w:rPr>
              <w:t>SIFRA :</w:t>
            </w:r>
            <w:proofErr w:type="gramEnd"/>
            <w:r w:rsidRPr="00F75B08">
              <w:rPr>
                <w:rFonts w:ascii="Arial" w:eastAsia="Times New Roman" w:hAnsi="Arial" w:cs="Arial"/>
                <w:color w:val="000000"/>
                <w:sz w:val="20"/>
                <w:szCs w:val="20"/>
              </w:rPr>
              <w:t xml:space="preserve"> 34 RA-related indicators</w:t>
            </w:r>
            <w:r>
              <w:rPr>
                <w:rFonts w:ascii="Arial" w:eastAsia="Times New Roman" w:hAnsi="Arial" w:cs="Arial"/>
                <w:color w:val="000000"/>
                <w:sz w:val="20"/>
                <w:szCs w:val="20"/>
              </w:rPr>
              <w:t xml:space="preserve"> assessed by Delphi panel</w:t>
            </w:r>
          </w:p>
        </w:tc>
        <w:tc>
          <w:tcPr>
            <w:tcW w:w="3002" w:type="dxa"/>
            <w:hideMark/>
          </w:tcPr>
          <w:p w14:paraId="31AB8A05" w14:textId="77777777" w:rsidR="00844CDA"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 xml:space="preserve">Spearman’s rank correlations between SIFRA and CIRAS were 0.525 for SIFRA without </w:t>
            </w:r>
            <w:r>
              <w:rPr>
                <w:rFonts w:ascii="Arial" w:eastAsia="Times New Roman" w:hAnsi="Arial" w:cs="Arial"/>
                <w:color w:val="000000"/>
                <w:sz w:val="20"/>
                <w:szCs w:val="20"/>
              </w:rPr>
              <w:t>and 0.539 with laboratory data.</w:t>
            </w:r>
          </w:p>
          <w:p w14:paraId="1CDAA15C"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br/>
              <w:t>C</w:t>
            </w:r>
            <w:r w:rsidRPr="00F75B08">
              <w:rPr>
                <w:rFonts w:ascii="Arial" w:eastAsia="Times New Roman" w:hAnsi="Arial" w:cs="Arial"/>
                <w:color w:val="000000"/>
                <w:sz w:val="20"/>
                <w:szCs w:val="20"/>
              </w:rPr>
              <w:t xml:space="preserve">orrelations between SIFRA and the </w:t>
            </w:r>
            <w:proofErr w:type="spellStart"/>
            <w:r w:rsidRPr="00F75B08">
              <w:rPr>
                <w:rFonts w:ascii="Arial" w:eastAsia="Times New Roman" w:hAnsi="Arial" w:cs="Arial"/>
                <w:color w:val="000000"/>
                <w:sz w:val="20"/>
                <w:szCs w:val="20"/>
              </w:rPr>
              <w:t>Charlson</w:t>
            </w:r>
            <w:proofErr w:type="spellEnd"/>
            <w:r w:rsidRPr="00F75B08">
              <w:rPr>
                <w:rFonts w:ascii="Arial" w:eastAsia="Times New Roman" w:hAnsi="Arial" w:cs="Arial"/>
                <w:color w:val="000000"/>
                <w:sz w:val="20"/>
                <w:szCs w:val="20"/>
              </w:rPr>
              <w:t xml:space="preserve"> Comorbidity Index (CCI) (0.1503 without, 0.1135 with laboratory data</w:t>
            </w:r>
          </w:p>
        </w:tc>
      </w:tr>
      <w:tr w:rsidR="00844CDA" w:rsidRPr="00F75B08" w14:paraId="527C6570" w14:textId="77777777" w:rsidTr="00844CDA">
        <w:trPr>
          <w:cantSplit/>
          <w:trHeight w:val="300"/>
        </w:trPr>
        <w:tc>
          <w:tcPr>
            <w:cnfStyle w:val="001000000000" w:firstRow="0" w:lastRow="0" w:firstColumn="1" w:lastColumn="0" w:oddVBand="0" w:evenVBand="0" w:oddHBand="0" w:evenHBand="0" w:firstRowFirstColumn="0" w:firstRowLastColumn="0" w:lastRowFirstColumn="0" w:lastRowLastColumn="0"/>
            <w:tcW w:w="1432" w:type="dxa"/>
            <w:noWrap/>
            <w:hideMark/>
          </w:tcPr>
          <w:p w14:paraId="11E9BC29"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Baser, 2015</w:t>
            </w:r>
          </w:p>
        </w:tc>
        <w:tc>
          <w:tcPr>
            <w:tcW w:w="1787" w:type="dxa"/>
            <w:noWrap/>
            <w:hideMark/>
          </w:tcPr>
          <w:p w14:paraId="4EE42EB6"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Truven</w:t>
            </w:r>
            <w:r>
              <w:rPr>
                <w:rFonts w:ascii="Arial" w:eastAsia="Times New Roman" w:hAnsi="Arial" w:cs="Arial"/>
                <w:color w:val="000000"/>
                <w:sz w:val="20"/>
                <w:szCs w:val="20"/>
              </w:rPr>
              <w:t xml:space="preserve"> </w:t>
            </w:r>
            <w:r w:rsidRPr="00F75B08">
              <w:rPr>
                <w:rFonts w:ascii="Arial" w:eastAsia="Times New Roman" w:hAnsi="Arial" w:cs="Arial"/>
                <w:color w:val="000000"/>
                <w:sz w:val="20"/>
                <w:szCs w:val="20"/>
              </w:rPr>
              <w:t>Health</w:t>
            </w:r>
            <w:r>
              <w:rPr>
                <w:rFonts w:ascii="Arial" w:eastAsia="Times New Roman" w:hAnsi="Arial" w:cs="Arial"/>
                <w:color w:val="000000"/>
                <w:sz w:val="20"/>
                <w:szCs w:val="20"/>
              </w:rPr>
              <w:t xml:space="preserve"> </w:t>
            </w:r>
            <w:proofErr w:type="spellStart"/>
            <w:r w:rsidRPr="00F75B08">
              <w:rPr>
                <w:rFonts w:ascii="Arial" w:eastAsia="Times New Roman" w:hAnsi="Arial" w:cs="Arial"/>
                <w:color w:val="000000"/>
                <w:sz w:val="20"/>
                <w:szCs w:val="20"/>
              </w:rPr>
              <w:t>MarketScan</w:t>
            </w:r>
            <w:proofErr w:type="spellEnd"/>
          </w:p>
        </w:tc>
        <w:tc>
          <w:tcPr>
            <w:tcW w:w="2966" w:type="dxa"/>
            <w:hideMark/>
          </w:tcPr>
          <w:p w14:paraId="22E0D057"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gramStart"/>
            <w:r w:rsidRPr="00F75B08">
              <w:rPr>
                <w:rFonts w:ascii="Arial" w:eastAsia="Times New Roman" w:hAnsi="Arial" w:cs="Arial"/>
                <w:color w:val="000000"/>
                <w:sz w:val="20"/>
                <w:szCs w:val="20"/>
              </w:rPr>
              <w:t>SIFRA :</w:t>
            </w:r>
            <w:proofErr w:type="gramEnd"/>
            <w:r w:rsidRPr="00F75B08">
              <w:rPr>
                <w:rFonts w:ascii="Arial" w:eastAsia="Times New Roman" w:hAnsi="Arial" w:cs="Arial"/>
                <w:color w:val="000000"/>
                <w:sz w:val="20"/>
                <w:szCs w:val="20"/>
              </w:rPr>
              <w:t xml:space="preserve"> 34 RA-related indicators</w:t>
            </w:r>
          </w:p>
        </w:tc>
        <w:tc>
          <w:tcPr>
            <w:tcW w:w="3002" w:type="dxa"/>
            <w:noWrap/>
            <w:hideMark/>
          </w:tcPr>
          <w:p w14:paraId="25A55361" w14:textId="77777777" w:rsidR="00844CDA" w:rsidRPr="00F75B08" w:rsidRDefault="00844CDA" w:rsidP="00844CD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r>
      <w:tr w:rsidR="00844CDA" w:rsidRPr="00F75B08" w14:paraId="7BEDB8AA" w14:textId="77777777" w:rsidTr="00844CDA">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1432" w:type="dxa"/>
            <w:noWrap/>
          </w:tcPr>
          <w:p w14:paraId="094C522E" w14:textId="77777777" w:rsidR="00844CDA" w:rsidRPr="00F75B08" w:rsidRDefault="00844CDA" w:rsidP="00844CDA">
            <w:pPr>
              <w:rPr>
                <w:rFonts w:ascii="Arial" w:eastAsia="Times New Roman" w:hAnsi="Arial" w:cs="Arial"/>
                <w:color w:val="000000"/>
                <w:sz w:val="20"/>
                <w:szCs w:val="20"/>
              </w:rPr>
            </w:pPr>
            <w:r w:rsidRPr="00F75B08">
              <w:rPr>
                <w:rFonts w:ascii="Arial" w:eastAsia="Times New Roman" w:hAnsi="Arial" w:cs="Arial"/>
                <w:color w:val="000000"/>
                <w:sz w:val="20"/>
                <w:szCs w:val="20"/>
              </w:rPr>
              <w:t>Wolfe</w:t>
            </w:r>
          </w:p>
        </w:tc>
        <w:tc>
          <w:tcPr>
            <w:tcW w:w="1787" w:type="dxa"/>
            <w:noWrap/>
          </w:tcPr>
          <w:p w14:paraId="4FF9760B"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eastAsia="Times New Roman" w:hAnsi="Arial" w:cs="Arial"/>
                <w:color w:val="000000"/>
                <w:sz w:val="20"/>
                <w:szCs w:val="20"/>
              </w:rPr>
              <w:t>N</w:t>
            </w:r>
            <w:r>
              <w:rPr>
                <w:rFonts w:ascii="Arial" w:eastAsia="Times New Roman" w:hAnsi="Arial" w:cs="Arial"/>
                <w:color w:val="000000"/>
                <w:sz w:val="20"/>
                <w:szCs w:val="20"/>
              </w:rPr>
              <w:t xml:space="preserve">ational </w:t>
            </w:r>
            <w:r w:rsidRPr="00F75B08">
              <w:rPr>
                <w:rFonts w:ascii="Arial" w:eastAsia="Times New Roman" w:hAnsi="Arial" w:cs="Arial"/>
                <w:color w:val="000000"/>
                <w:sz w:val="20"/>
                <w:szCs w:val="20"/>
              </w:rPr>
              <w:t>D</w:t>
            </w:r>
            <w:r>
              <w:rPr>
                <w:rFonts w:ascii="Arial" w:eastAsia="Times New Roman" w:hAnsi="Arial" w:cs="Arial"/>
                <w:color w:val="000000"/>
                <w:sz w:val="20"/>
                <w:szCs w:val="20"/>
              </w:rPr>
              <w:t xml:space="preserve">ata </w:t>
            </w:r>
            <w:r w:rsidRPr="00F75B08">
              <w:rPr>
                <w:rFonts w:ascii="Arial" w:eastAsia="Times New Roman" w:hAnsi="Arial" w:cs="Arial"/>
                <w:color w:val="000000"/>
                <w:sz w:val="20"/>
                <w:szCs w:val="20"/>
              </w:rPr>
              <w:t>B</w:t>
            </w:r>
            <w:r>
              <w:rPr>
                <w:rFonts w:ascii="Arial" w:eastAsia="Times New Roman" w:hAnsi="Arial" w:cs="Arial"/>
                <w:color w:val="000000"/>
                <w:sz w:val="20"/>
                <w:szCs w:val="20"/>
              </w:rPr>
              <w:t>ank</w:t>
            </w:r>
            <w:r w:rsidRPr="00F75B08">
              <w:rPr>
                <w:rFonts w:ascii="Arial" w:eastAsia="Times New Roman" w:hAnsi="Arial" w:cs="Arial"/>
                <w:color w:val="000000"/>
                <w:sz w:val="20"/>
                <w:szCs w:val="20"/>
              </w:rPr>
              <w:t xml:space="preserve"> for rheumatic diseases</w:t>
            </w:r>
          </w:p>
        </w:tc>
        <w:tc>
          <w:tcPr>
            <w:tcW w:w="2966" w:type="dxa"/>
          </w:tcPr>
          <w:p w14:paraId="30325AD7"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75B08">
              <w:rPr>
                <w:rFonts w:ascii="Arial" w:hAnsi="Arial" w:cs="Arial"/>
                <w:sz w:val="20"/>
                <w:szCs w:val="20"/>
              </w:rPr>
              <w:t>current and lifetime treatment with DMARDs and/or biologics</w:t>
            </w:r>
          </w:p>
        </w:tc>
        <w:tc>
          <w:tcPr>
            <w:tcW w:w="3002" w:type="dxa"/>
            <w:noWrap/>
          </w:tcPr>
          <w:p w14:paraId="16D3B197"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5B08">
              <w:rPr>
                <w:rFonts w:ascii="Arial" w:hAnsi="Arial" w:cs="Arial"/>
                <w:sz w:val="20"/>
                <w:szCs w:val="20"/>
              </w:rPr>
              <w:t>sole use of DMARD/biologics and demographic variables in administrative data does not distinguish disease severity groups with adequate sensitivity and/or specificity (only 67.2% were correctly classified according to Patient Activity Scale (composed of HAQ, visual analog scale for pain, and visual analog scale for global severity).</w:t>
            </w:r>
          </w:p>
          <w:p w14:paraId="5250AC45" w14:textId="77777777" w:rsidR="00844CDA" w:rsidRPr="00F75B08" w:rsidRDefault="00844CDA" w:rsidP="00844CD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r>
    </w:tbl>
    <w:p w14:paraId="22418E70" w14:textId="0531477B" w:rsidR="00844CDA" w:rsidRDefault="00844CDA" w:rsidP="00E864F9">
      <w:pPr>
        <w:pStyle w:val="BodyText12"/>
      </w:pPr>
    </w:p>
    <w:p w14:paraId="3845C8A5" w14:textId="59160CA5" w:rsidR="003D110D" w:rsidRDefault="003D110D" w:rsidP="00B369A6">
      <w:pPr>
        <w:pStyle w:val="Heading2"/>
        <w:numPr>
          <w:ilvl w:val="1"/>
          <w:numId w:val="36"/>
        </w:numPr>
      </w:pPr>
      <w:bookmarkStart w:id="39" w:name="_Toc518905807"/>
      <w:r w:rsidRPr="00D41932">
        <w:t xml:space="preserve">Annex </w:t>
      </w:r>
      <w:r w:rsidR="00B369A6">
        <w:t>2</w:t>
      </w:r>
      <w:r w:rsidRPr="00D41932">
        <w:t xml:space="preserve">: </w:t>
      </w:r>
      <w:r>
        <w:t>Description of databases used in this study</w:t>
      </w:r>
      <w:bookmarkEnd w:id="39"/>
    </w:p>
    <w:p w14:paraId="05495D02" w14:textId="722CF063" w:rsidR="003D110D" w:rsidRPr="003D110D" w:rsidRDefault="003D110D" w:rsidP="003D110D">
      <w:pPr>
        <w:jc w:val="both"/>
        <w:rPr>
          <w:rFonts w:eastAsia="Calibri"/>
        </w:rPr>
      </w:pPr>
      <w:proofErr w:type="gramStart"/>
      <w:r w:rsidRPr="003D110D">
        <w:rPr>
          <w:rFonts w:eastAsia="Calibri"/>
          <w:b/>
        </w:rPr>
        <w:t xml:space="preserve">Optum’s  </w:t>
      </w:r>
      <w:proofErr w:type="spellStart"/>
      <w:r w:rsidRPr="003D110D">
        <w:rPr>
          <w:rFonts w:eastAsia="Calibri"/>
          <w:b/>
        </w:rPr>
        <w:t>Clinformatics</w:t>
      </w:r>
      <w:r w:rsidRPr="003D110D">
        <w:rPr>
          <w:rFonts w:eastAsia="Calibri"/>
          <w:b/>
          <w:vertAlign w:val="superscript"/>
        </w:rPr>
        <w:t>TM</w:t>
      </w:r>
      <w:proofErr w:type="spellEnd"/>
      <w:proofErr w:type="gramEnd"/>
      <w:r w:rsidRPr="003D110D">
        <w:rPr>
          <w:rFonts w:eastAsia="Calibri"/>
          <w:b/>
        </w:rPr>
        <w:t xml:space="preserve"> Data Mart – Date of Death</w:t>
      </w:r>
      <w:r w:rsidRPr="003D110D">
        <w:rPr>
          <w:rFonts w:eastAsia="Calibri"/>
        </w:rPr>
        <w:t xml:space="preserve"> (OPTUM): Optum </w:t>
      </w:r>
      <w:proofErr w:type="spellStart"/>
      <w:r w:rsidRPr="003D110D">
        <w:rPr>
          <w:rFonts w:eastAsia="Calibri"/>
        </w:rPr>
        <w:t>Clinformatics</w:t>
      </w:r>
      <w:proofErr w:type="spellEnd"/>
      <w:r w:rsidRPr="003D110D">
        <w:rPr>
          <w:rFonts w:eastAsia="Calibri"/>
        </w:rPr>
        <w:t xml:space="preserve"> Extended DataMart is a</w:t>
      </w:r>
      <w:r w:rsidRPr="003D110D">
        <w:t xml:space="preserve">n adjudicated US administrative health claims database for members of </w:t>
      </w:r>
      <w:r w:rsidRPr="003D110D">
        <w:lastRenderedPageBreak/>
        <w:t xml:space="preserve">private health insurance, who are fully insured in commercial plans or in administrative services only (ASOs), Legacy Medicare Choice Lives (prior to January 2006), and Medicare Advantage (Medicare Advantage Prescription Drug coverage starting January 2006).  </w:t>
      </w:r>
      <w:r w:rsidRPr="003D110D">
        <w:rPr>
          <w:rFonts w:eastAsia="Arial"/>
        </w:rPr>
        <w:t xml:space="preserve">The population is primarily representative of commercial claims patients (0-65 years old) with some Medicare (65+ years old) however ages are capped at 90 years.  </w:t>
      </w:r>
      <w:r w:rsidRPr="003D110D">
        <w:t>It includes data captured from administrative claims processed from inpatient and outpatient medical services</w:t>
      </w:r>
      <w:r w:rsidRPr="003D110D">
        <w:rPr>
          <w:rFonts w:eastAsia="Calibri"/>
        </w:rPr>
        <w:t xml:space="preserve"> and </w:t>
      </w:r>
      <w:r w:rsidRPr="003D110D">
        <w:t>prescriptions as dispensed</w:t>
      </w:r>
      <w:r w:rsidRPr="003D110D">
        <w:rPr>
          <w:rFonts w:eastAsia="Calibri"/>
        </w:rPr>
        <w:t xml:space="preserve">,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w:t>
      </w:r>
    </w:p>
    <w:p w14:paraId="31C74A92" w14:textId="63623988" w:rsidR="003D110D" w:rsidRPr="003D110D" w:rsidRDefault="003D110D" w:rsidP="003D110D">
      <w:pPr>
        <w:jc w:val="both"/>
        <w:rPr>
          <w:rFonts w:eastAsia="Calibri"/>
        </w:rPr>
      </w:pPr>
    </w:p>
    <w:p w14:paraId="4A460BBE" w14:textId="5779942D" w:rsidR="003D110D" w:rsidRPr="003D110D" w:rsidRDefault="003D110D" w:rsidP="003D110D">
      <w:pPr>
        <w:jc w:val="both"/>
      </w:pPr>
      <w:r w:rsidRPr="003D110D">
        <w:rPr>
          <w:rFonts w:eastAsia="Calibri"/>
          <w:b/>
        </w:rPr>
        <w:t xml:space="preserve">Truven Health </w:t>
      </w:r>
      <w:proofErr w:type="spellStart"/>
      <w:r w:rsidRPr="003D110D">
        <w:rPr>
          <w:rFonts w:eastAsia="Calibri"/>
          <w:b/>
        </w:rPr>
        <w:t>MarketScan</w:t>
      </w:r>
      <w:proofErr w:type="spellEnd"/>
      <w:r w:rsidRPr="003D110D">
        <w:rPr>
          <w:rFonts w:eastAsia="Calibri"/>
          <w:b/>
        </w:rPr>
        <w:t>® Commercial Claims and Encounters Database</w:t>
      </w:r>
      <w:r w:rsidRPr="003D110D">
        <w:rPr>
          <w:rFonts w:eastAsia="Calibri"/>
        </w:rPr>
        <w:t xml:space="preserve">: </w:t>
      </w:r>
      <w:r w:rsidRPr="003D110D">
        <w:t xml:space="preserve">Truven Health </w:t>
      </w:r>
      <w:proofErr w:type="spellStart"/>
      <w:r w:rsidRPr="003D110D">
        <w:t>MarketScan</w:t>
      </w:r>
      <w:proofErr w:type="spellEnd"/>
      <w:r w:rsidRPr="003D110D">
        <w:t xml:space="preserve">® Commercial Claims and Encounters Database (Truven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w:t>
      </w:r>
      <w:proofErr w:type="gramStart"/>
      <w:r w:rsidRPr="003D110D">
        <w:t>This administrative claims</w:t>
      </w:r>
      <w:proofErr w:type="gramEnd"/>
      <w:r w:rsidRPr="003D110D">
        <w:t xml:space="preserve"> database includes a variety of fee-for-service, preferred provider organizations, and capitated health plans.</w:t>
      </w:r>
    </w:p>
    <w:p w14:paraId="0B664A66" w14:textId="3F5443C0" w:rsidR="003D110D" w:rsidRPr="003D110D" w:rsidRDefault="003D110D" w:rsidP="003D110D">
      <w:pPr>
        <w:jc w:val="both"/>
      </w:pPr>
    </w:p>
    <w:p w14:paraId="1EB7F132" w14:textId="17B2867D" w:rsidR="003D110D" w:rsidRPr="003D110D" w:rsidRDefault="003D110D" w:rsidP="003D110D">
      <w:pPr>
        <w:jc w:val="both"/>
      </w:pPr>
      <w:r w:rsidRPr="003D110D">
        <w:rPr>
          <w:rFonts w:eastAsia="Calibri"/>
          <w:b/>
        </w:rPr>
        <w:t xml:space="preserve">Truven Health </w:t>
      </w:r>
      <w:proofErr w:type="spellStart"/>
      <w:r w:rsidRPr="003D110D">
        <w:rPr>
          <w:rFonts w:eastAsia="Calibri"/>
          <w:b/>
        </w:rPr>
        <w:t>MarketScan</w:t>
      </w:r>
      <w:proofErr w:type="spellEnd"/>
      <w:r w:rsidRPr="003D110D">
        <w:rPr>
          <w:rFonts w:eastAsia="Calibri"/>
          <w:b/>
        </w:rPr>
        <w:t>® Medicare Supplemental and Coordination of Benefits Database</w:t>
      </w:r>
      <w:r w:rsidRPr="003D110D">
        <w:rPr>
          <w:rFonts w:eastAsia="Calibri"/>
        </w:rPr>
        <w:t xml:space="preserve">: Truven Health </w:t>
      </w:r>
      <w:proofErr w:type="spellStart"/>
      <w:r w:rsidRPr="003D110D">
        <w:rPr>
          <w:rFonts w:eastAsia="Calibri"/>
        </w:rPr>
        <w:t>MarketScan</w:t>
      </w:r>
      <w:proofErr w:type="spellEnd"/>
      <w:r w:rsidRPr="003D110D">
        <w:rPr>
          <w:rFonts w:eastAsia="Calibri"/>
        </w:rPr>
        <w:t xml:space="preserve">® Medicare Supplemental and Coordination of Benefits Database (Truven MDCR) represents health services of retirees in the United States with primary or Medicare supplemental coverage through privately insured fee-for-service, point-of-service, or capitated health plans.  These data include </w:t>
      </w:r>
      <w:r w:rsidRPr="003D110D">
        <w:t xml:space="preserve">adjudicated </w:t>
      </w:r>
      <w:r w:rsidRPr="003D110D">
        <w:rPr>
          <w:rFonts w:eastAsia="Calibri"/>
        </w:rPr>
        <w:t xml:space="preserve">health insurance claims (e.g. inpatient, outpatient, and outpatient pharmacy). </w:t>
      </w:r>
      <w:r w:rsidRPr="003D110D">
        <w:t>Additionally, it captures laboratory tests for a subset of the covered lives.</w:t>
      </w:r>
    </w:p>
    <w:p w14:paraId="315AD377" w14:textId="0D280724" w:rsidR="003D110D" w:rsidRPr="003D110D" w:rsidRDefault="003D110D" w:rsidP="003D110D">
      <w:pPr>
        <w:jc w:val="both"/>
      </w:pPr>
    </w:p>
    <w:p w14:paraId="53A6A234" w14:textId="55E717FC" w:rsidR="003D110D" w:rsidRPr="003D110D" w:rsidRDefault="003D110D" w:rsidP="003D110D">
      <w:pPr>
        <w:jc w:val="both"/>
        <w:rPr>
          <w:rFonts w:eastAsia="Calibri"/>
        </w:rPr>
      </w:pPr>
      <w:r w:rsidRPr="003D110D">
        <w:rPr>
          <w:rFonts w:eastAsia="Calibri"/>
          <w:b/>
        </w:rPr>
        <w:t xml:space="preserve">Truven Health </w:t>
      </w:r>
      <w:proofErr w:type="spellStart"/>
      <w:r w:rsidRPr="003D110D">
        <w:rPr>
          <w:rFonts w:eastAsia="Calibri"/>
          <w:b/>
        </w:rPr>
        <w:t>MarketScan</w:t>
      </w:r>
      <w:proofErr w:type="spellEnd"/>
      <w:r w:rsidRPr="003D110D">
        <w:rPr>
          <w:rFonts w:eastAsia="Calibri"/>
          <w:b/>
        </w:rPr>
        <w:t>® Multi-State Medicaid Database</w:t>
      </w:r>
      <w:r w:rsidRPr="003D110D">
        <w:rPr>
          <w:rFonts w:eastAsia="Calibri"/>
        </w:rPr>
        <w:t xml:space="preserve">: </w:t>
      </w:r>
      <w:r w:rsidRPr="003D110D">
        <w:t xml:space="preserve">Truven Health </w:t>
      </w:r>
      <w:proofErr w:type="spellStart"/>
      <w:r w:rsidRPr="003D110D">
        <w:t>MarketScan</w:t>
      </w:r>
      <w:proofErr w:type="spellEnd"/>
      <w:r w:rsidRPr="003D110D">
        <w:t xml:space="preserve">® Multi-State Medicaid Database (Truven MDCD) adjudicated US health insurance claims for Medicaid enrollees from multiple states and includes hospital discharge diagnoses, outpatient diagnoses and procedures, and outpatient pharmacy claims as </w:t>
      </w:r>
      <w:proofErr w:type="gramStart"/>
      <w:r w:rsidRPr="003D110D">
        <w:t>well  as</w:t>
      </w:r>
      <w:proofErr w:type="gramEnd"/>
      <w:r w:rsidRPr="003D110D">
        <w:t xml:space="preserve"> ethnicity and Medicare eligibility.  Members maintain their same identifier even if they leave the system for a brief period however the dataset lacks lab data.</w:t>
      </w:r>
    </w:p>
    <w:p w14:paraId="5761924F" w14:textId="453F194C" w:rsidR="003D110D" w:rsidRPr="003D110D" w:rsidRDefault="003D110D" w:rsidP="003D110D">
      <w:pPr>
        <w:pStyle w:val="BodyText12"/>
      </w:pPr>
    </w:p>
    <w:p w14:paraId="330571AB" w14:textId="77777777" w:rsidR="003D110D" w:rsidRDefault="003D110D" w:rsidP="003D110D">
      <w:pPr>
        <w:pStyle w:val="BodyText12"/>
        <w:rPr>
          <w:rFonts w:ascii="Arial" w:hAnsi="Arial" w:cs="Arial"/>
        </w:rPr>
      </w:pPr>
    </w:p>
    <w:p w14:paraId="4E8FDC86" w14:textId="77777777" w:rsidR="003D110D" w:rsidRDefault="003D110D" w:rsidP="00E864F9">
      <w:pPr>
        <w:pStyle w:val="BodyText12"/>
      </w:pPr>
    </w:p>
    <w:sectPr w:rsidR="003D110D" w:rsidSect="00F72437">
      <w:headerReference w:type="default" r:id="rId17"/>
      <w:footnotePr>
        <w:numFmt w:val="lowerLetter"/>
        <w:numRestart w:val="eachPage"/>
      </w:footnotePr>
      <w:endnotePr>
        <w:numFmt w:val="decimal"/>
      </w:endnotePr>
      <w:pgSz w:w="12240" w:h="15840" w:code="1"/>
      <w:pgMar w:top="1152" w:right="1440" w:bottom="1152" w:left="1440" w:header="54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1F916" w14:textId="77777777" w:rsidR="00D5741B" w:rsidRDefault="00D5741B">
      <w:r>
        <w:separator/>
      </w:r>
    </w:p>
  </w:endnote>
  <w:endnote w:type="continuationSeparator" w:id="0">
    <w:p w14:paraId="15ABFBEA" w14:textId="77777777" w:rsidR="00D5741B" w:rsidRDefault="00D5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9985"/>
      <w:docPartObj>
        <w:docPartGallery w:val="Page Numbers (Bottom of Page)"/>
        <w:docPartUnique/>
      </w:docPartObj>
    </w:sdtPr>
    <w:sdtEndPr/>
    <w:sdtContent>
      <w:p w14:paraId="774114DA" w14:textId="08B082BD" w:rsidR="0064141C" w:rsidRDefault="0064141C" w:rsidP="008D1DC3">
        <w:pPr>
          <w:pStyle w:val="Footer"/>
          <w:pBdr>
            <w:top w:val="single" w:sz="4" w:space="1" w:color="auto"/>
          </w:pBdr>
          <w:jc w:val="right"/>
        </w:pPr>
        <w:r>
          <w:fldChar w:fldCharType="begin"/>
        </w:r>
        <w:r>
          <w:instrText xml:space="preserve"> PAGE   \* MERGEFORMAT </w:instrText>
        </w:r>
        <w:r>
          <w:fldChar w:fldCharType="separate"/>
        </w:r>
        <w:r w:rsidR="00EA0A9C">
          <w:rPr>
            <w:noProof/>
          </w:rPr>
          <w:t>11</w:t>
        </w:r>
        <w:r>
          <w:rPr>
            <w:noProof/>
          </w:rPr>
          <w:fldChar w:fldCharType="end"/>
        </w:r>
      </w:p>
    </w:sdtContent>
  </w:sdt>
  <w:p w14:paraId="774114DB" w14:textId="646FCCC0" w:rsidR="0064141C" w:rsidRDefault="0064141C">
    <w:pPr>
      <w:pStyle w:val="Footer"/>
    </w:pPr>
    <w:r>
      <w:t xml:space="preserve">Status: </w:t>
    </w:r>
    <w:r w:rsidRPr="00506FE5">
      <w:rPr>
        <w:highlight w:val="cyan"/>
      </w:rPr>
      <w:t>Pending Review</w:t>
    </w:r>
    <w:r>
      <w:t xml:space="preserve">, Date: </w:t>
    </w:r>
    <w:r w:rsidRPr="00506FE5">
      <w:rPr>
        <w:highlight w:val="green"/>
      </w:rPr>
      <w:t>[</w:t>
    </w:r>
    <w:r>
      <w:rPr>
        <w:highlight w:val="green"/>
      </w:rPr>
      <w:t>January 16, 2018</w:t>
    </w:r>
    <w:r w:rsidRPr="00506FE5">
      <w:rPr>
        <w:highlight w:val="green"/>
      </w:rPr>
      <w:t>]</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8119D" w14:textId="77777777" w:rsidR="00D5741B" w:rsidRDefault="00D5741B">
      <w:r>
        <w:separator/>
      </w:r>
    </w:p>
  </w:footnote>
  <w:footnote w:type="continuationSeparator" w:id="0">
    <w:p w14:paraId="02E8C238" w14:textId="77777777" w:rsidR="00D5741B" w:rsidRDefault="00D57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14D8" w14:textId="77777777" w:rsidR="0064141C" w:rsidRPr="00E1478E" w:rsidRDefault="0064141C">
    <w:pPr>
      <w:pStyle w:val="Header"/>
    </w:pPr>
    <w:r w:rsidRPr="00E1478E">
      <w:ptab w:relativeTo="margin" w:alignment="right" w:leader="none"/>
    </w:r>
  </w:p>
  <w:p w14:paraId="774114D9" w14:textId="77777777" w:rsidR="0064141C" w:rsidRPr="00682B49" w:rsidRDefault="0064141C" w:rsidP="004A4C21">
    <w:pPr>
      <w:pStyle w:val="Header"/>
      <w:pBdr>
        <w:bottom w:val="single" w:sz="4" w:space="1" w:color="auto"/>
      </w:pBdr>
    </w:pPr>
    <w:r w:rsidRPr="00F35EC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14DC" w14:textId="77777777" w:rsidR="0064141C" w:rsidRPr="00BC0EA4" w:rsidRDefault="0064141C">
    <w:pPr>
      <w:pStyle w:val="Header"/>
    </w:pPr>
    <w:r w:rsidRPr="00BC0EA4">
      <w:ptab w:relativeTo="margin" w:alignment="right" w:leader="none"/>
    </w:r>
    <w:r w:rsidRPr="00E870D1">
      <w:t xml:space="preserve"> Study Protocol for </w:t>
    </w:r>
    <w:r>
      <w:t>Retrospective</w:t>
    </w:r>
    <w:r w:rsidRPr="00E870D1">
      <w:t xml:space="preserve"> Observational Studies </w:t>
    </w:r>
    <w:r>
      <w:t>Using Secondary Data</w:t>
    </w:r>
  </w:p>
  <w:p w14:paraId="774114DD" w14:textId="77777777" w:rsidR="0064141C" w:rsidRPr="00BC0EA4" w:rsidRDefault="0064141C" w:rsidP="004A4C21">
    <w:pPr>
      <w:pStyle w:val="Header"/>
      <w:pBdr>
        <w:bottom w:val="single" w:sz="4" w:space="1" w:color="auto"/>
      </w:pBdr>
    </w:pPr>
    <w:r w:rsidRPr="00BC0EA4">
      <w:ptab w:relativeTo="margin" w:alignment="right" w:leader="none"/>
    </w:r>
    <w:r>
      <w:t xml:space="preserve">Protocol </w:t>
    </w:r>
    <w:r w:rsidRPr="00506FE5">
      <w:rPr>
        <w:highlight w:val="green"/>
      </w:rPr>
      <w:t>[insert protocol number]</w:t>
    </w:r>
    <w:r w:rsidRPr="00BC0EA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821"/>
        </w:tabs>
        <w:ind w:left="821" w:hanging="821"/>
      </w:pPr>
      <w:rPr>
        <w:rFonts w:hint="default"/>
      </w:rPr>
    </w:lvl>
    <w:lvl w:ilvl="3">
      <w:start w:val="1"/>
      <w:numFmt w:val="decimal"/>
      <w:pStyle w:val="Heading3"/>
      <w:lvlText w:val="%2.%3.%4."/>
      <w:lvlJc w:val="left"/>
      <w:pPr>
        <w:tabs>
          <w:tab w:val="num" w:pos="1397"/>
        </w:tabs>
        <w:ind w:left="1397" w:hanging="1397"/>
      </w:pPr>
      <w:rPr>
        <w:rFonts w:hint="default"/>
      </w:rPr>
    </w:lvl>
    <w:lvl w:ilvl="4">
      <w:start w:val="1"/>
      <w:numFmt w:val="decimal"/>
      <w:pStyle w:val="Heading4"/>
      <w:lvlText w:val="%2.%3.%4.%5."/>
      <w:lvlJc w:val="left"/>
      <w:pPr>
        <w:tabs>
          <w:tab w:val="num" w:pos="1397"/>
        </w:tabs>
        <w:ind w:left="1397" w:hanging="1397"/>
      </w:pPr>
      <w:rPr>
        <w:rFonts w:hint="default"/>
      </w:r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04EB5C1D"/>
    <w:multiLevelType w:val="multilevel"/>
    <w:tmpl w:val="41C6C012"/>
    <w:lvl w:ilvl="0">
      <w:start w:val="8"/>
      <w:numFmt w:val="decimal"/>
      <w:lvlText w:val="%1"/>
      <w:lvlJc w:val="left"/>
      <w:pPr>
        <w:ind w:left="1080" w:hanging="360"/>
      </w:pPr>
      <w:rPr>
        <w:rFonts w:hint="default"/>
      </w:rPr>
    </w:lvl>
    <w:lvl w:ilvl="1">
      <w:start w:val="1"/>
      <w:numFmt w:val="decimal"/>
      <w:lvlText w:val="%1.%2"/>
      <w:lvlJc w:val="left"/>
      <w:pPr>
        <w:ind w:left="1901" w:hanging="360"/>
      </w:pPr>
      <w:rPr>
        <w:rFonts w:hint="default"/>
      </w:rPr>
    </w:lvl>
    <w:lvl w:ilvl="2">
      <w:start w:val="1"/>
      <w:numFmt w:val="decimal"/>
      <w:lvlText w:val="%1.%2.%3"/>
      <w:lvlJc w:val="left"/>
      <w:pPr>
        <w:ind w:left="3082" w:hanging="720"/>
      </w:pPr>
      <w:rPr>
        <w:rFonts w:hint="default"/>
      </w:rPr>
    </w:lvl>
    <w:lvl w:ilvl="3">
      <w:start w:val="1"/>
      <w:numFmt w:val="decimal"/>
      <w:lvlText w:val="%1.%2.%3.%4"/>
      <w:lvlJc w:val="left"/>
      <w:pPr>
        <w:ind w:left="4263" w:hanging="1080"/>
      </w:pPr>
      <w:rPr>
        <w:rFonts w:hint="default"/>
      </w:rPr>
    </w:lvl>
    <w:lvl w:ilvl="4">
      <w:start w:val="1"/>
      <w:numFmt w:val="decimal"/>
      <w:lvlText w:val="%1.%2.%3.%4.%5"/>
      <w:lvlJc w:val="left"/>
      <w:pPr>
        <w:ind w:left="5084" w:hanging="108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267" w:hanging="1800"/>
      </w:pPr>
      <w:rPr>
        <w:rFonts w:hint="default"/>
      </w:rPr>
    </w:lvl>
    <w:lvl w:ilvl="8">
      <w:start w:val="1"/>
      <w:numFmt w:val="decimal"/>
      <w:lvlText w:val="%1.%2.%3.%4.%5.%6.%7.%8.%9"/>
      <w:lvlJc w:val="left"/>
      <w:pPr>
        <w:ind w:left="9088" w:hanging="1800"/>
      </w:pPr>
      <w:rPr>
        <w:rFonts w:hint="default"/>
      </w:rPr>
    </w:lvl>
  </w:abstractNum>
  <w:abstractNum w:abstractNumId="2" w15:restartNumberingAfterBreak="0">
    <w:nsid w:val="054D0A97"/>
    <w:multiLevelType w:val="hybridMultilevel"/>
    <w:tmpl w:val="21AC0D6E"/>
    <w:lvl w:ilvl="0" w:tplc="7CBA4CD0">
      <w:start w:val="1"/>
      <w:numFmt w:val="lowerLetter"/>
      <w:pStyle w:val="Numbered11-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F712120"/>
    <w:multiLevelType w:val="multilevel"/>
    <w:tmpl w:val="1C10E11A"/>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8176832"/>
    <w:multiLevelType w:val="hybridMultilevel"/>
    <w:tmpl w:val="7492A46C"/>
    <w:lvl w:ilvl="0" w:tplc="5AEA28A4">
      <w:start w:val="2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1179"/>
    <w:multiLevelType w:val="hybridMultilevel"/>
    <w:tmpl w:val="2202F57E"/>
    <w:lvl w:ilvl="0" w:tplc="81700F12">
      <w:start w:val="1"/>
      <w:numFmt w:val="bullet"/>
      <w:pStyle w:val="Bullet11-1"/>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6395A"/>
    <w:multiLevelType w:val="hybridMultilevel"/>
    <w:tmpl w:val="1CC06AF0"/>
    <w:lvl w:ilvl="0" w:tplc="4E24535A">
      <w:start w:val="1"/>
      <w:numFmt w:val="lowerLetter"/>
      <w:pStyle w:val="Numbered12-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5B84494"/>
    <w:multiLevelType w:val="hybridMultilevel"/>
    <w:tmpl w:val="6DEA1B10"/>
    <w:lvl w:ilvl="0" w:tplc="A8F0B08E">
      <w:start w:val="1"/>
      <w:numFmt w:val="bullet"/>
      <w:pStyle w:val="Bullet11-2"/>
      <w:lvlText w:val=""/>
      <w:lvlJc w:val="left"/>
      <w:pPr>
        <w:tabs>
          <w:tab w:val="num" w:pos="864"/>
        </w:tabs>
        <w:ind w:left="864" w:hanging="432"/>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6012133"/>
    <w:multiLevelType w:val="hybridMultilevel"/>
    <w:tmpl w:val="086EAE32"/>
    <w:lvl w:ilvl="0" w:tplc="563240EE">
      <w:start w:val="1"/>
      <w:numFmt w:val="bullet"/>
      <w:pStyle w:val="GuideDash"/>
      <w:lvlText w:val=""/>
      <w:lvlJc w:val="left"/>
      <w:pPr>
        <w:tabs>
          <w:tab w:val="num" w:pos="1786"/>
        </w:tabs>
        <w:ind w:left="1714"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6132FB"/>
    <w:multiLevelType w:val="hybridMultilevel"/>
    <w:tmpl w:val="199AA300"/>
    <w:lvl w:ilvl="0" w:tplc="543CD1EE">
      <w:start w:val="1"/>
      <w:numFmt w:val="decimal"/>
      <w:pStyle w:val="Numbered12-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2A1A6970"/>
    <w:multiLevelType w:val="hybridMultilevel"/>
    <w:tmpl w:val="C1E281BC"/>
    <w:lvl w:ilvl="0" w:tplc="A1C23D16">
      <w:start w:val="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2306D"/>
    <w:multiLevelType w:val="hybridMultilevel"/>
    <w:tmpl w:val="2CECB85E"/>
    <w:lvl w:ilvl="0" w:tplc="82E062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9340E1"/>
    <w:multiLevelType w:val="hybridMultilevel"/>
    <w:tmpl w:val="40B6106E"/>
    <w:lvl w:ilvl="0" w:tplc="CB12182E">
      <w:start w:val="1"/>
      <w:numFmt w:val="bullet"/>
      <w:pStyle w:val="Bullet11-4"/>
      <w:lvlText w:val=""/>
      <w:lvlJc w:val="left"/>
      <w:pPr>
        <w:tabs>
          <w:tab w:val="num" w:pos="1728"/>
        </w:tabs>
        <w:ind w:left="1728" w:hanging="432"/>
      </w:pPr>
      <w:rPr>
        <w:rFonts w:ascii="Symbol" w:hAnsi="Symbol" w:hint="default"/>
      </w:rPr>
    </w:lvl>
    <w:lvl w:ilvl="1" w:tplc="04090019" w:tentative="1">
      <w:start w:val="1"/>
      <w:numFmt w:val="bullet"/>
      <w:lvlText w:val="o"/>
      <w:lvlJc w:val="left"/>
      <w:pPr>
        <w:ind w:left="2736" w:hanging="360"/>
      </w:pPr>
      <w:rPr>
        <w:rFonts w:ascii="Courier New" w:hAnsi="Courier New" w:cs="Courier New" w:hint="default"/>
      </w:rPr>
    </w:lvl>
    <w:lvl w:ilvl="2" w:tplc="0409001B" w:tentative="1">
      <w:start w:val="1"/>
      <w:numFmt w:val="bullet"/>
      <w:lvlText w:val=""/>
      <w:lvlJc w:val="left"/>
      <w:pPr>
        <w:ind w:left="3456" w:hanging="360"/>
      </w:pPr>
      <w:rPr>
        <w:rFonts w:ascii="Wingdings" w:hAnsi="Wingdings" w:hint="default"/>
      </w:rPr>
    </w:lvl>
    <w:lvl w:ilvl="3" w:tplc="0409000F" w:tentative="1">
      <w:start w:val="1"/>
      <w:numFmt w:val="bullet"/>
      <w:lvlText w:val=""/>
      <w:lvlJc w:val="left"/>
      <w:pPr>
        <w:ind w:left="4176" w:hanging="360"/>
      </w:pPr>
      <w:rPr>
        <w:rFonts w:ascii="Symbol" w:hAnsi="Symbol" w:hint="default"/>
      </w:rPr>
    </w:lvl>
    <w:lvl w:ilvl="4" w:tplc="04090019" w:tentative="1">
      <w:start w:val="1"/>
      <w:numFmt w:val="bullet"/>
      <w:lvlText w:val="o"/>
      <w:lvlJc w:val="left"/>
      <w:pPr>
        <w:ind w:left="4896" w:hanging="360"/>
      </w:pPr>
      <w:rPr>
        <w:rFonts w:ascii="Courier New" w:hAnsi="Courier New" w:cs="Courier New" w:hint="default"/>
      </w:rPr>
    </w:lvl>
    <w:lvl w:ilvl="5" w:tplc="0409001B" w:tentative="1">
      <w:start w:val="1"/>
      <w:numFmt w:val="bullet"/>
      <w:lvlText w:val=""/>
      <w:lvlJc w:val="left"/>
      <w:pPr>
        <w:ind w:left="5616" w:hanging="360"/>
      </w:pPr>
      <w:rPr>
        <w:rFonts w:ascii="Wingdings" w:hAnsi="Wingdings" w:hint="default"/>
      </w:rPr>
    </w:lvl>
    <w:lvl w:ilvl="6" w:tplc="0409000F" w:tentative="1">
      <w:start w:val="1"/>
      <w:numFmt w:val="bullet"/>
      <w:lvlText w:val=""/>
      <w:lvlJc w:val="left"/>
      <w:pPr>
        <w:ind w:left="6336" w:hanging="360"/>
      </w:pPr>
      <w:rPr>
        <w:rFonts w:ascii="Symbol" w:hAnsi="Symbol" w:hint="default"/>
      </w:rPr>
    </w:lvl>
    <w:lvl w:ilvl="7" w:tplc="04090019" w:tentative="1">
      <w:start w:val="1"/>
      <w:numFmt w:val="bullet"/>
      <w:lvlText w:val="o"/>
      <w:lvlJc w:val="left"/>
      <w:pPr>
        <w:ind w:left="7056" w:hanging="360"/>
      </w:pPr>
      <w:rPr>
        <w:rFonts w:ascii="Courier New" w:hAnsi="Courier New" w:cs="Courier New" w:hint="default"/>
      </w:rPr>
    </w:lvl>
    <w:lvl w:ilvl="8" w:tplc="0409001B" w:tentative="1">
      <w:start w:val="1"/>
      <w:numFmt w:val="bullet"/>
      <w:lvlText w:val=""/>
      <w:lvlJc w:val="left"/>
      <w:pPr>
        <w:ind w:left="7776" w:hanging="360"/>
      </w:pPr>
      <w:rPr>
        <w:rFonts w:ascii="Wingdings" w:hAnsi="Wingdings" w:hint="default"/>
      </w:rPr>
    </w:lvl>
  </w:abstractNum>
  <w:abstractNum w:abstractNumId="13" w15:restartNumberingAfterBreak="0">
    <w:nsid w:val="3A627BA6"/>
    <w:multiLevelType w:val="hybridMultilevel"/>
    <w:tmpl w:val="D222FADE"/>
    <w:lvl w:ilvl="0" w:tplc="E3F24EE2">
      <w:start w:val="1"/>
      <w:numFmt w:val="lowerLetter"/>
      <w:pStyle w:val="Numbered11-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14" w15:restartNumberingAfterBreak="0">
    <w:nsid w:val="3BFE4B2A"/>
    <w:multiLevelType w:val="hybridMultilevel"/>
    <w:tmpl w:val="0D68D196"/>
    <w:lvl w:ilvl="0" w:tplc="7D78CA18">
      <w:start w:val="1"/>
      <w:numFmt w:val="bullet"/>
      <w:pStyle w:val="Guide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73139"/>
    <w:multiLevelType w:val="multilevel"/>
    <w:tmpl w:val="1EE0BA6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681289"/>
    <w:multiLevelType w:val="hybridMultilevel"/>
    <w:tmpl w:val="4C747622"/>
    <w:lvl w:ilvl="0" w:tplc="7F2C4ACE">
      <w:start w:val="1"/>
      <w:numFmt w:val="decimal"/>
      <w:pStyle w:val="Reference"/>
      <w:lvlText w:val="%1."/>
      <w:lvlJc w:val="left"/>
      <w:pPr>
        <w:tabs>
          <w:tab w:val="num" w:pos="432"/>
        </w:tabs>
        <w:ind w:left="432" w:hanging="432"/>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04E29"/>
    <w:multiLevelType w:val="multilevel"/>
    <w:tmpl w:val="98D80B4C"/>
    <w:lvl w:ilvl="0">
      <w:start w:val="15"/>
      <w:numFmt w:val="decimal"/>
      <w:lvlText w:val="%1"/>
      <w:lvlJc w:val="left"/>
      <w:pPr>
        <w:ind w:left="460" w:hanging="460"/>
      </w:pPr>
      <w:rPr>
        <w:rFonts w:hint="default"/>
      </w:rPr>
    </w:lvl>
    <w:lvl w:ilvl="1">
      <w:start w:val="1"/>
      <w:numFmt w:val="decimal"/>
      <w:lvlText w:val="%1.%2"/>
      <w:lvlJc w:val="left"/>
      <w:pPr>
        <w:ind w:left="2360" w:hanging="460"/>
      </w:pPr>
      <w:rPr>
        <w:rFonts w:hint="default"/>
      </w:rPr>
    </w:lvl>
    <w:lvl w:ilvl="2">
      <w:start w:val="1"/>
      <w:numFmt w:val="decimal"/>
      <w:lvlText w:val="%1.%2.%3"/>
      <w:lvlJc w:val="left"/>
      <w:pPr>
        <w:ind w:left="4520" w:hanging="720"/>
      </w:pPr>
      <w:rPr>
        <w:rFonts w:hint="default"/>
      </w:rPr>
    </w:lvl>
    <w:lvl w:ilvl="3">
      <w:start w:val="1"/>
      <w:numFmt w:val="decimal"/>
      <w:lvlText w:val="%1.%2.%3.%4"/>
      <w:lvlJc w:val="left"/>
      <w:pPr>
        <w:ind w:left="6780" w:hanging="1080"/>
      </w:pPr>
      <w:rPr>
        <w:rFonts w:hint="default"/>
      </w:rPr>
    </w:lvl>
    <w:lvl w:ilvl="4">
      <w:start w:val="1"/>
      <w:numFmt w:val="decimal"/>
      <w:lvlText w:val="%1.%2.%3.%4.%5"/>
      <w:lvlJc w:val="left"/>
      <w:pPr>
        <w:ind w:left="8680" w:hanging="1080"/>
      </w:pPr>
      <w:rPr>
        <w:rFonts w:hint="default"/>
      </w:rPr>
    </w:lvl>
    <w:lvl w:ilvl="5">
      <w:start w:val="1"/>
      <w:numFmt w:val="decimal"/>
      <w:lvlText w:val="%1.%2.%3.%4.%5.%6"/>
      <w:lvlJc w:val="left"/>
      <w:pPr>
        <w:ind w:left="10940" w:hanging="1440"/>
      </w:pPr>
      <w:rPr>
        <w:rFonts w:hint="default"/>
      </w:rPr>
    </w:lvl>
    <w:lvl w:ilvl="6">
      <w:start w:val="1"/>
      <w:numFmt w:val="decimal"/>
      <w:lvlText w:val="%1.%2.%3.%4.%5.%6.%7"/>
      <w:lvlJc w:val="left"/>
      <w:pPr>
        <w:ind w:left="12840" w:hanging="1440"/>
      </w:pPr>
      <w:rPr>
        <w:rFonts w:hint="default"/>
      </w:rPr>
    </w:lvl>
    <w:lvl w:ilvl="7">
      <w:start w:val="1"/>
      <w:numFmt w:val="decimal"/>
      <w:lvlText w:val="%1.%2.%3.%4.%5.%6.%7.%8"/>
      <w:lvlJc w:val="left"/>
      <w:pPr>
        <w:ind w:left="15100" w:hanging="1800"/>
      </w:pPr>
      <w:rPr>
        <w:rFonts w:hint="default"/>
      </w:rPr>
    </w:lvl>
    <w:lvl w:ilvl="8">
      <w:start w:val="1"/>
      <w:numFmt w:val="decimal"/>
      <w:lvlText w:val="%1.%2.%3.%4.%5.%6.%7.%8.%9"/>
      <w:lvlJc w:val="left"/>
      <w:pPr>
        <w:ind w:left="17000" w:hanging="1800"/>
      </w:pPr>
      <w:rPr>
        <w:rFonts w:hint="default"/>
      </w:rPr>
    </w:lvl>
  </w:abstractNum>
  <w:abstractNum w:abstractNumId="18" w15:restartNumberingAfterBreak="0">
    <w:nsid w:val="44425603"/>
    <w:multiLevelType w:val="hybridMultilevel"/>
    <w:tmpl w:val="31AAA926"/>
    <w:lvl w:ilvl="0" w:tplc="BF2EBF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06289"/>
    <w:multiLevelType w:val="hybridMultilevel"/>
    <w:tmpl w:val="AA305F66"/>
    <w:lvl w:ilvl="0" w:tplc="3FEEF272">
      <w:start w:val="1"/>
      <w:numFmt w:val="bullet"/>
      <w:pStyle w:val="Bullet12-4"/>
      <w:lvlText w:val=""/>
      <w:lvlJc w:val="left"/>
      <w:pPr>
        <w:tabs>
          <w:tab w:val="num" w:pos="1728"/>
        </w:tabs>
        <w:ind w:left="1728" w:hanging="432"/>
      </w:pPr>
      <w:rPr>
        <w:rFonts w:ascii="Symbol" w:hAnsi="Symbol" w:hint="default"/>
      </w:rPr>
    </w:lvl>
    <w:lvl w:ilvl="1" w:tplc="87B84278" w:tentative="1">
      <w:start w:val="1"/>
      <w:numFmt w:val="bullet"/>
      <w:lvlText w:val="o"/>
      <w:lvlJc w:val="left"/>
      <w:pPr>
        <w:ind w:left="2736" w:hanging="360"/>
      </w:pPr>
      <w:rPr>
        <w:rFonts w:ascii="Courier New" w:hAnsi="Courier New" w:cs="Courier New" w:hint="default"/>
      </w:rPr>
    </w:lvl>
    <w:lvl w:ilvl="2" w:tplc="61B6F222" w:tentative="1">
      <w:start w:val="1"/>
      <w:numFmt w:val="bullet"/>
      <w:lvlText w:val=""/>
      <w:lvlJc w:val="left"/>
      <w:pPr>
        <w:ind w:left="3456" w:hanging="360"/>
      </w:pPr>
      <w:rPr>
        <w:rFonts w:ascii="Wingdings" w:hAnsi="Wingdings" w:hint="default"/>
      </w:rPr>
    </w:lvl>
    <w:lvl w:ilvl="3" w:tplc="A5D68794" w:tentative="1">
      <w:start w:val="1"/>
      <w:numFmt w:val="bullet"/>
      <w:lvlText w:val=""/>
      <w:lvlJc w:val="left"/>
      <w:pPr>
        <w:ind w:left="4176" w:hanging="360"/>
      </w:pPr>
      <w:rPr>
        <w:rFonts w:ascii="Symbol" w:hAnsi="Symbol" w:hint="default"/>
      </w:rPr>
    </w:lvl>
    <w:lvl w:ilvl="4" w:tplc="9988A51E" w:tentative="1">
      <w:start w:val="1"/>
      <w:numFmt w:val="bullet"/>
      <w:lvlText w:val="o"/>
      <w:lvlJc w:val="left"/>
      <w:pPr>
        <w:ind w:left="4896" w:hanging="360"/>
      </w:pPr>
      <w:rPr>
        <w:rFonts w:ascii="Courier New" w:hAnsi="Courier New" w:cs="Courier New" w:hint="default"/>
      </w:rPr>
    </w:lvl>
    <w:lvl w:ilvl="5" w:tplc="0EA8A69C" w:tentative="1">
      <w:start w:val="1"/>
      <w:numFmt w:val="bullet"/>
      <w:lvlText w:val=""/>
      <w:lvlJc w:val="left"/>
      <w:pPr>
        <w:ind w:left="5616" w:hanging="360"/>
      </w:pPr>
      <w:rPr>
        <w:rFonts w:ascii="Wingdings" w:hAnsi="Wingdings" w:hint="default"/>
      </w:rPr>
    </w:lvl>
    <w:lvl w:ilvl="6" w:tplc="33E8BFD2" w:tentative="1">
      <w:start w:val="1"/>
      <w:numFmt w:val="bullet"/>
      <w:lvlText w:val=""/>
      <w:lvlJc w:val="left"/>
      <w:pPr>
        <w:ind w:left="6336" w:hanging="360"/>
      </w:pPr>
      <w:rPr>
        <w:rFonts w:ascii="Symbol" w:hAnsi="Symbol" w:hint="default"/>
      </w:rPr>
    </w:lvl>
    <w:lvl w:ilvl="7" w:tplc="6F7EBE98" w:tentative="1">
      <w:start w:val="1"/>
      <w:numFmt w:val="bullet"/>
      <w:lvlText w:val="o"/>
      <w:lvlJc w:val="left"/>
      <w:pPr>
        <w:ind w:left="7056" w:hanging="360"/>
      </w:pPr>
      <w:rPr>
        <w:rFonts w:ascii="Courier New" w:hAnsi="Courier New" w:cs="Courier New" w:hint="default"/>
      </w:rPr>
    </w:lvl>
    <w:lvl w:ilvl="8" w:tplc="75B29F26" w:tentative="1">
      <w:start w:val="1"/>
      <w:numFmt w:val="bullet"/>
      <w:lvlText w:val=""/>
      <w:lvlJc w:val="left"/>
      <w:pPr>
        <w:ind w:left="7776" w:hanging="360"/>
      </w:pPr>
      <w:rPr>
        <w:rFonts w:ascii="Wingdings" w:hAnsi="Wingdings" w:hint="default"/>
      </w:rPr>
    </w:lvl>
  </w:abstractNum>
  <w:abstractNum w:abstractNumId="20" w15:restartNumberingAfterBreak="0">
    <w:nsid w:val="4D9348D3"/>
    <w:multiLevelType w:val="hybridMultilevel"/>
    <w:tmpl w:val="FB7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187E"/>
    <w:multiLevelType w:val="hybridMultilevel"/>
    <w:tmpl w:val="41581DBE"/>
    <w:lvl w:ilvl="0" w:tplc="71D46F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714268"/>
    <w:multiLevelType w:val="hybridMultilevel"/>
    <w:tmpl w:val="F1C471A8"/>
    <w:lvl w:ilvl="0" w:tplc="630400B8">
      <w:start w:val="1"/>
      <w:numFmt w:val="decimal"/>
      <w:pStyle w:val="Numbered12-1"/>
      <w:lvlText w:val="%1."/>
      <w:lvlJc w:val="left"/>
      <w:pPr>
        <w:tabs>
          <w:tab w:val="num" w:pos="432"/>
        </w:tabs>
        <w:ind w:left="432" w:hanging="432"/>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00DB5"/>
    <w:multiLevelType w:val="multilevel"/>
    <w:tmpl w:val="0F42B38E"/>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A8F68A4"/>
    <w:multiLevelType w:val="multilevel"/>
    <w:tmpl w:val="549A1B70"/>
    <w:lvl w:ilvl="0">
      <w:start w:val="8"/>
      <w:numFmt w:val="decimal"/>
      <w:lvlText w:val="%1"/>
      <w:lvlJc w:val="left"/>
      <w:pPr>
        <w:ind w:left="360" w:hanging="360"/>
      </w:pPr>
      <w:rPr>
        <w:rFonts w:hint="default"/>
      </w:rPr>
    </w:lvl>
    <w:lvl w:ilvl="1">
      <w:start w:val="3"/>
      <w:numFmt w:val="decimal"/>
      <w:lvlText w:val="%1.%2"/>
      <w:lvlJc w:val="left"/>
      <w:pPr>
        <w:ind w:left="1181"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543" w:hanging="108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545" w:hanging="144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547" w:hanging="1800"/>
      </w:pPr>
      <w:rPr>
        <w:rFonts w:hint="default"/>
      </w:rPr>
    </w:lvl>
    <w:lvl w:ilvl="8">
      <w:start w:val="1"/>
      <w:numFmt w:val="decimal"/>
      <w:lvlText w:val="%1.%2.%3.%4.%5.%6.%7.%8.%9"/>
      <w:lvlJc w:val="left"/>
      <w:pPr>
        <w:ind w:left="8368" w:hanging="1800"/>
      </w:pPr>
      <w:rPr>
        <w:rFonts w:hint="default"/>
      </w:rPr>
    </w:lvl>
  </w:abstractNum>
  <w:abstractNum w:abstractNumId="25" w15:restartNumberingAfterBreak="0">
    <w:nsid w:val="5C4D3538"/>
    <w:multiLevelType w:val="hybridMultilevel"/>
    <w:tmpl w:val="B98A62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022CB1"/>
    <w:multiLevelType w:val="singleLevel"/>
    <w:tmpl w:val="577EEDDE"/>
    <w:lvl w:ilvl="0">
      <w:start w:val="1"/>
      <w:numFmt w:val="bullet"/>
      <w:pStyle w:val="Bullet12-3"/>
      <w:lvlText w:val="o"/>
      <w:lvlJc w:val="left"/>
      <w:pPr>
        <w:tabs>
          <w:tab w:val="num" w:pos="1296"/>
        </w:tabs>
        <w:ind w:left="1296" w:hanging="432"/>
      </w:pPr>
      <w:rPr>
        <w:rFonts w:ascii="Courier New" w:hAnsi="Courier New" w:hint="default"/>
      </w:rPr>
    </w:lvl>
  </w:abstractNum>
  <w:abstractNum w:abstractNumId="27"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8" w15:restartNumberingAfterBreak="0">
    <w:nsid w:val="60BE2FF2"/>
    <w:multiLevelType w:val="hybridMultilevel"/>
    <w:tmpl w:val="E3ACF658"/>
    <w:lvl w:ilvl="0" w:tplc="4F501F7C">
      <w:start w:val="1"/>
      <w:numFmt w:val="bullet"/>
      <w:pStyle w:val="Bullet11-3"/>
      <w:lvlText w:val="o"/>
      <w:lvlJc w:val="left"/>
      <w:pPr>
        <w:tabs>
          <w:tab w:val="num" w:pos="1296"/>
        </w:tabs>
        <w:ind w:left="1296" w:hanging="432"/>
      </w:pPr>
      <w:rPr>
        <w:rFonts w:ascii="Courier New" w:hAnsi="Courier New" w:hint="default"/>
      </w:rPr>
    </w:lvl>
    <w:lvl w:ilvl="1" w:tplc="A732B43C" w:tentative="1">
      <w:start w:val="1"/>
      <w:numFmt w:val="bullet"/>
      <w:lvlText w:val="o"/>
      <w:lvlJc w:val="left"/>
      <w:pPr>
        <w:ind w:left="2304" w:hanging="360"/>
      </w:pPr>
      <w:rPr>
        <w:rFonts w:ascii="Courier New" w:hAnsi="Courier New" w:cs="Courier New" w:hint="default"/>
      </w:rPr>
    </w:lvl>
    <w:lvl w:ilvl="2" w:tplc="1012CAA0" w:tentative="1">
      <w:start w:val="1"/>
      <w:numFmt w:val="bullet"/>
      <w:lvlText w:val=""/>
      <w:lvlJc w:val="left"/>
      <w:pPr>
        <w:ind w:left="3024" w:hanging="360"/>
      </w:pPr>
      <w:rPr>
        <w:rFonts w:ascii="Wingdings" w:hAnsi="Wingdings" w:hint="default"/>
      </w:rPr>
    </w:lvl>
    <w:lvl w:ilvl="3" w:tplc="D1621BA6" w:tentative="1">
      <w:start w:val="1"/>
      <w:numFmt w:val="bullet"/>
      <w:lvlText w:val=""/>
      <w:lvlJc w:val="left"/>
      <w:pPr>
        <w:ind w:left="3744" w:hanging="360"/>
      </w:pPr>
      <w:rPr>
        <w:rFonts w:ascii="Symbol" w:hAnsi="Symbol" w:hint="default"/>
      </w:rPr>
    </w:lvl>
    <w:lvl w:ilvl="4" w:tplc="1754574C" w:tentative="1">
      <w:start w:val="1"/>
      <w:numFmt w:val="bullet"/>
      <w:lvlText w:val="o"/>
      <w:lvlJc w:val="left"/>
      <w:pPr>
        <w:ind w:left="4464" w:hanging="360"/>
      </w:pPr>
      <w:rPr>
        <w:rFonts w:ascii="Courier New" w:hAnsi="Courier New" w:cs="Courier New" w:hint="default"/>
      </w:rPr>
    </w:lvl>
    <w:lvl w:ilvl="5" w:tplc="727A3324" w:tentative="1">
      <w:start w:val="1"/>
      <w:numFmt w:val="bullet"/>
      <w:lvlText w:val=""/>
      <w:lvlJc w:val="left"/>
      <w:pPr>
        <w:ind w:left="5184" w:hanging="360"/>
      </w:pPr>
      <w:rPr>
        <w:rFonts w:ascii="Wingdings" w:hAnsi="Wingdings" w:hint="default"/>
      </w:rPr>
    </w:lvl>
    <w:lvl w:ilvl="6" w:tplc="3C1C7644" w:tentative="1">
      <w:start w:val="1"/>
      <w:numFmt w:val="bullet"/>
      <w:lvlText w:val=""/>
      <w:lvlJc w:val="left"/>
      <w:pPr>
        <w:ind w:left="5904" w:hanging="360"/>
      </w:pPr>
      <w:rPr>
        <w:rFonts w:ascii="Symbol" w:hAnsi="Symbol" w:hint="default"/>
      </w:rPr>
    </w:lvl>
    <w:lvl w:ilvl="7" w:tplc="B21A45CA" w:tentative="1">
      <w:start w:val="1"/>
      <w:numFmt w:val="bullet"/>
      <w:lvlText w:val="o"/>
      <w:lvlJc w:val="left"/>
      <w:pPr>
        <w:ind w:left="6624" w:hanging="360"/>
      </w:pPr>
      <w:rPr>
        <w:rFonts w:ascii="Courier New" w:hAnsi="Courier New" w:cs="Courier New" w:hint="default"/>
      </w:rPr>
    </w:lvl>
    <w:lvl w:ilvl="8" w:tplc="C088A29A" w:tentative="1">
      <w:start w:val="1"/>
      <w:numFmt w:val="bullet"/>
      <w:lvlText w:val=""/>
      <w:lvlJc w:val="left"/>
      <w:pPr>
        <w:ind w:left="7344" w:hanging="360"/>
      </w:pPr>
      <w:rPr>
        <w:rFonts w:ascii="Wingdings" w:hAnsi="Wingdings" w:hint="default"/>
      </w:rPr>
    </w:lvl>
  </w:abstractNum>
  <w:abstractNum w:abstractNumId="29" w15:restartNumberingAfterBreak="0">
    <w:nsid w:val="611227B5"/>
    <w:multiLevelType w:val="hybridMultilevel"/>
    <w:tmpl w:val="DD861FAE"/>
    <w:lvl w:ilvl="0" w:tplc="1B74770E">
      <w:start w:val="1"/>
      <w:numFmt w:val="decimal"/>
      <w:pStyle w:val="Numbered11-1"/>
      <w:lvlText w:val="%1."/>
      <w:lvlJc w:val="left"/>
      <w:pPr>
        <w:tabs>
          <w:tab w:val="num" w:pos="432"/>
        </w:tabs>
        <w:ind w:left="432" w:hanging="432"/>
      </w:pPr>
      <w:rPr>
        <w:rFonts w:ascii="Times New Roman" w:hAnsi="Times New Roman"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030C8"/>
    <w:multiLevelType w:val="hybridMultilevel"/>
    <w:tmpl w:val="207EE9C2"/>
    <w:lvl w:ilvl="0" w:tplc="1DFCB68A">
      <w:start w:val="1"/>
      <w:numFmt w:val="lowerLetter"/>
      <w:pStyle w:val="Numbered12-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31" w15:restartNumberingAfterBreak="0">
    <w:nsid w:val="61820BF1"/>
    <w:multiLevelType w:val="multilevel"/>
    <w:tmpl w:val="B76A02E0"/>
    <w:lvl w:ilvl="0">
      <w:start w:val="14"/>
      <w:numFmt w:val="decimal"/>
      <w:lvlText w:val="%1"/>
      <w:lvlJc w:val="left"/>
      <w:pPr>
        <w:ind w:left="460" w:hanging="460"/>
      </w:pPr>
      <w:rPr>
        <w:rFonts w:hint="default"/>
      </w:rPr>
    </w:lvl>
    <w:lvl w:ilvl="1">
      <w:start w:val="1"/>
      <w:numFmt w:val="decimal"/>
      <w:lvlText w:val="%1.%2"/>
      <w:lvlJc w:val="left"/>
      <w:pPr>
        <w:ind w:left="1900" w:hanging="4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63713A5C"/>
    <w:multiLevelType w:val="hybridMultilevel"/>
    <w:tmpl w:val="30D49C44"/>
    <w:lvl w:ilvl="0" w:tplc="6FEC3F90">
      <w:start w:val="1"/>
      <w:numFmt w:val="decimal"/>
      <w:pStyle w:val="Numbered11-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3" w15:restartNumberingAfterBreak="0">
    <w:nsid w:val="638C408D"/>
    <w:multiLevelType w:val="hybridMultilevel"/>
    <w:tmpl w:val="58F4D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B47B87"/>
    <w:multiLevelType w:val="multilevel"/>
    <w:tmpl w:val="9D94B4BC"/>
    <w:lvl w:ilvl="0">
      <w:start w:val="9"/>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2894C68"/>
    <w:multiLevelType w:val="singleLevel"/>
    <w:tmpl w:val="A28A1628"/>
    <w:lvl w:ilvl="0">
      <w:start w:val="1"/>
      <w:numFmt w:val="bullet"/>
      <w:pStyle w:val="Bullet12-2"/>
      <w:lvlText w:val=""/>
      <w:lvlJc w:val="left"/>
      <w:pPr>
        <w:tabs>
          <w:tab w:val="num" w:pos="864"/>
        </w:tabs>
        <w:ind w:left="864" w:hanging="432"/>
      </w:pPr>
      <w:rPr>
        <w:rFonts w:ascii="Symbol" w:hAnsi="Symbol" w:hint="default"/>
      </w:rPr>
    </w:lvl>
  </w:abstractNum>
  <w:num w:numId="1">
    <w:abstractNumId w:val="14"/>
  </w:num>
  <w:num w:numId="2">
    <w:abstractNumId w:val="8"/>
  </w:num>
  <w:num w:numId="3">
    <w:abstractNumId w:val="5"/>
  </w:num>
  <w:num w:numId="4">
    <w:abstractNumId w:val="7"/>
  </w:num>
  <w:num w:numId="5">
    <w:abstractNumId w:val="28"/>
  </w:num>
  <w:num w:numId="6">
    <w:abstractNumId w:val="12"/>
  </w:num>
  <w:num w:numId="7">
    <w:abstractNumId w:val="27"/>
  </w:num>
  <w:num w:numId="8">
    <w:abstractNumId w:val="35"/>
  </w:num>
  <w:num w:numId="9">
    <w:abstractNumId w:val="26"/>
  </w:num>
  <w:num w:numId="10">
    <w:abstractNumId w:val="19"/>
  </w:num>
  <w:num w:numId="11">
    <w:abstractNumId w:val="0"/>
  </w:num>
  <w:num w:numId="12">
    <w:abstractNumId w:val="29"/>
  </w:num>
  <w:num w:numId="13">
    <w:abstractNumId w:val="2"/>
  </w:num>
  <w:num w:numId="14">
    <w:abstractNumId w:val="32"/>
  </w:num>
  <w:num w:numId="15">
    <w:abstractNumId w:val="13"/>
  </w:num>
  <w:num w:numId="16">
    <w:abstractNumId w:val="22"/>
  </w:num>
  <w:num w:numId="17">
    <w:abstractNumId w:val="6"/>
  </w:num>
  <w:num w:numId="18">
    <w:abstractNumId w:val="9"/>
  </w:num>
  <w:num w:numId="19">
    <w:abstractNumId w:val="30"/>
  </w:num>
  <w:num w:numId="20">
    <w:abstractNumId w:val="16"/>
  </w:num>
  <w:num w:numId="21">
    <w:abstractNumId w:val="11"/>
  </w:num>
  <w:num w:numId="22">
    <w:abstractNumId w:val="25"/>
  </w:num>
  <w:num w:numId="23">
    <w:abstractNumId w:val="20"/>
  </w:num>
  <w:num w:numId="24">
    <w:abstractNumId w:val="18"/>
  </w:num>
  <w:num w:numId="25">
    <w:abstractNumId w:val="21"/>
  </w:num>
  <w:num w:numId="26">
    <w:abstractNumId w:val="33"/>
  </w:num>
  <w:num w:numId="27">
    <w:abstractNumId w:val="10"/>
  </w:num>
  <w:num w:numId="28">
    <w:abstractNumId w:val="4"/>
  </w:num>
  <w:num w:numId="29">
    <w:abstractNumId w:val="24"/>
  </w:num>
  <w:num w:numId="30">
    <w:abstractNumId w:val="15"/>
  </w:num>
  <w:num w:numId="31">
    <w:abstractNumId w:val="23"/>
  </w:num>
  <w:num w:numId="32">
    <w:abstractNumId w:val="31"/>
  </w:num>
  <w:num w:numId="33">
    <w:abstractNumId w:val="1"/>
  </w:num>
  <w:num w:numId="34">
    <w:abstractNumId w:val="3"/>
  </w:num>
  <w:num w:numId="35">
    <w:abstractNumId w:val="34"/>
  </w:num>
  <w:num w:numId="36">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0"/>
  <w:activeWritingStyle w:appName="MSWord" w:lang="nl-BE" w:vendorID="1" w:dllVersion="512" w:checkStyle="1"/>
  <w:proofState w:spelling="clean" w:grammar="clean"/>
  <w:defaultTabStop w:val="720"/>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numFmt w:val="lowerLetter"/>
    <w:numRestart w:val="eachPage"/>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nsertReferenceNote" w:val="R00"/>
    <w:docVar w:name="Toolbar" w:val="T00"/>
  </w:docVars>
  <w:rsids>
    <w:rsidRoot w:val="004C64E1"/>
    <w:rsid w:val="00016A0D"/>
    <w:rsid w:val="0003697E"/>
    <w:rsid w:val="00041968"/>
    <w:rsid w:val="000516CC"/>
    <w:rsid w:val="00055411"/>
    <w:rsid w:val="000647B5"/>
    <w:rsid w:val="00065CA7"/>
    <w:rsid w:val="00075BCE"/>
    <w:rsid w:val="00087D1A"/>
    <w:rsid w:val="00091DF5"/>
    <w:rsid w:val="00096EA4"/>
    <w:rsid w:val="000C22AD"/>
    <w:rsid w:val="000C5E15"/>
    <w:rsid w:val="000D6D72"/>
    <w:rsid w:val="000E0626"/>
    <w:rsid w:val="000E2812"/>
    <w:rsid w:val="000E623A"/>
    <w:rsid w:val="001003C8"/>
    <w:rsid w:val="00102CFA"/>
    <w:rsid w:val="0010371D"/>
    <w:rsid w:val="001242D2"/>
    <w:rsid w:val="001263F2"/>
    <w:rsid w:val="00131B32"/>
    <w:rsid w:val="001341BC"/>
    <w:rsid w:val="00154C52"/>
    <w:rsid w:val="00162A7D"/>
    <w:rsid w:val="00163FB6"/>
    <w:rsid w:val="0018509F"/>
    <w:rsid w:val="00192FC3"/>
    <w:rsid w:val="001937F5"/>
    <w:rsid w:val="00197CEF"/>
    <w:rsid w:val="001B3C51"/>
    <w:rsid w:val="001B57C1"/>
    <w:rsid w:val="001D57FB"/>
    <w:rsid w:val="001D6893"/>
    <w:rsid w:val="001D7812"/>
    <w:rsid w:val="001E21FF"/>
    <w:rsid w:val="001F3523"/>
    <w:rsid w:val="001F7B54"/>
    <w:rsid w:val="001F7BE6"/>
    <w:rsid w:val="00204A26"/>
    <w:rsid w:val="0021369C"/>
    <w:rsid w:val="00232167"/>
    <w:rsid w:val="00241FC8"/>
    <w:rsid w:val="0025230D"/>
    <w:rsid w:val="0025460F"/>
    <w:rsid w:val="00257247"/>
    <w:rsid w:val="00261AD0"/>
    <w:rsid w:val="00263C66"/>
    <w:rsid w:val="002744AE"/>
    <w:rsid w:val="0027482E"/>
    <w:rsid w:val="00285885"/>
    <w:rsid w:val="00286814"/>
    <w:rsid w:val="002874B0"/>
    <w:rsid w:val="00287A79"/>
    <w:rsid w:val="00287DF1"/>
    <w:rsid w:val="002907FF"/>
    <w:rsid w:val="00291B6D"/>
    <w:rsid w:val="002A2097"/>
    <w:rsid w:val="002B1083"/>
    <w:rsid w:val="002D4327"/>
    <w:rsid w:val="002E3689"/>
    <w:rsid w:val="002F14D5"/>
    <w:rsid w:val="002F18DC"/>
    <w:rsid w:val="002F582B"/>
    <w:rsid w:val="002F5C7D"/>
    <w:rsid w:val="00316041"/>
    <w:rsid w:val="00322A1F"/>
    <w:rsid w:val="00337C8E"/>
    <w:rsid w:val="0034145A"/>
    <w:rsid w:val="00343853"/>
    <w:rsid w:val="0034521A"/>
    <w:rsid w:val="00356468"/>
    <w:rsid w:val="00364FC8"/>
    <w:rsid w:val="0036578B"/>
    <w:rsid w:val="003657CC"/>
    <w:rsid w:val="003658A3"/>
    <w:rsid w:val="003747D1"/>
    <w:rsid w:val="0039251E"/>
    <w:rsid w:val="003A159C"/>
    <w:rsid w:val="003A178C"/>
    <w:rsid w:val="003A1C20"/>
    <w:rsid w:val="003C0663"/>
    <w:rsid w:val="003C06D6"/>
    <w:rsid w:val="003C3F07"/>
    <w:rsid w:val="003C4231"/>
    <w:rsid w:val="003C4550"/>
    <w:rsid w:val="003C4CB9"/>
    <w:rsid w:val="003C6C4C"/>
    <w:rsid w:val="003D110D"/>
    <w:rsid w:val="003F46FA"/>
    <w:rsid w:val="00411AE9"/>
    <w:rsid w:val="004157EB"/>
    <w:rsid w:val="00430857"/>
    <w:rsid w:val="004421FB"/>
    <w:rsid w:val="004429B9"/>
    <w:rsid w:val="00444183"/>
    <w:rsid w:val="00447BC8"/>
    <w:rsid w:val="004557AA"/>
    <w:rsid w:val="0046054D"/>
    <w:rsid w:val="004631E1"/>
    <w:rsid w:val="00465FC5"/>
    <w:rsid w:val="0047035A"/>
    <w:rsid w:val="00471D28"/>
    <w:rsid w:val="004738F2"/>
    <w:rsid w:val="004805F7"/>
    <w:rsid w:val="0048586C"/>
    <w:rsid w:val="0048597D"/>
    <w:rsid w:val="0049607E"/>
    <w:rsid w:val="004A4C21"/>
    <w:rsid w:val="004A503C"/>
    <w:rsid w:val="004B612F"/>
    <w:rsid w:val="004C4C63"/>
    <w:rsid w:val="004C64E1"/>
    <w:rsid w:val="004C6C99"/>
    <w:rsid w:val="004F18C5"/>
    <w:rsid w:val="004F6A9A"/>
    <w:rsid w:val="004F7B1D"/>
    <w:rsid w:val="00506A73"/>
    <w:rsid w:val="00506FE5"/>
    <w:rsid w:val="005219C8"/>
    <w:rsid w:val="00533332"/>
    <w:rsid w:val="0053367A"/>
    <w:rsid w:val="00533944"/>
    <w:rsid w:val="00535592"/>
    <w:rsid w:val="00537248"/>
    <w:rsid w:val="00561C8F"/>
    <w:rsid w:val="00564EA7"/>
    <w:rsid w:val="00583C05"/>
    <w:rsid w:val="00584E69"/>
    <w:rsid w:val="0059371D"/>
    <w:rsid w:val="005968F9"/>
    <w:rsid w:val="00596E1F"/>
    <w:rsid w:val="005B0C65"/>
    <w:rsid w:val="005B18FE"/>
    <w:rsid w:val="005C192E"/>
    <w:rsid w:val="005C4C12"/>
    <w:rsid w:val="005D2306"/>
    <w:rsid w:val="005D25CA"/>
    <w:rsid w:val="005F3006"/>
    <w:rsid w:val="00615418"/>
    <w:rsid w:val="006201A8"/>
    <w:rsid w:val="00631CD0"/>
    <w:rsid w:val="0064141C"/>
    <w:rsid w:val="006570C6"/>
    <w:rsid w:val="00661020"/>
    <w:rsid w:val="00661A42"/>
    <w:rsid w:val="00682B49"/>
    <w:rsid w:val="00696F8C"/>
    <w:rsid w:val="00696FBA"/>
    <w:rsid w:val="006C4D54"/>
    <w:rsid w:val="006C68F9"/>
    <w:rsid w:val="006C7043"/>
    <w:rsid w:val="006D1445"/>
    <w:rsid w:val="006D1A4D"/>
    <w:rsid w:val="006E4C7E"/>
    <w:rsid w:val="006E501E"/>
    <w:rsid w:val="006E59E3"/>
    <w:rsid w:val="006F3480"/>
    <w:rsid w:val="007001A6"/>
    <w:rsid w:val="00704BC7"/>
    <w:rsid w:val="007074F5"/>
    <w:rsid w:val="0072003A"/>
    <w:rsid w:val="007243BC"/>
    <w:rsid w:val="0072665D"/>
    <w:rsid w:val="007366FB"/>
    <w:rsid w:val="00743D45"/>
    <w:rsid w:val="00754071"/>
    <w:rsid w:val="0075562B"/>
    <w:rsid w:val="00757C5E"/>
    <w:rsid w:val="007603FF"/>
    <w:rsid w:val="00766811"/>
    <w:rsid w:val="0076772F"/>
    <w:rsid w:val="0077222A"/>
    <w:rsid w:val="0078268B"/>
    <w:rsid w:val="007956C8"/>
    <w:rsid w:val="007A00DE"/>
    <w:rsid w:val="007A6546"/>
    <w:rsid w:val="007C6B5C"/>
    <w:rsid w:val="007D0BC5"/>
    <w:rsid w:val="007D7BDC"/>
    <w:rsid w:val="007E1D0C"/>
    <w:rsid w:val="007F3093"/>
    <w:rsid w:val="00805738"/>
    <w:rsid w:val="008133C5"/>
    <w:rsid w:val="008163A5"/>
    <w:rsid w:val="008309C7"/>
    <w:rsid w:val="0084241E"/>
    <w:rsid w:val="00844CDA"/>
    <w:rsid w:val="0085332A"/>
    <w:rsid w:val="00855DA6"/>
    <w:rsid w:val="00870585"/>
    <w:rsid w:val="00875941"/>
    <w:rsid w:val="00876739"/>
    <w:rsid w:val="0088314A"/>
    <w:rsid w:val="0088451F"/>
    <w:rsid w:val="00892F82"/>
    <w:rsid w:val="00894BB9"/>
    <w:rsid w:val="008951B1"/>
    <w:rsid w:val="008A19E7"/>
    <w:rsid w:val="008A32FE"/>
    <w:rsid w:val="008A4218"/>
    <w:rsid w:val="008A5F7C"/>
    <w:rsid w:val="008B1363"/>
    <w:rsid w:val="008B270F"/>
    <w:rsid w:val="008D1DC3"/>
    <w:rsid w:val="008D4EBB"/>
    <w:rsid w:val="008E30F8"/>
    <w:rsid w:val="008F0478"/>
    <w:rsid w:val="008F3532"/>
    <w:rsid w:val="008F5606"/>
    <w:rsid w:val="00900A1E"/>
    <w:rsid w:val="00900E77"/>
    <w:rsid w:val="00910D3B"/>
    <w:rsid w:val="00914F4E"/>
    <w:rsid w:val="00942D4A"/>
    <w:rsid w:val="00965634"/>
    <w:rsid w:val="00976EDD"/>
    <w:rsid w:val="00992661"/>
    <w:rsid w:val="009B2F97"/>
    <w:rsid w:val="009B4CCD"/>
    <w:rsid w:val="009C0A50"/>
    <w:rsid w:val="009C1869"/>
    <w:rsid w:val="009F1512"/>
    <w:rsid w:val="009F399F"/>
    <w:rsid w:val="009F49F6"/>
    <w:rsid w:val="009F5F15"/>
    <w:rsid w:val="00A271D7"/>
    <w:rsid w:val="00A27F7B"/>
    <w:rsid w:val="00A328D6"/>
    <w:rsid w:val="00A349F0"/>
    <w:rsid w:val="00A3535E"/>
    <w:rsid w:val="00A62FA0"/>
    <w:rsid w:val="00A70CF3"/>
    <w:rsid w:val="00A75587"/>
    <w:rsid w:val="00A81585"/>
    <w:rsid w:val="00A90074"/>
    <w:rsid w:val="00AA4F55"/>
    <w:rsid w:val="00AA6537"/>
    <w:rsid w:val="00AA7DA1"/>
    <w:rsid w:val="00AC0679"/>
    <w:rsid w:val="00AC1E3D"/>
    <w:rsid w:val="00AD479C"/>
    <w:rsid w:val="00AD6AC5"/>
    <w:rsid w:val="00AD76A0"/>
    <w:rsid w:val="00AE443F"/>
    <w:rsid w:val="00AE54E0"/>
    <w:rsid w:val="00AE55AE"/>
    <w:rsid w:val="00B006D5"/>
    <w:rsid w:val="00B04AC8"/>
    <w:rsid w:val="00B10C74"/>
    <w:rsid w:val="00B22117"/>
    <w:rsid w:val="00B24B45"/>
    <w:rsid w:val="00B369A6"/>
    <w:rsid w:val="00B45A23"/>
    <w:rsid w:val="00B465FD"/>
    <w:rsid w:val="00B51CA8"/>
    <w:rsid w:val="00B54955"/>
    <w:rsid w:val="00B667B4"/>
    <w:rsid w:val="00B7104C"/>
    <w:rsid w:val="00B72FA3"/>
    <w:rsid w:val="00B75A1F"/>
    <w:rsid w:val="00B7761D"/>
    <w:rsid w:val="00B87BB7"/>
    <w:rsid w:val="00B935C4"/>
    <w:rsid w:val="00B959CF"/>
    <w:rsid w:val="00BB55D7"/>
    <w:rsid w:val="00BB74E9"/>
    <w:rsid w:val="00BC0EA4"/>
    <w:rsid w:val="00BC4DA8"/>
    <w:rsid w:val="00BC5ADD"/>
    <w:rsid w:val="00BC78F6"/>
    <w:rsid w:val="00BD369B"/>
    <w:rsid w:val="00BE1B70"/>
    <w:rsid w:val="00BE3A2D"/>
    <w:rsid w:val="00BE7D2F"/>
    <w:rsid w:val="00BF0D64"/>
    <w:rsid w:val="00BF5719"/>
    <w:rsid w:val="00C159F8"/>
    <w:rsid w:val="00C36CDE"/>
    <w:rsid w:val="00C36F65"/>
    <w:rsid w:val="00C4275C"/>
    <w:rsid w:val="00C63606"/>
    <w:rsid w:val="00C66B48"/>
    <w:rsid w:val="00C747EE"/>
    <w:rsid w:val="00C77179"/>
    <w:rsid w:val="00C77D83"/>
    <w:rsid w:val="00C92DE1"/>
    <w:rsid w:val="00C95008"/>
    <w:rsid w:val="00C959E4"/>
    <w:rsid w:val="00CA1741"/>
    <w:rsid w:val="00CA17FD"/>
    <w:rsid w:val="00CA20D0"/>
    <w:rsid w:val="00CA3B3D"/>
    <w:rsid w:val="00CA3F42"/>
    <w:rsid w:val="00CA49C0"/>
    <w:rsid w:val="00CA6824"/>
    <w:rsid w:val="00CB6458"/>
    <w:rsid w:val="00CC7659"/>
    <w:rsid w:val="00CD010E"/>
    <w:rsid w:val="00CE1C27"/>
    <w:rsid w:val="00CE3C6F"/>
    <w:rsid w:val="00CF221B"/>
    <w:rsid w:val="00D0021D"/>
    <w:rsid w:val="00D02996"/>
    <w:rsid w:val="00D36EDB"/>
    <w:rsid w:val="00D37689"/>
    <w:rsid w:val="00D41932"/>
    <w:rsid w:val="00D54CE5"/>
    <w:rsid w:val="00D5741B"/>
    <w:rsid w:val="00D659AB"/>
    <w:rsid w:val="00D7456B"/>
    <w:rsid w:val="00DA3DDF"/>
    <w:rsid w:val="00DB2E83"/>
    <w:rsid w:val="00DD54FD"/>
    <w:rsid w:val="00DE763F"/>
    <w:rsid w:val="00DF2695"/>
    <w:rsid w:val="00DF4520"/>
    <w:rsid w:val="00DF79D7"/>
    <w:rsid w:val="00E04BBF"/>
    <w:rsid w:val="00E051B7"/>
    <w:rsid w:val="00E1478E"/>
    <w:rsid w:val="00E17F70"/>
    <w:rsid w:val="00E22D86"/>
    <w:rsid w:val="00E31230"/>
    <w:rsid w:val="00E50BB3"/>
    <w:rsid w:val="00E60D7E"/>
    <w:rsid w:val="00E61646"/>
    <w:rsid w:val="00E61733"/>
    <w:rsid w:val="00E81551"/>
    <w:rsid w:val="00E8227F"/>
    <w:rsid w:val="00E82E79"/>
    <w:rsid w:val="00E84472"/>
    <w:rsid w:val="00E864F9"/>
    <w:rsid w:val="00E870D1"/>
    <w:rsid w:val="00E90790"/>
    <w:rsid w:val="00EA0A9C"/>
    <w:rsid w:val="00EA1DB6"/>
    <w:rsid w:val="00EA78ED"/>
    <w:rsid w:val="00EB0E89"/>
    <w:rsid w:val="00EB6E76"/>
    <w:rsid w:val="00EC0BD4"/>
    <w:rsid w:val="00EC426E"/>
    <w:rsid w:val="00EC6FA2"/>
    <w:rsid w:val="00ED270F"/>
    <w:rsid w:val="00ED5CD9"/>
    <w:rsid w:val="00EE132E"/>
    <w:rsid w:val="00EF2DF9"/>
    <w:rsid w:val="00EF6221"/>
    <w:rsid w:val="00EF70C0"/>
    <w:rsid w:val="00F00627"/>
    <w:rsid w:val="00F264D6"/>
    <w:rsid w:val="00F26512"/>
    <w:rsid w:val="00F321B9"/>
    <w:rsid w:val="00F35EC5"/>
    <w:rsid w:val="00F42818"/>
    <w:rsid w:val="00F44DB5"/>
    <w:rsid w:val="00F45C4E"/>
    <w:rsid w:val="00F55448"/>
    <w:rsid w:val="00F61EA8"/>
    <w:rsid w:val="00F633C3"/>
    <w:rsid w:val="00F72437"/>
    <w:rsid w:val="00F806C8"/>
    <w:rsid w:val="00F875A6"/>
    <w:rsid w:val="00F90F3E"/>
    <w:rsid w:val="00F935A8"/>
    <w:rsid w:val="00F97391"/>
    <w:rsid w:val="00F974A0"/>
    <w:rsid w:val="00FA09F6"/>
    <w:rsid w:val="00FA5748"/>
    <w:rsid w:val="00FB157B"/>
    <w:rsid w:val="00FC4378"/>
    <w:rsid w:val="00FC67D6"/>
    <w:rsid w:val="00FD5538"/>
    <w:rsid w:val="00FF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11359"/>
  <w15:docId w15:val="{7D6F3D65-3327-4FAC-A1DA-9C37ECCD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9F399F"/>
    <w:rPr>
      <w:sz w:val="24"/>
    </w:rPr>
  </w:style>
  <w:style w:type="paragraph" w:styleId="Heading1">
    <w:name w:val="heading 1"/>
    <w:next w:val="BodyText12"/>
    <w:qFormat/>
    <w:rsid w:val="00EB0E89"/>
    <w:pPr>
      <w:keepNext/>
      <w:keepLines/>
      <w:numPr>
        <w:ilvl w:val="1"/>
        <w:numId w:val="11"/>
      </w:numPr>
      <w:spacing w:before="240" w:after="120"/>
      <w:outlineLvl w:val="0"/>
    </w:pPr>
    <w:rPr>
      <w:rFonts w:ascii="Arial" w:hAnsi="Arial"/>
      <w:b/>
      <w:caps/>
      <w:sz w:val="24"/>
    </w:rPr>
  </w:style>
  <w:style w:type="paragraph" w:styleId="Heading2">
    <w:name w:val="heading 2"/>
    <w:next w:val="BodyText12"/>
    <w:qFormat/>
    <w:rsid w:val="00B006D5"/>
    <w:pPr>
      <w:keepNext/>
      <w:keepLines/>
      <w:numPr>
        <w:ilvl w:val="2"/>
        <w:numId w:val="11"/>
      </w:numPr>
      <w:spacing w:before="240" w:after="120"/>
      <w:outlineLvl w:val="1"/>
    </w:pPr>
    <w:rPr>
      <w:rFonts w:ascii="Arial" w:hAnsi="Arial"/>
      <w:b/>
      <w:sz w:val="24"/>
    </w:rPr>
  </w:style>
  <w:style w:type="paragraph" w:styleId="Heading3">
    <w:name w:val="heading 3"/>
    <w:next w:val="BodyText12"/>
    <w:qFormat/>
    <w:rsid w:val="00B006D5"/>
    <w:pPr>
      <w:keepNext/>
      <w:keepLines/>
      <w:numPr>
        <w:ilvl w:val="3"/>
        <w:numId w:val="11"/>
      </w:numPr>
      <w:spacing w:before="240" w:after="120"/>
      <w:outlineLvl w:val="2"/>
    </w:pPr>
    <w:rPr>
      <w:rFonts w:ascii="Arial" w:hAnsi="Arial"/>
      <w:b/>
      <w:sz w:val="24"/>
    </w:rPr>
  </w:style>
  <w:style w:type="paragraph" w:styleId="Heading4">
    <w:name w:val="heading 4"/>
    <w:next w:val="BodyText12"/>
    <w:qFormat/>
    <w:rsid w:val="00B006D5"/>
    <w:pPr>
      <w:keepNext/>
      <w:keepLines/>
      <w:numPr>
        <w:ilvl w:val="4"/>
        <w:numId w:val="11"/>
      </w:numPr>
      <w:spacing w:before="240" w:after="120"/>
      <w:outlineLvl w:val="3"/>
    </w:pPr>
    <w:rPr>
      <w:rFonts w:ascii="Arial" w:hAnsi="Arial"/>
      <w:b/>
      <w:sz w:val="24"/>
    </w:rPr>
  </w:style>
  <w:style w:type="paragraph" w:styleId="Heading5">
    <w:name w:val="heading 5"/>
    <w:next w:val="BodyText12"/>
    <w:qFormat/>
    <w:rsid w:val="00B006D5"/>
    <w:pPr>
      <w:keepNext/>
      <w:keepLines/>
      <w:numPr>
        <w:ilvl w:val="5"/>
        <w:numId w:val="11"/>
      </w:numPr>
      <w:spacing w:before="240" w:after="120"/>
      <w:outlineLvl w:val="4"/>
    </w:pPr>
    <w:rPr>
      <w:rFonts w:ascii="Arial" w:hAnsi="Arial"/>
      <w:b/>
      <w:sz w:val="24"/>
    </w:rPr>
  </w:style>
  <w:style w:type="paragraph" w:styleId="Heading6">
    <w:name w:val="heading 6"/>
    <w:next w:val="BodyText12"/>
    <w:qFormat/>
    <w:rsid w:val="00B006D5"/>
    <w:pPr>
      <w:keepNext/>
      <w:keepLines/>
      <w:numPr>
        <w:ilvl w:val="6"/>
        <w:numId w:val="11"/>
      </w:numPr>
      <w:spacing w:before="240" w:after="120"/>
      <w:outlineLvl w:val="5"/>
    </w:pPr>
    <w:rPr>
      <w:rFonts w:ascii="Arial" w:hAnsi="Arial"/>
      <w:b/>
      <w:sz w:val="24"/>
    </w:rPr>
  </w:style>
  <w:style w:type="paragraph" w:styleId="Heading7">
    <w:name w:val="heading 7"/>
    <w:next w:val="BodyText12"/>
    <w:qFormat/>
    <w:rsid w:val="00B006D5"/>
    <w:pPr>
      <w:keepNext/>
      <w:keepLines/>
      <w:numPr>
        <w:ilvl w:val="7"/>
        <w:numId w:val="11"/>
      </w:numPr>
      <w:spacing w:before="240" w:after="120"/>
      <w:outlineLvl w:val="6"/>
    </w:pPr>
    <w:rPr>
      <w:rFonts w:ascii="Arial" w:hAnsi="Arial"/>
      <w:b/>
      <w:sz w:val="24"/>
    </w:rPr>
  </w:style>
  <w:style w:type="paragraph" w:styleId="Heading8">
    <w:name w:val="heading 8"/>
    <w:next w:val="BodyText12"/>
    <w:qFormat/>
    <w:rsid w:val="00B006D5"/>
    <w:pPr>
      <w:keepNext/>
      <w:keepLines/>
      <w:numPr>
        <w:ilvl w:val="8"/>
        <w:numId w:val="11"/>
      </w:numPr>
      <w:spacing w:before="240" w:after="120"/>
      <w:outlineLvl w:val="7"/>
    </w:pPr>
    <w:rPr>
      <w:rFonts w:ascii="Arial" w:hAnsi="Arial"/>
      <w:b/>
      <w:sz w:val="24"/>
    </w:rPr>
  </w:style>
  <w:style w:type="paragraph" w:styleId="Heading9">
    <w:name w:val="heading 9"/>
    <w:next w:val="BodyText12"/>
    <w:semiHidden/>
    <w:qFormat/>
    <w:rsid w:val="00B006D5"/>
    <w:pPr>
      <w:keepNext/>
      <w:keepLines/>
      <w:tabs>
        <w:tab w:val="left" w:pos="2650"/>
      </w:tabs>
      <w:spacing w:after="60"/>
      <w:outlineLvl w:val="8"/>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2">
    <w:name w:val="Body Text 12"/>
    <w:qFormat/>
    <w:rsid w:val="00B006D5"/>
    <w:pPr>
      <w:spacing w:after="240" w:line="264" w:lineRule="auto"/>
      <w:jc w:val="both"/>
    </w:pPr>
    <w:rPr>
      <w:sz w:val="24"/>
    </w:rPr>
  </w:style>
  <w:style w:type="paragraph" w:styleId="TOC1">
    <w:name w:val="toc 1"/>
    <w:uiPriority w:val="39"/>
    <w:rsid w:val="00B006D5"/>
    <w:pPr>
      <w:tabs>
        <w:tab w:val="left" w:pos="504"/>
        <w:tab w:val="right" w:leader="dot" w:pos="9360"/>
      </w:tabs>
      <w:spacing w:before="200"/>
      <w:ind w:left="504" w:right="720" w:hanging="504"/>
    </w:pPr>
    <w:rPr>
      <w:rFonts w:ascii="Arial" w:hAnsi="Arial"/>
      <w:b/>
      <w:caps/>
    </w:rPr>
  </w:style>
  <w:style w:type="paragraph" w:styleId="TOC2">
    <w:name w:val="toc 2"/>
    <w:uiPriority w:val="39"/>
    <w:rsid w:val="00B006D5"/>
    <w:pPr>
      <w:tabs>
        <w:tab w:val="left" w:pos="720"/>
        <w:tab w:val="right" w:leader="dot" w:pos="9360"/>
      </w:tabs>
      <w:ind w:left="720" w:right="720" w:hanging="720"/>
    </w:pPr>
    <w:rPr>
      <w:rFonts w:ascii="Arial" w:hAnsi="Arial"/>
    </w:rPr>
  </w:style>
  <w:style w:type="paragraph" w:styleId="TOC3">
    <w:name w:val="toc 3"/>
    <w:uiPriority w:val="39"/>
    <w:rsid w:val="00B006D5"/>
    <w:pPr>
      <w:tabs>
        <w:tab w:val="left" w:pos="907"/>
        <w:tab w:val="right" w:leader="dot" w:pos="9360"/>
      </w:tabs>
      <w:ind w:left="907" w:right="720" w:hanging="907"/>
    </w:pPr>
    <w:rPr>
      <w:rFonts w:ascii="Arial" w:hAnsi="Arial"/>
    </w:rPr>
  </w:style>
  <w:style w:type="paragraph" w:styleId="TOC4">
    <w:name w:val="toc 4"/>
    <w:semiHidden/>
    <w:rsid w:val="00B006D5"/>
    <w:pPr>
      <w:tabs>
        <w:tab w:val="left" w:pos="1080"/>
        <w:tab w:val="right" w:leader="dot" w:pos="9360"/>
      </w:tabs>
      <w:ind w:left="1080" w:right="720" w:hanging="1080"/>
    </w:pPr>
    <w:rPr>
      <w:rFonts w:ascii="Arial" w:hAnsi="Arial"/>
    </w:rPr>
  </w:style>
  <w:style w:type="paragraph" w:styleId="TOC5">
    <w:name w:val="toc 5"/>
    <w:semiHidden/>
    <w:rsid w:val="00B006D5"/>
    <w:pPr>
      <w:tabs>
        <w:tab w:val="left" w:pos="1267"/>
        <w:tab w:val="right" w:leader="dot" w:pos="9360"/>
      </w:tabs>
      <w:ind w:left="1267" w:right="720" w:hanging="1267"/>
    </w:pPr>
    <w:rPr>
      <w:rFonts w:ascii="Arial" w:hAnsi="Arial"/>
      <w:szCs w:val="24"/>
    </w:rPr>
  </w:style>
  <w:style w:type="paragraph" w:styleId="TOC6">
    <w:name w:val="toc 6"/>
    <w:semiHidden/>
    <w:rsid w:val="00B006D5"/>
    <w:pPr>
      <w:tabs>
        <w:tab w:val="left" w:pos="1440"/>
        <w:tab w:val="right" w:leader="dot" w:pos="9360"/>
      </w:tabs>
      <w:ind w:left="1440" w:right="720" w:hanging="1440"/>
    </w:pPr>
    <w:rPr>
      <w:rFonts w:ascii="Arial" w:hAnsi="Arial"/>
    </w:rPr>
  </w:style>
  <w:style w:type="paragraph" w:styleId="TOC7">
    <w:name w:val="toc 7"/>
    <w:semiHidden/>
    <w:rsid w:val="00B006D5"/>
    <w:pPr>
      <w:tabs>
        <w:tab w:val="left" w:pos="1613"/>
        <w:tab w:val="right" w:leader="dot" w:pos="9360"/>
      </w:tabs>
      <w:ind w:left="1613" w:right="720" w:hanging="1613"/>
    </w:pPr>
    <w:rPr>
      <w:rFonts w:ascii="Arial" w:hAnsi="Arial"/>
    </w:rPr>
  </w:style>
  <w:style w:type="paragraph" w:styleId="TOC8">
    <w:name w:val="toc 8"/>
    <w:next w:val="Basic12"/>
    <w:semiHidden/>
    <w:rsid w:val="00B006D5"/>
    <w:pPr>
      <w:tabs>
        <w:tab w:val="left" w:pos="1800"/>
        <w:tab w:val="right" w:leader="dot" w:pos="9360"/>
      </w:tabs>
      <w:ind w:left="1800" w:right="720" w:hanging="1800"/>
    </w:pPr>
    <w:rPr>
      <w:rFonts w:ascii="Arial" w:hAnsi="Arial"/>
    </w:rPr>
  </w:style>
  <w:style w:type="paragraph" w:customStyle="1" w:styleId="Basic12">
    <w:name w:val="Basic 12"/>
    <w:qFormat/>
    <w:rsid w:val="00B006D5"/>
    <w:rPr>
      <w:sz w:val="24"/>
    </w:rPr>
  </w:style>
  <w:style w:type="paragraph" w:styleId="TOC9">
    <w:name w:val="toc 9"/>
    <w:basedOn w:val="Normal"/>
    <w:next w:val="Normal"/>
    <w:autoRedefine/>
    <w:semiHidden/>
    <w:rsid w:val="000E0626"/>
    <w:pPr>
      <w:tabs>
        <w:tab w:val="left" w:pos="2347"/>
        <w:tab w:val="right" w:leader="dot" w:pos="9360"/>
      </w:tabs>
      <w:ind w:left="1627" w:right="720" w:hanging="1627"/>
    </w:pPr>
    <w:rPr>
      <w:rFonts w:ascii="Arial" w:hAnsi="Arial"/>
      <w:sz w:val="20"/>
    </w:rPr>
  </w:style>
  <w:style w:type="paragraph" w:styleId="FootnoteText">
    <w:name w:val="footnote text"/>
    <w:semiHidden/>
    <w:rsid w:val="00B006D5"/>
    <w:pPr>
      <w:tabs>
        <w:tab w:val="left" w:pos="288"/>
      </w:tabs>
      <w:spacing w:after="120"/>
      <w:ind w:left="288" w:hanging="288"/>
      <w:jc w:val="both"/>
    </w:pPr>
  </w:style>
  <w:style w:type="paragraph" w:styleId="Header">
    <w:name w:val="header"/>
    <w:link w:val="HeaderChar"/>
    <w:uiPriority w:val="99"/>
    <w:rsid w:val="00B006D5"/>
  </w:style>
  <w:style w:type="character" w:customStyle="1" w:styleId="HeaderChar">
    <w:name w:val="Header Char"/>
    <w:basedOn w:val="DefaultParagraphFont"/>
    <w:link w:val="Header"/>
    <w:uiPriority w:val="99"/>
    <w:rsid w:val="00D7456B"/>
    <w:rPr>
      <w:lang w:val="en-US" w:eastAsia="en-US" w:bidi="ar-SA"/>
    </w:rPr>
  </w:style>
  <w:style w:type="paragraph" w:styleId="Footer">
    <w:name w:val="footer"/>
    <w:link w:val="FooterChar"/>
    <w:uiPriority w:val="99"/>
    <w:rsid w:val="00B006D5"/>
    <w:pPr>
      <w:spacing w:before="60"/>
    </w:pPr>
  </w:style>
  <w:style w:type="character" w:customStyle="1" w:styleId="FooterChar">
    <w:name w:val="Footer Char"/>
    <w:basedOn w:val="DefaultParagraphFont"/>
    <w:link w:val="Footer"/>
    <w:uiPriority w:val="99"/>
    <w:rsid w:val="0010371D"/>
    <w:rPr>
      <w:lang w:val="en-US" w:eastAsia="en-US" w:bidi="ar-SA"/>
    </w:rPr>
  </w:style>
  <w:style w:type="paragraph" w:customStyle="1" w:styleId="Basic11">
    <w:name w:val="Basic 11"/>
    <w:qFormat/>
    <w:rsid w:val="00B006D5"/>
    <w:rPr>
      <w:sz w:val="22"/>
    </w:rPr>
  </w:style>
  <w:style w:type="paragraph" w:customStyle="1" w:styleId="BodyText11">
    <w:name w:val="Body Text 11"/>
    <w:qFormat/>
    <w:rsid w:val="00B006D5"/>
    <w:pPr>
      <w:spacing w:after="180"/>
      <w:jc w:val="both"/>
    </w:pPr>
    <w:rPr>
      <w:sz w:val="22"/>
    </w:rPr>
  </w:style>
  <w:style w:type="character" w:styleId="FootnoteReference">
    <w:name w:val="footnote reference"/>
    <w:semiHidden/>
    <w:rsid w:val="00B006D5"/>
    <w:rPr>
      <w:dstrike w:val="0"/>
      <w:noProof w:val="0"/>
      <w:color w:val="auto"/>
      <w:vertAlign w:val="superscript"/>
      <w:lang w:val="en-US"/>
    </w:rPr>
  </w:style>
  <w:style w:type="character" w:styleId="PageNumber">
    <w:name w:val="page number"/>
    <w:basedOn w:val="DefaultParagraphFont"/>
    <w:semiHidden/>
    <w:rsid w:val="00B87BB7"/>
    <w:rPr>
      <w:rFonts w:ascii="Times New Roman" w:hAnsi="Times New Roman"/>
      <w:sz w:val="20"/>
      <w:lang w:val="en-US"/>
    </w:rPr>
  </w:style>
  <w:style w:type="character" w:styleId="Hyperlink">
    <w:name w:val="Hyperlink"/>
    <w:basedOn w:val="DefaultParagraphFont"/>
    <w:uiPriority w:val="99"/>
    <w:rsid w:val="00B006D5"/>
    <w:rPr>
      <w:color w:val="0000FF"/>
      <w:u w:val="none"/>
    </w:rPr>
  </w:style>
  <w:style w:type="paragraph" w:styleId="DocumentMap">
    <w:name w:val="Document Map"/>
    <w:basedOn w:val="Normal"/>
    <w:semiHidden/>
    <w:rsid w:val="00B87BB7"/>
    <w:pPr>
      <w:shd w:val="clear" w:color="auto" w:fill="000080"/>
    </w:pPr>
    <w:rPr>
      <w:rFonts w:ascii="Tahoma" w:hAnsi="Tahoma" w:cs="Tahoma"/>
    </w:rPr>
  </w:style>
  <w:style w:type="character" w:styleId="FollowedHyperlink">
    <w:name w:val="FollowedHyperlink"/>
    <w:basedOn w:val="DefaultParagraphFont"/>
    <w:semiHidden/>
    <w:rsid w:val="00B006D5"/>
    <w:rPr>
      <w:color w:val="800080"/>
      <w:u w:val="none"/>
    </w:rPr>
  </w:style>
  <w:style w:type="paragraph" w:customStyle="1" w:styleId="MarkforTOC">
    <w:name w:val="Mark for TOC"/>
    <w:next w:val="Basic11"/>
    <w:rsid w:val="00596E1F"/>
    <w:pPr>
      <w:keepNext/>
      <w:spacing w:before="60" w:after="60"/>
      <w:ind w:left="1440" w:hanging="1440"/>
    </w:pPr>
    <w:rPr>
      <w:rFonts w:ascii="Arial" w:hAnsi="Arial"/>
      <w:b/>
    </w:rPr>
  </w:style>
  <w:style w:type="paragraph" w:customStyle="1" w:styleId="GuideBullet">
    <w:name w:val="GuideBullet"/>
    <w:semiHidden/>
    <w:rsid w:val="00B87BB7"/>
    <w:pPr>
      <w:numPr>
        <w:numId w:val="1"/>
      </w:numPr>
      <w:tabs>
        <w:tab w:val="left" w:pos="288"/>
      </w:tabs>
      <w:spacing w:after="40"/>
    </w:pPr>
    <w:rPr>
      <w:sz w:val="22"/>
    </w:rPr>
  </w:style>
  <w:style w:type="paragraph" w:customStyle="1" w:styleId="GuideDash">
    <w:name w:val="GuideDash"/>
    <w:semiHidden/>
    <w:rsid w:val="00B87BB7"/>
    <w:pPr>
      <w:numPr>
        <w:numId w:val="2"/>
      </w:numPr>
      <w:tabs>
        <w:tab w:val="clear" w:pos="1786"/>
        <w:tab w:val="left" w:pos="576"/>
      </w:tabs>
      <w:spacing w:after="40"/>
      <w:ind w:left="576"/>
    </w:pPr>
    <w:rPr>
      <w:sz w:val="22"/>
    </w:rPr>
  </w:style>
  <w:style w:type="paragraph" w:customStyle="1" w:styleId="GuideText">
    <w:name w:val="GuideText"/>
    <w:semiHidden/>
    <w:rsid w:val="00B87BB7"/>
    <w:pPr>
      <w:keepLines/>
      <w:spacing w:after="100"/>
    </w:pPr>
    <w:rPr>
      <w:sz w:val="22"/>
    </w:rPr>
  </w:style>
  <w:style w:type="paragraph" w:customStyle="1" w:styleId="BodyText11Indent">
    <w:name w:val="Body Text 11 Indent"/>
    <w:qFormat/>
    <w:rsid w:val="00B006D5"/>
    <w:pPr>
      <w:spacing w:after="180"/>
      <w:ind w:left="432"/>
      <w:jc w:val="both"/>
    </w:pPr>
    <w:rPr>
      <w:sz w:val="22"/>
    </w:rPr>
  </w:style>
  <w:style w:type="paragraph" w:customStyle="1" w:styleId="BodyText12Indent">
    <w:name w:val="Body Text 12 Indent"/>
    <w:qFormat/>
    <w:rsid w:val="00B006D5"/>
    <w:pPr>
      <w:spacing w:after="240"/>
      <w:ind w:left="432"/>
      <w:jc w:val="both"/>
    </w:pPr>
    <w:rPr>
      <w:sz w:val="24"/>
    </w:rPr>
  </w:style>
  <w:style w:type="paragraph" w:customStyle="1" w:styleId="Bullet11-1">
    <w:name w:val="Bullet 11-1"/>
    <w:qFormat/>
    <w:rsid w:val="0088314A"/>
    <w:pPr>
      <w:numPr>
        <w:numId w:val="3"/>
      </w:numPr>
      <w:spacing w:after="120"/>
      <w:jc w:val="both"/>
    </w:pPr>
    <w:rPr>
      <w:sz w:val="22"/>
    </w:rPr>
  </w:style>
  <w:style w:type="paragraph" w:customStyle="1" w:styleId="Bullet11-2">
    <w:name w:val="Bullet 11-2"/>
    <w:qFormat/>
    <w:rsid w:val="0088314A"/>
    <w:pPr>
      <w:numPr>
        <w:numId w:val="4"/>
      </w:numPr>
      <w:spacing w:after="120"/>
      <w:jc w:val="both"/>
    </w:pPr>
    <w:rPr>
      <w:sz w:val="22"/>
    </w:rPr>
  </w:style>
  <w:style w:type="paragraph" w:customStyle="1" w:styleId="Bullet11-3">
    <w:name w:val="Bullet 11-3"/>
    <w:qFormat/>
    <w:rsid w:val="0088314A"/>
    <w:pPr>
      <w:numPr>
        <w:numId w:val="5"/>
      </w:numPr>
      <w:spacing w:after="120"/>
      <w:jc w:val="both"/>
    </w:pPr>
    <w:rPr>
      <w:sz w:val="22"/>
    </w:rPr>
  </w:style>
  <w:style w:type="paragraph" w:customStyle="1" w:styleId="Bullet11-4">
    <w:name w:val="Bullet 11-4"/>
    <w:qFormat/>
    <w:rsid w:val="0088314A"/>
    <w:pPr>
      <w:numPr>
        <w:numId w:val="6"/>
      </w:numPr>
      <w:spacing w:after="120"/>
      <w:jc w:val="both"/>
    </w:pPr>
    <w:rPr>
      <w:sz w:val="22"/>
    </w:rPr>
  </w:style>
  <w:style w:type="paragraph" w:customStyle="1" w:styleId="Bullet12-1">
    <w:name w:val="Bullet 12-1"/>
    <w:qFormat/>
    <w:rsid w:val="00B006D5"/>
    <w:pPr>
      <w:numPr>
        <w:numId w:val="7"/>
      </w:numPr>
      <w:spacing w:after="120"/>
      <w:jc w:val="both"/>
    </w:pPr>
    <w:rPr>
      <w:sz w:val="24"/>
    </w:rPr>
  </w:style>
  <w:style w:type="paragraph" w:customStyle="1" w:styleId="Bullet12-2">
    <w:name w:val="Bullet 12-2"/>
    <w:qFormat/>
    <w:rsid w:val="00B006D5"/>
    <w:pPr>
      <w:numPr>
        <w:numId w:val="8"/>
      </w:numPr>
      <w:spacing w:after="120"/>
      <w:jc w:val="both"/>
    </w:pPr>
    <w:rPr>
      <w:sz w:val="24"/>
    </w:rPr>
  </w:style>
  <w:style w:type="paragraph" w:customStyle="1" w:styleId="Bullet12-3">
    <w:name w:val="Bullet 12-3"/>
    <w:qFormat/>
    <w:rsid w:val="00B006D5"/>
    <w:pPr>
      <w:numPr>
        <w:numId w:val="9"/>
      </w:numPr>
      <w:spacing w:after="120"/>
      <w:jc w:val="both"/>
    </w:pPr>
    <w:rPr>
      <w:sz w:val="24"/>
    </w:rPr>
  </w:style>
  <w:style w:type="paragraph" w:customStyle="1" w:styleId="Bullet12-4">
    <w:name w:val="Bullet 12-4"/>
    <w:qFormat/>
    <w:rsid w:val="00B006D5"/>
    <w:pPr>
      <w:numPr>
        <w:numId w:val="10"/>
      </w:numPr>
      <w:spacing w:after="120"/>
      <w:jc w:val="both"/>
    </w:pPr>
    <w:rPr>
      <w:sz w:val="24"/>
    </w:rPr>
  </w:style>
  <w:style w:type="paragraph" w:styleId="Caption">
    <w:name w:val="caption"/>
    <w:next w:val="TableText"/>
    <w:qFormat/>
    <w:rsid w:val="0088314A"/>
    <w:pPr>
      <w:keepNext/>
      <w:tabs>
        <w:tab w:val="left" w:pos="1152"/>
      </w:tabs>
      <w:spacing w:before="60" w:after="60"/>
      <w:ind w:left="1152" w:hanging="1152"/>
    </w:pPr>
    <w:rPr>
      <w:b/>
      <w:bCs/>
      <w:szCs w:val="18"/>
    </w:rPr>
  </w:style>
  <w:style w:type="paragraph" w:customStyle="1" w:styleId="TableText">
    <w:name w:val="Table Text"/>
    <w:qFormat/>
    <w:rsid w:val="00B006D5"/>
    <w:pPr>
      <w:tabs>
        <w:tab w:val="left" w:pos="288"/>
        <w:tab w:val="left" w:pos="576"/>
        <w:tab w:val="left" w:pos="864"/>
      </w:tabs>
    </w:pPr>
  </w:style>
  <w:style w:type="paragraph" w:customStyle="1" w:styleId="Heading0">
    <w:name w:val="Heading 0"/>
    <w:next w:val="BodyText12"/>
    <w:qFormat/>
    <w:rsid w:val="00B006D5"/>
    <w:pPr>
      <w:keepNext/>
      <w:keepLines/>
      <w:numPr>
        <w:numId w:val="11"/>
      </w:numPr>
      <w:spacing w:before="240" w:after="120"/>
      <w:outlineLvl w:val="0"/>
    </w:pPr>
    <w:rPr>
      <w:rFonts w:ascii="Arial" w:hAnsi="Arial"/>
      <w:b/>
      <w:caps/>
      <w:sz w:val="24"/>
    </w:rPr>
  </w:style>
  <w:style w:type="paragraph" w:customStyle="1" w:styleId="Numbered11-1">
    <w:name w:val="Numbered 11-1"/>
    <w:qFormat/>
    <w:rsid w:val="00B006D5"/>
    <w:pPr>
      <w:numPr>
        <w:numId w:val="12"/>
      </w:numPr>
      <w:spacing w:after="120"/>
      <w:jc w:val="both"/>
    </w:pPr>
    <w:rPr>
      <w:sz w:val="22"/>
    </w:rPr>
  </w:style>
  <w:style w:type="paragraph" w:customStyle="1" w:styleId="Numbered11-2">
    <w:name w:val="Numbered 11-2"/>
    <w:qFormat/>
    <w:rsid w:val="00B006D5"/>
    <w:pPr>
      <w:numPr>
        <w:numId w:val="13"/>
      </w:numPr>
      <w:spacing w:after="120"/>
      <w:jc w:val="both"/>
    </w:pPr>
    <w:rPr>
      <w:sz w:val="22"/>
    </w:rPr>
  </w:style>
  <w:style w:type="paragraph" w:customStyle="1" w:styleId="Numbered11-3">
    <w:name w:val="Numbered 11-3"/>
    <w:qFormat/>
    <w:rsid w:val="00B006D5"/>
    <w:pPr>
      <w:numPr>
        <w:numId w:val="14"/>
      </w:numPr>
      <w:spacing w:after="120"/>
      <w:jc w:val="both"/>
    </w:pPr>
    <w:rPr>
      <w:sz w:val="22"/>
    </w:rPr>
  </w:style>
  <w:style w:type="paragraph" w:customStyle="1" w:styleId="Numbered11-4">
    <w:name w:val="Numbered 11-4"/>
    <w:qFormat/>
    <w:rsid w:val="00B006D5"/>
    <w:pPr>
      <w:numPr>
        <w:numId w:val="15"/>
      </w:numPr>
      <w:spacing w:after="120"/>
      <w:jc w:val="both"/>
    </w:pPr>
    <w:rPr>
      <w:sz w:val="22"/>
    </w:rPr>
  </w:style>
  <w:style w:type="paragraph" w:customStyle="1" w:styleId="Numbered12-1">
    <w:name w:val="Numbered 12-1"/>
    <w:qFormat/>
    <w:rsid w:val="00B006D5"/>
    <w:pPr>
      <w:numPr>
        <w:numId w:val="16"/>
      </w:numPr>
      <w:spacing w:after="120"/>
      <w:jc w:val="both"/>
    </w:pPr>
    <w:rPr>
      <w:sz w:val="24"/>
    </w:rPr>
  </w:style>
  <w:style w:type="paragraph" w:customStyle="1" w:styleId="Numbered12-2">
    <w:name w:val="Numbered 12-2"/>
    <w:qFormat/>
    <w:rsid w:val="00B006D5"/>
    <w:pPr>
      <w:numPr>
        <w:numId w:val="17"/>
      </w:numPr>
      <w:spacing w:after="120"/>
      <w:jc w:val="both"/>
    </w:pPr>
    <w:rPr>
      <w:sz w:val="24"/>
    </w:rPr>
  </w:style>
  <w:style w:type="paragraph" w:customStyle="1" w:styleId="Numbered12-3">
    <w:name w:val="Numbered 12-3"/>
    <w:qFormat/>
    <w:rsid w:val="00B006D5"/>
    <w:pPr>
      <w:numPr>
        <w:numId w:val="18"/>
      </w:numPr>
      <w:spacing w:after="120"/>
      <w:jc w:val="both"/>
    </w:pPr>
    <w:rPr>
      <w:sz w:val="24"/>
    </w:rPr>
  </w:style>
  <w:style w:type="paragraph" w:customStyle="1" w:styleId="Numbered12-4">
    <w:name w:val="Numbered 12-4"/>
    <w:qFormat/>
    <w:rsid w:val="00B006D5"/>
    <w:pPr>
      <w:numPr>
        <w:numId w:val="19"/>
      </w:numPr>
      <w:spacing w:after="120"/>
      <w:jc w:val="both"/>
    </w:pPr>
    <w:rPr>
      <w:sz w:val="24"/>
    </w:rPr>
  </w:style>
  <w:style w:type="paragraph" w:customStyle="1" w:styleId="Reference">
    <w:name w:val="Reference"/>
    <w:qFormat/>
    <w:rsid w:val="004F7B1D"/>
    <w:pPr>
      <w:keepLines/>
      <w:numPr>
        <w:numId w:val="20"/>
      </w:numPr>
      <w:spacing w:after="120"/>
    </w:pPr>
  </w:style>
  <w:style w:type="paragraph" w:customStyle="1" w:styleId="SubheadingBold11">
    <w:name w:val="Subheading Bold 11"/>
    <w:next w:val="BodyText11"/>
    <w:qFormat/>
    <w:rsid w:val="00B006D5"/>
    <w:pPr>
      <w:keepNext/>
      <w:keepLines/>
      <w:spacing w:before="240" w:after="120"/>
    </w:pPr>
    <w:rPr>
      <w:b/>
      <w:sz w:val="22"/>
    </w:rPr>
  </w:style>
  <w:style w:type="paragraph" w:customStyle="1" w:styleId="SubheadingBold12">
    <w:name w:val="Subheading Bold 12"/>
    <w:next w:val="BodyText12"/>
    <w:qFormat/>
    <w:rsid w:val="00B006D5"/>
    <w:pPr>
      <w:keepNext/>
      <w:keepLines/>
      <w:spacing w:before="240" w:after="120"/>
    </w:pPr>
    <w:rPr>
      <w:b/>
      <w:sz w:val="24"/>
    </w:rPr>
  </w:style>
  <w:style w:type="paragraph" w:customStyle="1" w:styleId="SubheadingBoldItalics11">
    <w:name w:val="Subheading Bold Italics 11"/>
    <w:next w:val="BodyText11"/>
    <w:qFormat/>
    <w:rsid w:val="00B006D5"/>
    <w:pPr>
      <w:keepNext/>
      <w:keepLines/>
      <w:spacing w:before="240" w:after="120"/>
    </w:pPr>
    <w:rPr>
      <w:b/>
      <w:i/>
      <w:sz w:val="22"/>
    </w:rPr>
  </w:style>
  <w:style w:type="paragraph" w:customStyle="1" w:styleId="SubheadingBoldItalics12">
    <w:name w:val="Subheading Bold Italics 12"/>
    <w:next w:val="BodyText12"/>
    <w:qFormat/>
    <w:rsid w:val="00B006D5"/>
    <w:pPr>
      <w:keepNext/>
      <w:keepLines/>
      <w:spacing w:before="240" w:after="120"/>
    </w:pPr>
    <w:rPr>
      <w:b/>
      <w:i/>
      <w:sz w:val="24"/>
    </w:rPr>
  </w:style>
  <w:style w:type="paragraph" w:customStyle="1" w:styleId="TableFootnote">
    <w:name w:val="Table Footnote"/>
    <w:qFormat/>
    <w:rsid w:val="00B006D5"/>
    <w:pPr>
      <w:tabs>
        <w:tab w:val="left" w:pos="288"/>
      </w:tabs>
      <w:ind w:left="288" w:hanging="288"/>
    </w:pPr>
  </w:style>
  <w:style w:type="table" w:styleId="TableGrid">
    <w:name w:val="Table Grid"/>
    <w:basedOn w:val="TableNormal"/>
    <w:uiPriority w:val="59"/>
    <w:rsid w:val="0036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asic11"/>
    <w:uiPriority w:val="99"/>
    <w:unhideWhenUsed/>
    <w:rsid w:val="00EB6E76"/>
    <w:pPr>
      <w:tabs>
        <w:tab w:val="left" w:pos="1008"/>
        <w:tab w:val="right" w:leader="dot" w:pos="9360"/>
      </w:tabs>
      <w:ind w:left="1008" w:right="720" w:hanging="1008"/>
    </w:pPr>
    <w:rPr>
      <w:rFonts w:ascii="Arial" w:hAnsi="Arial"/>
    </w:rPr>
  </w:style>
  <w:style w:type="character" w:styleId="PlaceholderText">
    <w:name w:val="Placeholder Text"/>
    <w:basedOn w:val="DefaultParagraphFont"/>
    <w:uiPriority w:val="99"/>
    <w:semiHidden/>
    <w:rsid w:val="00F26512"/>
    <w:rPr>
      <w:color w:val="808080"/>
    </w:rPr>
  </w:style>
  <w:style w:type="paragraph" w:styleId="BalloonText">
    <w:name w:val="Balloon Text"/>
    <w:basedOn w:val="Normal"/>
    <w:link w:val="BalloonTextChar"/>
    <w:uiPriority w:val="99"/>
    <w:semiHidden/>
    <w:unhideWhenUsed/>
    <w:rsid w:val="00EF2DF9"/>
    <w:rPr>
      <w:rFonts w:ascii="Tahoma" w:hAnsi="Tahoma" w:cs="Tahoma"/>
      <w:sz w:val="16"/>
      <w:szCs w:val="16"/>
    </w:rPr>
  </w:style>
  <w:style w:type="character" w:customStyle="1" w:styleId="BalloonTextChar">
    <w:name w:val="Balloon Text Char"/>
    <w:basedOn w:val="DefaultParagraphFont"/>
    <w:link w:val="BalloonText"/>
    <w:uiPriority w:val="99"/>
    <w:semiHidden/>
    <w:rsid w:val="00EF2DF9"/>
    <w:rPr>
      <w:rFonts w:ascii="Tahoma" w:hAnsi="Tahoma" w:cs="Tahoma"/>
      <w:sz w:val="16"/>
      <w:szCs w:val="16"/>
    </w:rPr>
  </w:style>
  <w:style w:type="paragraph" w:styleId="ListParagraph">
    <w:name w:val="List Paragraph"/>
    <w:basedOn w:val="Normal"/>
    <w:uiPriority w:val="34"/>
    <w:qFormat/>
    <w:rsid w:val="00F806C8"/>
    <w:pPr>
      <w:spacing w:after="200" w:line="276" w:lineRule="auto"/>
      <w:ind w:left="720"/>
      <w:contextualSpacing/>
    </w:pPr>
    <w:rPr>
      <w:rFonts w:asciiTheme="minorHAnsi" w:eastAsiaTheme="minorHAnsi" w:hAnsiTheme="minorHAnsi" w:cstheme="minorBidi"/>
      <w:sz w:val="22"/>
      <w:szCs w:val="22"/>
    </w:rPr>
  </w:style>
  <w:style w:type="table" w:styleId="LightList-Accent1">
    <w:name w:val="Light List Accent 1"/>
    <w:basedOn w:val="TableNormal"/>
    <w:uiPriority w:val="61"/>
    <w:rsid w:val="00844CDA"/>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E051B7"/>
    <w:rPr>
      <w:sz w:val="16"/>
      <w:szCs w:val="16"/>
    </w:rPr>
  </w:style>
  <w:style w:type="paragraph" w:styleId="CommentText">
    <w:name w:val="annotation text"/>
    <w:basedOn w:val="Normal"/>
    <w:link w:val="CommentTextChar"/>
    <w:uiPriority w:val="99"/>
    <w:semiHidden/>
    <w:unhideWhenUsed/>
    <w:rsid w:val="00E051B7"/>
    <w:rPr>
      <w:sz w:val="20"/>
    </w:rPr>
  </w:style>
  <w:style w:type="character" w:customStyle="1" w:styleId="CommentTextChar">
    <w:name w:val="Comment Text Char"/>
    <w:basedOn w:val="DefaultParagraphFont"/>
    <w:link w:val="CommentText"/>
    <w:uiPriority w:val="99"/>
    <w:semiHidden/>
    <w:rsid w:val="00E051B7"/>
  </w:style>
  <w:style w:type="paragraph" w:styleId="CommentSubject">
    <w:name w:val="annotation subject"/>
    <w:basedOn w:val="CommentText"/>
    <w:next w:val="CommentText"/>
    <w:link w:val="CommentSubjectChar"/>
    <w:uiPriority w:val="99"/>
    <w:semiHidden/>
    <w:unhideWhenUsed/>
    <w:rsid w:val="00E051B7"/>
    <w:rPr>
      <w:b/>
      <w:bCs/>
    </w:rPr>
  </w:style>
  <w:style w:type="character" w:customStyle="1" w:styleId="CommentSubjectChar">
    <w:name w:val="Comment Subject Char"/>
    <w:basedOn w:val="CommentTextChar"/>
    <w:link w:val="CommentSubject"/>
    <w:uiPriority w:val="99"/>
    <w:semiHidden/>
    <w:rsid w:val="00E051B7"/>
    <w:rPr>
      <w:b/>
      <w:bCs/>
    </w:rPr>
  </w:style>
  <w:style w:type="character" w:styleId="UnresolvedMention">
    <w:name w:val="Unresolved Mention"/>
    <w:basedOn w:val="DefaultParagraphFont"/>
    <w:uiPriority w:val="99"/>
    <w:semiHidden/>
    <w:unhideWhenUsed/>
    <w:rsid w:val="004441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73933">
      <w:bodyDiv w:val="1"/>
      <w:marLeft w:val="0"/>
      <w:marRight w:val="0"/>
      <w:marTop w:val="0"/>
      <w:marBottom w:val="0"/>
      <w:divBdr>
        <w:top w:val="none" w:sz="0" w:space="0" w:color="auto"/>
        <w:left w:val="none" w:sz="0" w:space="0" w:color="auto"/>
        <w:bottom w:val="none" w:sz="0" w:space="0" w:color="auto"/>
        <w:right w:val="none" w:sz="0" w:space="0" w:color="auto"/>
      </w:divBdr>
    </w:div>
    <w:div w:id="1366178635">
      <w:bodyDiv w:val="1"/>
      <w:marLeft w:val="0"/>
      <w:marRight w:val="0"/>
      <w:marTop w:val="0"/>
      <w:marBottom w:val="0"/>
      <w:divBdr>
        <w:top w:val="none" w:sz="0" w:space="0" w:color="auto"/>
        <w:left w:val="none" w:sz="0" w:space="0" w:color="auto"/>
        <w:bottom w:val="none" w:sz="0" w:space="0" w:color="auto"/>
        <w:right w:val="none" w:sz="0" w:space="0" w:color="auto"/>
      </w:divBdr>
    </w:div>
    <w:div w:id="177335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epi.jnj.com/atlas/"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s://epi.jnj.com/atlas/"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72F9E0A32ED74AAA64998076FDFA2B" ma:contentTypeVersion="0" ma:contentTypeDescription="Create a new document." ma:contentTypeScope="" ma:versionID="70fef11fc4b5b7b50e03f676962a08d8">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PrimaryCompoundNo/>
  <Generic/>
  <Status/>
  <ReportType/>
  <ProtocolNumber/>
  <DocumentDate>Click here to enter a date.</DocumentDate>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A3045718-1EA2-4D08-9A8B-542499320920}">
  <ds:schemaRefs>
    <ds:schemaRef ds:uri="http://schemas.microsoft.com/office/2006/metadata/properties"/>
  </ds:schemaRefs>
</ds:datastoreItem>
</file>

<file path=customXml/itemProps2.xml><?xml version="1.0" encoding="utf-8"?>
<ds:datastoreItem xmlns:ds="http://schemas.openxmlformats.org/officeDocument/2006/customXml" ds:itemID="{A241021C-AA6E-4BE1-8077-FB4F6BAC8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A3DEDE9-0BC8-49CD-8580-C72C6C41D76B}">
  <ds:schemaRefs>
    <ds:schemaRef ds:uri="http://schemas.microsoft.com/sharepoint/v3/contenttype/forms"/>
  </ds:schemaRefs>
</ds:datastoreItem>
</file>

<file path=customXml/itemProps4.xml><?xml version="1.0" encoding="utf-8"?>
<ds:datastoreItem xmlns:ds="http://schemas.openxmlformats.org/officeDocument/2006/customXml" ds:itemID="{815E9B28-5AF7-442E-A87D-865D6BBF3CA7}">
  <ds:schemaRefs/>
</ds:datastoreItem>
</file>

<file path=customXml/itemProps5.xml><?xml version="1.0" encoding="utf-8"?>
<ds:datastoreItem xmlns:ds="http://schemas.openxmlformats.org/officeDocument/2006/customXml" ds:itemID="{665230AF-3EA9-4BE6-8495-23319E95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Protocol for Retrospective Observational Studies with Secondary Use of Data</vt:lpstr>
    </vt:vector>
  </TitlesOfParts>
  <Company>JRD</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Retrospective Observational Studies with Secondary Use of Data</dc:title>
  <dc:subject>Template Version 4.0 - 11 January 2017</dc:subject>
  <dc:creator>Lori Horne</dc:creator>
  <dc:description>Clinical Template Coordinator - Lori Horne_x000d_
JRDUS-Raritan (908)-704-5839_x000d_
lhorne@its.jnj.com</dc:description>
  <cp:lastModifiedBy>Chandran, Urmila [JRDUS]</cp:lastModifiedBy>
  <cp:revision>5</cp:revision>
  <cp:lastPrinted>2006-08-03T20:01:00Z</cp:lastPrinted>
  <dcterms:created xsi:type="dcterms:W3CDTF">2018-07-09T16:55:00Z</dcterms:created>
  <dcterms:modified xsi:type="dcterms:W3CDTF">2018-07-11T14:23:00Z</dcterms:modified>
  <cp:category>With ERIS styles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0x0101003E72F9E0A32ED74AAA64998076FDFA2B</vt:lpwstr>
  </property>
</Properties>
</file>