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DF18" w14:textId="502C63CF" w:rsidR="00475FEC" w:rsidRPr="00A45BAD" w:rsidRDefault="00475FEC" w:rsidP="00A72E1B">
      <w:pPr>
        <w:pStyle w:val="AMIATitle"/>
      </w:pPr>
      <w:r w:rsidRPr="00A45BAD">
        <w:t>Mild Cognitive Impairment Prediction and Diagnos</w:t>
      </w:r>
      <w:r w:rsidR="00EA3260" w:rsidRPr="00A45BAD">
        <w:t>tic</w:t>
      </w:r>
      <w:r w:rsidRPr="00A45BAD">
        <w:t xml:space="preserve"> Procedure Recommendation using Machine Learning</w:t>
      </w:r>
    </w:p>
    <w:p w14:paraId="4B219ECF" w14:textId="77777777" w:rsidR="00803A3C" w:rsidRPr="00A45BAD" w:rsidRDefault="00803A3C">
      <w:pPr>
        <w:spacing w:after="194" w:line="216" w:lineRule="auto"/>
        <w:jc w:val="center"/>
        <w:rPr>
          <w:b/>
          <w:bCs/>
          <w:sz w:val="20"/>
          <w:szCs w:val="20"/>
        </w:rPr>
      </w:pPr>
    </w:p>
    <w:p w14:paraId="2803A20D" w14:textId="36DFC6E0" w:rsidR="008D513E" w:rsidRPr="00A45BAD" w:rsidRDefault="008D513E" w:rsidP="00A72E1B">
      <w:pPr>
        <w:pStyle w:val="AMIAAuthors"/>
      </w:pPr>
      <w:r w:rsidRPr="00A45BAD">
        <w:t xml:space="preserve">Sajjad Fouladvand, </w:t>
      </w:r>
      <w:r w:rsidR="0098507E" w:rsidRPr="00A45BAD">
        <w:t>PhD</w:t>
      </w:r>
      <w:r w:rsidR="0098507E" w:rsidRPr="00A45BAD">
        <w:rPr>
          <w:vertAlign w:val="superscript"/>
        </w:rPr>
        <w:t>1</w:t>
      </w:r>
      <w:r w:rsidRPr="00A45BAD">
        <w:t xml:space="preserve">, </w:t>
      </w:r>
      <w:r w:rsidR="0098507E" w:rsidRPr="00A45BAD">
        <w:t>Morteza Noshad</w:t>
      </w:r>
      <w:r w:rsidRPr="00A45BAD">
        <w:t>, PhD</w:t>
      </w:r>
      <w:r w:rsidR="0098507E" w:rsidRPr="00A45BAD">
        <w:rPr>
          <w:vertAlign w:val="superscript"/>
        </w:rPr>
        <w:t>1</w:t>
      </w:r>
      <w:r w:rsidRPr="00A45BAD">
        <w:t xml:space="preserve">, </w:t>
      </w:r>
      <w:r w:rsidR="0098507E" w:rsidRPr="00A45BAD">
        <w:t>Jonathan H Chen</w:t>
      </w:r>
      <w:r w:rsidRPr="00A45BAD">
        <w:t xml:space="preserve">, </w:t>
      </w:r>
      <w:r w:rsidR="0098507E" w:rsidRPr="00A45BAD">
        <w:t xml:space="preserve">MD, </w:t>
      </w:r>
      <w:r w:rsidRPr="00A45BAD">
        <w:t>PhD</w:t>
      </w:r>
      <w:r w:rsidRPr="00A45BAD">
        <w:rPr>
          <w:vertAlign w:val="superscript"/>
        </w:rPr>
        <w:t>1,2</w:t>
      </w:r>
    </w:p>
    <w:p w14:paraId="2E6C8465" w14:textId="43B65675" w:rsidR="008D513E" w:rsidRPr="00A45BAD" w:rsidRDefault="008D513E" w:rsidP="00A72E1B">
      <w:pPr>
        <w:pStyle w:val="AMIAAuthors"/>
      </w:pPr>
      <w:r w:rsidRPr="00A45BAD">
        <w:rPr>
          <w:vertAlign w:val="superscript"/>
        </w:rPr>
        <w:t>1</w:t>
      </w:r>
      <w:r w:rsidR="0098507E" w:rsidRPr="00A45BAD">
        <w:t>Stanford Center for Biomedical Informatics</w:t>
      </w:r>
      <w:r w:rsidRPr="00A45BAD">
        <w:t xml:space="preserve">, </w:t>
      </w:r>
      <w:r w:rsidR="0098507E" w:rsidRPr="00A45BAD">
        <w:t>Stanford University</w:t>
      </w:r>
      <w:r w:rsidRPr="00A45BAD">
        <w:t xml:space="preserve">, </w:t>
      </w:r>
      <w:r w:rsidR="0098507E" w:rsidRPr="00A45BAD">
        <w:t>Stanford</w:t>
      </w:r>
      <w:r w:rsidRPr="00A45BAD">
        <w:t xml:space="preserve">, </w:t>
      </w:r>
      <w:r w:rsidR="0098507E" w:rsidRPr="00A45BAD">
        <w:t>CA</w:t>
      </w:r>
      <w:r w:rsidRPr="00A45BAD">
        <w:t>, USA;</w:t>
      </w:r>
    </w:p>
    <w:p w14:paraId="6B93D63C" w14:textId="51D38CF0" w:rsidR="0098507E" w:rsidRPr="00A45BAD" w:rsidRDefault="0098507E" w:rsidP="00A72E1B">
      <w:pPr>
        <w:pStyle w:val="AMIAAuthors"/>
      </w:pPr>
      <w:r w:rsidRPr="00A45BAD">
        <w:t> </w:t>
      </w:r>
      <w:r w:rsidR="00475FEC" w:rsidRPr="00A45BAD">
        <w:rPr>
          <w:vertAlign w:val="superscript"/>
        </w:rPr>
        <w:t>2</w:t>
      </w:r>
      <w:r w:rsidRPr="00A45BAD">
        <w:t>Division of Hospital Medicine, Stanford University, Stanford, CA, USA;</w:t>
      </w:r>
    </w:p>
    <w:p w14:paraId="1C9AF356" w14:textId="77777777" w:rsidR="00475FEC" w:rsidRPr="00A45BAD" w:rsidRDefault="00475FEC" w:rsidP="00A72E1B">
      <w:pPr>
        <w:pStyle w:val="AMIAAuthors"/>
      </w:pPr>
    </w:p>
    <w:p w14:paraId="2F2DA74F" w14:textId="3BD2AF46" w:rsidR="00667DA9" w:rsidRPr="00A45BAD" w:rsidRDefault="00820F03" w:rsidP="00A72E1B">
      <w:pPr>
        <w:pStyle w:val="AMIAAbstractHeading"/>
      </w:pPr>
      <w:r w:rsidRPr="00A45BAD">
        <w:t>Abstract</w:t>
      </w:r>
    </w:p>
    <w:p w14:paraId="72A3440C" w14:textId="1171A08A" w:rsidR="00430E8A" w:rsidRDefault="004455A9" w:rsidP="00803C7A">
      <w:pPr>
        <w:spacing w:after="190"/>
        <w:ind w:left="-5" w:hanging="10"/>
        <w:rPr>
          <w:sz w:val="20"/>
          <w:szCs w:val="20"/>
        </w:rPr>
      </w:pPr>
      <w:r w:rsidRPr="00A45BAD">
        <w:rPr>
          <w:sz w:val="20"/>
          <w:szCs w:val="20"/>
        </w:rPr>
        <w:t>W</w:t>
      </w:r>
      <w:r w:rsidR="00554B9B" w:rsidRPr="00A45BAD">
        <w:rPr>
          <w:sz w:val="20"/>
          <w:szCs w:val="20"/>
        </w:rPr>
        <w:t xml:space="preserve">ithout proper prevention and treatment more than 78 million people will be suffering from a type of dementia by 2030. One possible solution is </w:t>
      </w:r>
      <w:r w:rsidR="00150D6D" w:rsidRPr="00A45BAD">
        <w:rPr>
          <w:sz w:val="20"/>
          <w:szCs w:val="20"/>
        </w:rPr>
        <w:t xml:space="preserve">to pivot public health toward identifying patients at the risk of dementia in early stages. In this study, we leverage real-world electronic health records and propose an automated machine learning based framework to predict </w:t>
      </w:r>
      <w:r w:rsidR="00EA3260" w:rsidRPr="00A45BAD">
        <w:rPr>
          <w:sz w:val="20"/>
          <w:szCs w:val="20"/>
        </w:rPr>
        <w:t>mild cognitive impairment (MCI)</w:t>
      </w:r>
      <w:r w:rsidR="00150D6D" w:rsidRPr="00A45BAD">
        <w:rPr>
          <w:sz w:val="20"/>
          <w:szCs w:val="20"/>
        </w:rPr>
        <w:t xml:space="preserve"> as an important risk factor for dementia. Further, </w:t>
      </w:r>
      <w:r w:rsidR="00620B97" w:rsidRPr="00A45BAD">
        <w:rPr>
          <w:sz w:val="20"/>
          <w:szCs w:val="20"/>
        </w:rPr>
        <w:t>our framework includes a recommender system suggesting necessary diagnostic procedures for patients at the risk of MCI. Our experimental results with logistic regression, random forest and XGBoost models trained and tested on more than 4</w:t>
      </w:r>
      <w:r w:rsidR="00803C7A">
        <w:rPr>
          <w:sz w:val="20"/>
          <w:szCs w:val="20"/>
        </w:rPr>
        <w:t>.2</w:t>
      </w:r>
      <w:r w:rsidR="00620B97" w:rsidRPr="00A45BAD">
        <w:rPr>
          <w:sz w:val="20"/>
          <w:szCs w:val="20"/>
        </w:rPr>
        <w:t>K MCI patients and more than 8</w:t>
      </w:r>
      <w:r w:rsidR="00803C7A">
        <w:rPr>
          <w:sz w:val="20"/>
          <w:szCs w:val="20"/>
        </w:rPr>
        <w:t>2</w:t>
      </w:r>
      <w:r w:rsidR="00620B97" w:rsidRPr="00A45BAD">
        <w:rPr>
          <w:sz w:val="20"/>
          <w:szCs w:val="20"/>
        </w:rPr>
        <w:t xml:space="preserve">K cognitively unimpaired patients show that XGBoost model </w:t>
      </w:r>
      <w:r w:rsidR="00EA3260" w:rsidRPr="00A45BAD">
        <w:rPr>
          <w:sz w:val="20"/>
          <w:szCs w:val="20"/>
        </w:rPr>
        <w:t xml:space="preserve">can predict </w:t>
      </w:r>
      <w:r w:rsidR="00620B97" w:rsidRPr="00A45BAD">
        <w:rPr>
          <w:sz w:val="20"/>
          <w:szCs w:val="20"/>
        </w:rPr>
        <w:t xml:space="preserve">MCI </w:t>
      </w:r>
      <w:r w:rsidR="00EA3260" w:rsidRPr="00A45BAD">
        <w:rPr>
          <w:sz w:val="20"/>
          <w:szCs w:val="20"/>
        </w:rPr>
        <w:t>one year before onset of the disease with ROCAUC of 0.683 and recommend necessary procedures for MCI patients effectively with averagely ROCAUC</w:t>
      </w:r>
      <w:r w:rsidR="00803C7A">
        <w:rPr>
          <w:sz w:val="20"/>
          <w:szCs w:val="20"/>
        </w:rPr>
        <w:t xml:space="preserve"> of</w:t>
      </w:r>
      <w:r w:rsidR="00620B97" w:rsidRPr="00A45BAD">
        <w:rPr>
          <w:sz w:val="20"/>
          <w:szCs w:val="20"/>
        </w:rPr>
        <w:t xml:space="preserve"> </w:t>
      </w:r>
      <w:r w:rsidR="005D555D" w:rsidRPr="00A45BAD">
        <w:rPr>
          <w:sz w:val="20"/>
          <w:szCs w:val="20"/>
        </w:rPr>
        <w:t>0.78</w:t>
      </w:r>
      <w:r w:rsidR="006261ED">
        <w:rPr>
          <w:sz w:val="20"/>
          <w:szCs w:val="20"/>
        </w:rPr>
        <w:t>4</w:t>
      </w:r>
      <w:r w:rsidR="005D555D" w:rsidRPr="00A45BAD">
        <w:rPr>
          <w:sz w:val="20"/>
          <w:szCs w:val="20"/>
        </w:rPr>
        <w:t>.</w:t>
      </w:r>
    </w:p>
    <w:p w14:paraId="1623133E" w14:textId="77777777" w:rsidR="00803C7A" w:rsidRPr="00A45BAD" w:rsidRDefault="00803C7A" w:rsidP="00803C7A">
      <w:pPr>
        <w:spacing w:after="190"/>
        <w:ind w:left="-5" w:hanging="10"/>
        <w:rPr>
          <w:sz w:val="20"/>
          <w:szCs w:val="20"/>
        </w:rPr>
      </w:pPr>
    </w:p>
    <w:p w14:paraId="48A629E3" w14:textId="405FBA48" w:rsidR="00DE43E9" w:rsidRPr="00A45BAD" w:rsidRDefault="00820F03" w:rsidP="00410A00">
      <w:pPr>
        <w:pStyle w:val="Heading1"/>
        <w:ind w:left="-5"/>
        <w:rPr>
          <w:rFonts w:ascii="Times New Roman" w:hAnsi="Times New Roman" w:cs="Times New Roman"/>
          <w:b/>
          <w:bCs/>
          <w:szCs w:val="20"/>
        </w:rPr>
      </w:pPr>
      <w:r w:rsidRPr="00A45BAD">
        <w:rPr>
          <w:rFonts w:ascii="Times New Roman" w:hAnsi="Times New Roman" w:cs="Times New Roman"/>
          <w:b/>
          <w:bCs/>
          <w:szCs w:val="20"/>
        </w:rPr>
        <w:t>Introduction</w:t>
      </w:r>
    </w:p>
    <w:p w14:paraId="7868CE95" w14:textId="6B1752AA" w:rsidR="00BA1E66" w:rsidRPr="00A45BAD" w:rsidRDefault="009E444D" w:rsidP="00A45BAD">
      <w:pPr>
        <w:pStyle w:val="AMIABodyText"/>
      </w:pPr>
      <w:r w:rsidRPr="00A45BAD">
        <w:t>Dementia is one of the major causes of mortality and morbidity in older people worldwide and it is estimated that 7</w:t>
      </w:r>
      <w:r w:rsidR="001325D1" w:rsidRPr="00A45BAD">
        <w:t>8</w:t>
      </w:r>
      <w:r w:rsidRPr="00A45BAD">
        <w:t xml:space="preserve"> million </w:t>
      </w:r>
      <w:r w:rsidR="00BA1E66" w:rsidRPr="00A45BAD">
        <w:t xml:space="preserve">people </w:t>
      </w:r>
      <w:r w:rsidRPr="00A45BAD">
        <w:t xml:space="preserve">will be dealing with a type of dementia by </w:t>
      </w:r>
      <w:r w:rsidR="001325D1" w:rsidRPr="00A45BAD">
        <w:t>the end of this decade</w:t>
      </w:r>
      <w:r w:rsidR="00803C7A">
        <w:t xml:space="preserve"> </w:t>
      </w:r>
      <w:r w:rsidR="009350DF" w:rsidRPr="00A45BAD">
        <w:fldChar w:fldCharType="begin"/>
      </w:r>
      <w:r w:rsidR="00C8668A" w:rsidRPr="00A45BAD">
        <w:instrText xml:space="preserve"> ADDIN ZOTERO_ITEM CSL_CITATION {"citationID":"zUyDFUdb","properties":{"formattedCitation":"(1)","plainCitation":"(1)","noteIndex":0},"citationItems":[{"id":6,"uris":["http://zotero.org/users/local/3oEVuZBY/items/PCCUU7QS"],"uri":["http://zotero.org/users/local/3oEVuZBY/items/PCCUU7QS"],"itemData":{"id":6,"type":"report","event-place":"London","publisher":"Alzheimer’s Disease International","publisher-place":"London","title":"World Alzheimer Report 2021: Journey through the diagnosis of dementia","author":[{"family":"Gauthier","given":"Serge"},{"family":"Rosa-Neto","given":"Pedro"},{"family":"Morais","given":"José A."},{"family":"Webster","given":"Claire"}],"issued":{"date-parts":[["2021"]]}}}],"schema":"https://github.com/citation-style-language/schema/raw/master/csl-citation.json"} </w:instrText>
      </w:r>
      <w:r w:rsidR="009350DF" w:rsidRPr="00A45BAD">
        <w:fldChar w:fldCharType="separate"/>
      </w:r>
      <w:r w:rsidR="00C8668A" w:rsidRPr="00A45BAD">
        <w:t>(1)</w:t>
      </w:r>
      <w:r w:rsidR="009350DF" w:rsidRPr="00A45BAD">
        <w:fldChar w:fldCharType="end"/>
      </w:r>
      <w:r w:rsidR="00BA1E66" w:rsidRPr="00A45BAD">
        <w:t>,</w:t>
      </w:r>
      <w:r w:rsidR="006D1860" w:rsidRPr="00A45BAD">
        <w:t xml:space="preserve"> placing a tremendous burden on patients and health care systems. An important risk factor for dementia is mild cognitive impairment</w:t>
      </w:r>
      <w:r w:rsidR="00B31906" w:rsidRPr="00A45BAD">
        <w:t xml:space="preserve"> (MCI)</w:t>
      </w:r>
      <w:r w:rsidR="00BA1E66" w:rsidRPr="00A45BAD">
        <w:t>.</w:t>
      </w:r>
      <w:r w:rsidR="00B31906" w:rsidRPr="00A45BAD">
        <w:t xml:space="preserve"> </w:t>
      </w:r>
      <w:r w:rsidR="00BA1E66" w:rsidRPr="00A45BAD">
        <w:t>I</w:t>
      </w:r>
      <w:r w:rsidR="00B31906" w:rsidRPr="00A45BAD">
        <w:t>dentifying early symptoms of MCI and recommending appropriate diagnos</w:t>
      </w:r>
      <w:r w:rsidR="00BA1E66" w:rsidRPr="00A45BAD">
        <w:t>tic</w:t>
      </w:r>
      <w:r w:rsidR="00B31906" w:rsidRPr="00A45BAD">
        <w:t xml:space="preserve"> procedures for patients at the risk of developing MCI </w:t>
      </w:r>
      <w:r w:rsidR="006D1860" w:rsidRPr="00A45BAD">
        <w:t>is a crucial task to help the aging population with their health needs.</w:t>
      </w:r>
      <w:r w:rsidR="00B31906" w:rsidRPr="00A45BAD">
        <w:t xml:space="preserve"> </w:t>
      </w:r>
      <w:r w:rsidR="00682E6D" w:rsidRPr="00A45BAD">
        <w:t>Early prediction for mild cognitive impairment could afford the option for early intervention. Even if there are limited clinical interventions known to effectively alter the course of MCI and dementia, identifying patients at risk would allow for targeted recruitment of such populations into clinical trials to study developing interventions. Learning and disseminating personalized diagnostic evaluation steps is a further essential process to optimize timely diagnosis of MCI cases, including evaluation and exclusion vs. diagnosis and treatment of potentially reversible causes (e.g., endocrine, nutritional, infectious, and other etiologies). </w:t>
      </w:r>
    </w:p>
    <w:p w14:paraId="1E56FCDB" w14:textId="2DA1B0E2" w:rsidR="00DB620C" w:rsidRPr="00A45BAD" w:rsidRDefault="00BA1E66" w:rsidP="00A45BAD">
      <w:pPr>
        <w:pStyle w:val="AMIABodyText"/>
      </w:pPr>
      <w:r w:rsidRPr="00A45BAD">
        <w:t>MCI</w:t>
      </w:r>
      <w:r w:rsidR="00AF178A" w:rsidRPr="00A45BAD">
        <w:t xml:space="preserve"> is mainly characterized by having minor memory impairment</w:t>
      </w:r>
      <w:r w:rsidR="00803C7A">
        <w:t xml:space="preserve"> </w:t>
      </w:r>
      <w:r w:rsidR="00AF178A" w:rsidRPr="00A45BAD">
        <w:fldChar w:fldCharType="begin"/>
      </w:r>
      <w:r w:rsidR="003178C4" w:rsidRPr="00A45BAD">
        <w:instrText xml:space="preserve"> ADDIN ZOTERO_ITEM CSL_CITATION {"citationID":"V87CRsOe","properties":{"formattedCitation":"(2)","plainCitation":"(2)","noteIndex":0},"citationItems":[{"id":32,"uris":["http://zotero.org/users/local/3oEVuZBY/items/ND7TTD68"],"uri":["http://zotero.org/users/local/3oEVuZBY/items/ND7TTD68"],"itemData":{"id":32,"type":"article-journal","container-title":"BMJ","DOI":"10.1136/bmj.h3029","ISSN":"1756-1833","journalAbbreviation":"BMJ","language":"en","note":"publisher: British Medical Journal Publishing Group\nsection: Clinical Review\nPMID: 26079686","source":"www.bmj.com","title":"Dementia: timely diagnosis and early intervention","title-short":"Dementia","URL":"https://www.bmj.com/content/350/bmj.h3029","volume":"350","author":[{"family":"Robinson","given":"Louise"},{"family":"Tang","given":"Eugene"},{"family":"Taylor","given":"John-Paul"}],"accessed":{"date-parts":[["2022",3,2]]},"issued":{"date-parts":[["2015",6,16]]}}}],"schema":"https://github.com/citation-style-language/schema/raw/master/csl-citation.json"} </w:instrText>
      </w:r>
      <w:r w:rsidR="00AF178A" w:rsidRPr="00A45BAD">
        <w:fldChar w:fldCharType="separate"/>
      </w:r>
      <w:r w:rsidR="003178C4" w:rsidRPr="00A45BAD">
        <w:t>(2)</w:t>
      </w:r>
      <w:r w:rsidR="00AF178A" w:rsidRPr="00A45BAD">
        <w:fldChar w:fldCharType="end"/>
      </w:r>
      <w:r w:rsidR="00AF178A" w:rsidRPr="00A45BAD">
        <w:t xml:space="preserve"> and is </w:t>
      </w:r>
      <w:r w:rsidR="003178C4" w:rsidRPr="00A45BAD">
        <w:t>formally diagnosed by evaluating individual</w:t>
      </w:r>
      <w:r w:rsidRPr="00A45BAD">
        <w:t>’</w:t>
      </w:r>
      <w:r w:rsidR="003178C4" w:rsidRPr="00A45BAD">
        <w:t xml:space="preserve">s cognitive as well as </w:t>
      </w:r>
      <w:r w:rsidRPr="00A45BAD">
        <w:t xml:space="preserve">performing </w:t>
      </w:r>
      <w:r w:rsidR="003178C4" w:rsidRPr="00A45BAD">
        <w:t>clinical examination by a healthcare professional</w:t>
      </w:r>
      <w:r w:rsidR="00803C7A">
        <w:t xml:space="preserve"> </w:t>
      </w:r>
      <w:r w:rsidR="003178C4" w:rsidRPr="00A45BAD">
        <w:fldChar w:fldCharType="begin"/>
      </w:r>
      <w:r w:rsidR="003178C4" w:rsidRPr="00A45BAD">
        <w:instrText xml:space="preserve"> ADDIN ZOTERO_ITEM CSL_CITATION {"citationID":"Iw9HT1fk","properties":{"formattedCitation":"(3)","plainCitation":"(3)","noteIndex":0},"citationItems":[{"id":29,"uris":["http://zotero.org/users/local/3oEVuZBY/items/7V3XHLAM"],"uri":["http://zotero.org/users/local/3oEVuZBY/items/7V3XHLAM"],"itemData":{"id":29,"type":"article-journal","abstract":"About 44.4 million people have been diagnosed with dementia worldwide, and it is estimated that this number will be almost tripled by 2050. Predicting mild cognitive impairment (MCI), an intermediate state between normal cognition and dementia and an important risk factor for the development of dementia is crucial in aging populations. MCI is formally determined by health professionals through a comprehensive cognitive evaluation, together with a clinical examination, medical history and often the input of an informant (an individual that know the patient very well). However, this is not routinely performed in primary care visits, and could result in a significant delay in diagnosis. In this study, we used deep learning and machine learning techniques to predict the progression from cognitively unimpaired to MCI and also to analyze the potential for patient clustering using routinely-collected electronic health records (EHRs). Our analysis of EHRs indicates that temporal characteristics of patient data incorporated in a deep learning model provides increased power in predicting MCI.","container-title":"Proceedings. IEEE International Conference on Bioinformatics and Biomedicine","DOI":"10.1109/bibm47256.2019.8982955","ISSN":"2156-1125","journalAbbreviation":"Proceedings (IEEE Int Conf Bioinformatics Biomed)","note":"PMID: 33194303\nPMCID: PMC7665163","page":"799-806","source":"PubMed Central","title":"Deep Learning Prediction of Mild Cognitive Impairment using Electronic Health Records","volume":"2019","author":[{"family":"Fouladvand","given":"Sajjad"},{"family":"Mielke","given":"Michelle M."},{"family":"Vassilaki","given":"Maria"},{"family":"Sauver","given":"Jennifer St."},{"family":"Petersen","given":"Ronald C."},{"family":"Sohn","given":"Sunghwan"}],"issued":{"date-parts":[["2019",11]]}}}],"schema":"https://github.com/citation-style-language/schema/raw/master/csl-citation.json"} </w:instrText>
      </w:r>
      <w:r w:rsidR="003178C4" w:rsidRPr="00A45BAD">
        <w:fldChar w:fldCharType="separate"/>
      </w:r>
      <w:r w:rsidR="003178C4" w:rsidRPr="00A45BAD">
        <w:t>(3)</w:t>
      </w:r>
      <w:r w:rsidR="003178C4" w:rsidRPr="00A45BAD">
        <w:fldChar w:fldCharType="end"/>
      </w:r>
      <w:r w:rsidR="003178C4" w:rsidRPr="00A45BAD">
        <w:t xml:space="preserve">. </w:t>
      </w:r>
      <w:r w:rsidR="009E444D" w:rsidRPr="00A45BAD">
        <w:t xml:space="preserve">However, </w:t>
      </w:r>
      <w:r w:rsidR="008E3631" w:rsidRPr="00A45BAD">
        <w:t xml:space="preserve">in many cases patients don’t routinely get screened for possible </w:t>
      </w:r>
      <w:r w:rsidRPr="00A45BAD">
        <w:t>MCI risks</w:t>
      </w:r>
      <w:r w:rsidR="009E444D" w:rsidRPr="00A45BAD">
        <w:t xml:space="preserve"> </w:t>
      </w:r>
      <w:r w:rsidR="008E3631" w:rsidRPr="00A45BAD">
        <w:t xml:space="preserve">and </w:t>
      </w:r>
      <w:r w:rsidRPr="00A45BAD">
        <w:t>as a result</w:t>
      </w:r>
      <w:r w:rsidR="008E3631" w:rsidRPr="00A45BAD">
        <w:t xml:space="preserve"> MCI diseases </w:t>
      </w:r>
      <w:r w:rsidR="009E444D" w:rsidRPr="00A45BAD">
        <w:t xml:space="preserve">are </w:t>
      </w:r>
      <w:r w:rsidR="008E3631" w:rsidRPr="00A45BAD">
        <w:t xml:space="preserve">often </w:t>
      </w:r>
      <w:r w:rsidR="003178C4" w:rsidRPr="00A45BAD">
        <w:t xml:space="preserve">either </w:t>
      </w:r>
      <w:r w:rsidR="009E444D" w:rsidRPr="00A45BAD">
        <w:t>under-diagnosed</w:t>
      </w:r>
      <w:r w:rsidR="00C270D7" w:rsidRPr="00A45BAD">
        <w:t xml:space="preserve"> </w:t>
      </w:r>
      <w:r w:rsidR="005B23CC" w:rsidRPr="00A45BAD">
        <w:t xml:space="preserve">or </w:t>
      </w:r>
      <w:r w:rsidR="003178C4" w:rsidRPr="00A45BAD">
        <w:t xml:space="preserve">the diagnosis </w:t>
      </w:r>
      <w:r w:rsidR="005B23CC" w:rsidRPr="00A45BAD">
        <w:t>occurs late in the illness trajectory.</w:t>
      </w:r>
      <w:r w:rsidR="00C270D7" w:rsidRPr="00A45BAD">
        <w:t xml:space="preserve"> </w:t>
      </w:r>
      <w:r w:rsidR="008E3631" w:rsidRPr="00A45BAD">
        <w:t>One solution to the lack of formal screening for MCI disease is to identify patients otherwise engaged in the health care system</w:t>
      </w:r>
      <w:r w:rsidR="00A45BAD" w:rsidRPr="00A45BAD">
        <w:t xml:space="preserve"> by creating automated </w:t>
      </w:r>
      <w:r w:rsidR="00682E6D">
        <w:t>tools</w:t>
      </w:r>
      <w:r w:rsidR="00A45BAD" w:rsidRPr="00A45BAD">
        <w:t xml:space="preserve"> to analyze </w:t>
      </w:r>
      <w:r w:rsidR="00682E6D" w:rsidRPr="00A45BAD">
        <w:t>patients’</w:t>
      </w:r>
      <w:r w:rsidR="00A45BAD" w:rsidRPr="00A45BAD">
        <w:t xml:space="preserve"> medical history and detect those at the MCI risk</w:t>
      </w:r>
      <w:r w:rsidR="008E3631" w:rsidRPr="00A45BAD">
        <w:t>.</w:t>
      </w:r>
    </w:p>
    <w:p w14:paraId="577C5775" w14:textId="2F0B99C8" w:rsidR="0080403F" w:rsidRPr="00A45BAD" w:rsidRDefault="00135035" w:rsidP="00A45BAD">
      <w:pPr>
        <w:pStyle w:val="AMIABodyText"/>
      </w:pPr>
      <w:r w:rsidRPr="00A45BAD">
        <w:t>E</w:t>
      </w:r>
      <w:r w:rsidR="008E3631" w:rsidRPr="00A45BAD">
        <w:t xml:space="preserve">lectronic health records are </w:t>
      </w:r>
      <w:r w:rsidRPr="00A45BAD">
        <w:t xml:space="preserve">growing source of information that can be harnessed to identify patients at risk of MCI. </w:t>
      </w:r>
      <w:r w:rsidR="002D6B59" w:rsidRPr="00A45BAD">
        <w:t>E</w:t>
      </w:r>
      <w:r w:rsidR="009E444D" w:rsidRPr="00A45BAD">
        <w:t xml:space="preserve">arly and accurate diagnosis of such diseases can be addressed </w:t>
      </w:r>
      <w:r w:rsidR="006D1860" w:rsidRPr="00A45BAD">
        <w:t>using</w:t>
      </w:r>
      <w:r w:rsidR="009E444D" w:rsidRPr="00A45BAD">
        <w:t xml:space="preserve"> </w:t>
      </w:r>
      <w:r w:rsidR="0047242D" w:rsidRPr="00A45BAD">
        <w:t xml:space="preserve">machine learning based </w:t>
      </w:r>
      <w:r w:rsidR="009E444D" w:rsidRPr="00A45BAD">
        <w:t xml:space="preserve">tools and </w:t>
      </w:r>
      <w:r w:rsidR="00C270D7" w:rsidRPr="00A45BAD">
        <w:t>analyzing patients electronic health records (EHR)</w:t>
      </w:r>
      <w:r w:rsidR="00803C7A">
        <w:t xml:space="preserve"> </w:t>
      </w:r>
      <w:r w:rsidR="00C270D7" w:rsidRPr="00A45BAD">
        <w:fldChar w:fldCharType="begin"/>
      </w:r>
      <w:r w:rsidR="002F0386" w:rsidRPr="00A45BAD">
        <w:instrText xml:space="preserve"> ADDIN ZOTERO_ITEM CSL_CITATION {"citationID":"P9Rwplf4","properties":{"formattedCitation":"(4,5)","plainCitation":"(4,5)","noteIndex":0},"citationItems":[{"id":7,"uris":["http://zotero.org/users/local/3oEVuZBY/items/XQHTUNWU"],"uri":["http://zotero.org/users/local/3oEVuZBY/items/XQHTUNWU"],"itemData":{"id":7,"type":"paper-conference","abstract":"The aging population has led to an increase in cognitive impairment resulting in significant costs to patients, their families, and society. A research endeavor on a large cohort to better understand the frequency and severity of cognitive impairment is urgent to respond to the health needs of this population. However, little is known about temporal trends of patient health functions (i.e., activity of daily living) and how these trends are associated with the onset of cognitive impairment in older adults. Moreover, the use of rich source of clinical narratives in electronic health records to facilitate cognitive impairment research (i.e., topic analysis) has not been well explored. A study indicated that clinicians often delay a diagnosis of cognitive impairment and miss appropriate treatment of underlying diseases and comorbid conditions which may cause safety issues for the patient and others. This study is to characterize and better understand early signals of older adult cognitive impairment by examining temporal trends of patient activity of daily living and analyzing topics of patient medical conditions described in clinical narratives using semantic topic models.","container-title":"2018 IEEE International Conference on Bioinformatics and Biomedicine (BIBM)","DOI":"10.1109/BIBM.2018.8621278","event":"2018 IEEE International Conference on Bioinformatics and Biomedicine (BIBM)","page":"1636-1640","source":"IEEE Xplore","title":"Analyzing Early Signals of Older Adult Cognitive Impairment in Electronic Health Records","author":[{"family":"Goudarzvand","given":"Somaieh"},{"family":"Sauver","given":"Jennifer St."},{"family":"Mielke","given":"Michelle M."},{"family":"Takahashi","given":"Paul Y."},{"family":"Sohn","given":"Sunghwan"}],"issued":{"date-parts":[["2018",12]]}}},{"id":10,"uris":["http://zotero.org/users/local/3oEVuZBY/items/YGJ7LUJC"],"uri":["http://zotero.org/users/local/3oEVuZBY/items/YGJ7LUJC"],"itemData":{"id":10,"type":"article-journal","abstract":"BACKGROUND: The aging population has led to an increase in cognitive impairment (CI) resulting in significant costs to patients, their families, and society. A research endeavor on a large cohort to better understand the frequency and severity of CI is urgent to respond to the health needs of this population. However, little is known about temporal trends of patient health functions (i.e., activity of daily living [ADL]) and how these trends are associated with the onset of CI in elderly patients. Also, the use of a rich source of clinical free text in electronic health records (EHRs) to facilitate CI research has not been well explored. The aim of this study is to characterize and better understand early signals of elderly patient CI by examining temporal trends of patient ADL and analyzing topics of patient medical conditions in clinical free text using topic models.\nMETHODS: The study cohort consists of physician-diagnosed CI patients (n = 1,435) and cognitively unimpaired (CU) patients (n = 1,435) matched by age and sex, selected from patients 65 years of age or older at the time of enrollment in the Mayo Clinic Biobank. A corpus analysis was performed to examine the basic statistics of event types and practice settings where the physician first diagnosed CI. We analyzed the distribution of ADL in three different age groups over time before the development of CI. Furthermore, we applied three different topic modeling approaches on clinical free text to examine how patients' medical conditions change over time when they were close to CI diagnosis.\nRESULTS: The trajectories of ADL deterioration became steeper in CI patients than CU patients approximately 1 to 1.5 year(s) before the actual physician diagnosis of CI. The topic modeling showed that the topic terms were mostly correlated and captured the underlying semantics relevant to CI when approaching to CI diagnosis.\nCONCLUSIONS: There exist notable differences in temporal trends of basic and instrumental ADL between CI and CU patients. The trajectories of certain individual ADL, such as bathing and responsibility of own medication, were closely associated with CI development. The topic terms obtained by topic modeling methods from clinical free text have a potential to show how CI patients' conditions evolve and reveal overlooked conditions when they close to CI diagnosis.","container-title":"BMC medical informatics and decision making","DOI":"10.1186/s12911-019-0858-0","ISSN":"1472-6947","issue":"Suppl 4","journalAbbreviation":"BMC Med Inform Decis Mak","language":"eng","note":"PMID: 31391041\nPMCID: PMC6686236","page":"149","source":"PubMed","title":"Early temporal characteristics of elderly patient cognitive impairment in electronic health records","volume":"19","author":[{"family":"Goudarzvand","given":"Somaieh"},{"family":"St Sauver","given":"Jennifer"},{"family":"Mielke","given":"Michelle M."},{"family":"Takahashi","given":"Paul Y."},{"family":"Lee","given":"Yugyung"},{"family":"Sohn","given":"Sunghwan"}],"issued":{"date-parts":[["2019",8,8]]}}}],"schema":"https://github.com/citation-style-language/schema/raw/master/csl-citation.json"} </w:instrText>
      </w:r>
      <w:r w:rsidR="00C270D7" w:rsidRPr="00A45BAD">
        <w:fldChar w:fldCharType="separate"/>
      </w:r>
      <w:r w:rsidR="002F0386" w:rsidRPr="00A45BAD">
        <w:rPr>
          <w:noProof/>
        </w:rPr>
        <w:t>(4,5)</w:t>
      </w:r>
      <w:r w:rsidR="00C270D7" w:rsidRPr="00A45BAD">
        <w:fldChar w:fldCharType="end"/>
      </w:r>
      <w:r w:rsidR="009E444D" w:rsidRPr="00A45BAD">
        <w:t xml:space="preserve">. </w:t>
      </w:r>
      <w:r w:rsidR="001905AE" w:rsidRPr="00A45BAD">
        <w:rPr>
          <w:rFonts w:ascii="Calibri" w:hAnsi="Calibri" w:cs="Calibri"/>
        </w:rPr>
        <w:t>﻿</w:t>
      </w:r>
      <w:r w:rsidR="001905AE" w:rsidRPr="00A45BAD">
        <w:t>To this end, there have been multiple attempts to predict patients with cognitive impairment</w:t>
      </w:r>
      <w:r w:rsidR="00CC26FB" w:rsidRPr="00A45BAD">
        <w:t xml:space="preserve"> mostly using support vector machines (SVMs), logistic regression and random forest</w:t>
      </w:r>
      <w:r w:rsidR="00682E6D">
        <w:t xml:space="preserve"> </w:t>
      </w:r>
      <w:r w:rsidR="00221E18" w:rsidRPr="00A45BAD">
        <w:fldChar w:fldCharType="begin"/>
      </w:r>
      <w:r w:rsidR="002F0386" w:rsidRPr="00A45BAD">
        <w:instrText xml:space="preserve"> ADDIN ZOTERO_ITEM CSL_CITATION {"citationID":"kAeFCj3Z","properties":{"formattedCitation":"(6\\uc0\\u8211{}9)","plainCitation":"(6–9)","noteIndex":0},"citationItems":[{"id":13,"uris":["http://zotero.org/users/local/3oEVuZBY/items/6VQD56FN"],"uri":["http://zotero.org/users/local/3oEVuZBY/items/6VQD56FN"],"itemData":{"id":13,"type":"article-journal","abstract":"OBJECTIVE: To review the current state of science using big data to advance Alzheimer's disease (AD) research and practice. In particular, we analyzed the types of research foci addressed, corresponding methods employed and study findings reported using big data in AD.\nMETHOD: Systematic review was conducted for articles published in PubMed from January 1, 2010 through December 31, 2015. Keywords with AD and big data analytics were used for literature retrieval. Articles were reviewed and included if they met the eligibility criteria.\nRESULTS: Thirty-eight articles were included in this review. They can be categorized into seven research foci: diagnosing AD or mild cognitive impairment (MCI) (n=10), predicting MCI to AD conversion (n=13), stratifying risks for AD (n=5), mining the literature for knowledge discovery (n=4), predicting AD progression (n=2), describing clinical care for persons with AD (n=3), and understanding the relationship between cognition and AD (n=3). The most commonly used datasets are AD Neuroimaging Initiative (ADNI) (n=16), electronic health records (EHR) (n=11), MEDLINE (n=3), and other research datasets (n=8). Logistic regression (n=9) and support vector machine (n=8) are the most used methods for data analysis.\nCONCLUSION: Big data are increasingly used to address AD-related research questions. While existing research datasets are frequently used, other datasets such as EHR data provide a unique, yet under-utilized opportunity for advancing AD research.","container-title":"International Journal of Medical Informatics","DOI":"10.1016/j.ijmedinf.2017.07.002","ISSN":"1872-8243","journalAbbreviation":"Int J Med Inform","language":"eng","note":"PMID: 28870383\nPMCID: PMC5590222","page":"48-56","source":"PubMed","title":"Advancing Alzheimer's research: A review of big data promises","title-short":"Advancing Alzheimer's research","volume":"106","author":[{"family":"Zhang","given":"Rui"},{"family":"Simon","given":"Gyorgy"},{"family":"Yu","given":"Fang"}],"issued":{"date-parts":[["2017",10]]}}},{"id":24,"uris":["http://zotero.org/users/local/3oEVuZBY/items/WZUIWCLW"],"uri":["http://zotero.org/users/local/3oEVuZBY/items/WZUIWCLW"],"itemData":{"id":24,"type":"article-journal","abstract":"Machine learning methods pool diverse information to perform computer-assisted diagnosis and predict future clinical decline. We introduce a machine learning method to boost power in clinical trials. We created a Support Vector Machine algorithm that combines brain imaging and other biomarkers to classify 737 Alzheimer's disease Neuroimaging initiative (ADNI) subjects as having Alzheimer's disease (AD), mild cognitive impairment (MCI), or normal controls. We trained our classifiers based on example data including: MRI measures of hippocampal, ventricular, and temporal lobe volumes, a PET-FDG numerical summary, CSF biomarkers (t-tau, p-tau, and Abeta(42)), ApoE genotype, age, sex, and body mass index. MRI measures contributed most to Alzheimer's disease (AD) classification; PET-FDG and CSF biomarkers, particularly Abeta(42), contributed more to MCI classification. Using all biomarkers jointly, we used our classifier to select the one-third of the subjects most likely to decline. In this subsample, fewer than 40 AD and MCI subjects would be needed to detect a 25% slowing in temporal lobe atrophy rates with 80% power--a substantial boosting of power relative to standard imaging measures.","container-title":"Neurobiology of Aging","DOI":"10.1016/j.neurobiolaging.2010.04.022","ISSN":"1558-1497","issue":"8","journalAbbreviation":"Neurobiol Aging","language":"eng","note":"PMID: 20541286\nPMCID: PMC2903199","page":"1429-1442","source":"PubMed","title":"Boosting power for clinical trials using classifiers based on multiple biomarkers","volume":"31","author":[{"family":"Kohannim","given":"Omid"},{"family":"Hua","given":"Xue"},{"family":"Hibar","given":"Derrek P."},{"family":"Lee","given":"Suh"},{"family":"Chou","given":"Yi-Yu"},{"family":"Toga","given":"Arthur W."},{"family":"Jack","given":"Clifford R."},{"family":"Weiner","given":"Michael W."},{"family":"Thompson","given":"Paul M."},{"literal":"Alzheimer's Disease Neuroimaging Initiative"}],"issued":{"date-parts":[["2010",8]]}}},{"id":21,"uris":["http://zotero.org/users/local/3oEVuZBY/items/P6XSW2NE"],"uri":["http://zotero.org/users/local/3oEVuZBY/items/P6XSW2NE"],"itemData":{"id":21,"type":"article-journal","abstract":"Machine learning techniques, along with imaging markers extracted from structural magnetic resonance images, have been shown to increase the accuracy to differentiate patients with Alzheimer's disease (AD) from normal elderly controls. Several forms of anatomical features, such as cortical volume, shape, and thickness, have demonstrated discriminative capability. These approaches rely on accurate non-linear image transformation, which could invite several nuisance factors, such as dependency on transformation parameters and the degree of anatomical abnormality, and an unpredictable influence of residual registration errors. In this study, we tested a simple method to extract disease-related anatomical features, which is suitable for initial stratification of the heterogeneous patient populations often encountered in clinical data. The method employed gray-level invariant features, which were extracted from linearly transformed images, to characterize AD-specific anatomical features. The intensity information from a disease-specific spatial masking, which was linearly registered to each patient, was used to capture the anatomical features. We implemented a two-step feature selection for anatomic recognition. First, a statistic-based feature selection was implemented to extract AD-related anatomical features while excluding non-significant features. Then, seven knowledge-based ROIs were used to capture the local discriminative powers of selected voxels within areas that were sensitive to AD or mild cognitive impairment (MCI). The discriminative capability of the proposed feature was measured by its performance in differentiating AD or MCI from normal elderly controls (NC) using a support vector machine. The statistic-based feature selection, together with the knowledge-based masks, provided a promising solution for capturing anatomical features of the brain efficiently. For the analysis of clinical populations, which are inherently heterogeneous, this approach could stratify the large amount of data rapidly and could be combined with more detailed subsequent analyses based on non-linear transformation.","container-title":"PLOS ONE","DOI":"10.1371/journal.pone.0105563","ISSN":"1932-6203","issue":"8","journalAbbreviation":"PLOS ONE","language":"en","note":"publisher: Public Library of Science","page":"e105563","source":"PLoS Journals","title":"An Efficient Approach for Differentiating Alzheimer's Disease from Normal Elderly Based on Multicenter MRI Using Gray-Level Invariant Features","volume":"9","author":[{"family":"Li","given":"Muwei"},{"family":"Oishi","given":"Kenichi"},{"family":"He","given":"Xiaohai"},{"family":"Qin","given":"Yuanyuan"},{"family":"Gao","given":"Fei"},{"family":"Mori","given":"Susumu"},{"family":"Initiative","given":"for the Alzheimer's Disease Neuroimaging"}],"issued":{"date-parts":[["2014",8,20]]}}},{"id":27,"uris":["http://zotero.org/users/local/3oEVuZBY/items/T5WFXNLY"],"uri":["http://zotero.org/users/local/3oEVuZBY/items/T5WFXNLY"],"itemData":{"id":27,"type":"article-journal","abstract":"Objective and early detection of Alzheimer's disease (AD) is a demanding problem requiring consideration of manymodal observations. Potentially, many features could be used to discern between people without AD and those at different stages of the disease. Such features include results from cognitive and memory tests, imaging (MRI, PET) results, cerebral spine fluid data, blood markers etc. However, in order to define an efficient and limited set of features that can be employed in classifiers requires mining of data from many patient cases. In this study we used two databases, ADNI and Kuopio LMCI, to investigate the relative importance of features and their combinations. Optimal feature combinations are to be used in a Clinical Decision Support System that is to be used in clinical AD diagnosis practice.","container-title":"Annual International Conference of the IEEE Engineering in Medicine and Biology Society. IEEE Engineering in Medicine and Biology Society. Annual International Conference","DOI":"10.1109/IEMBS.2010.5626311","ISSN":"2375-7477","journalAbbreviation":"Annu Int Conf IEEE Eng Med Biol Soc","language":"eng","note":"PMID: 21095977","page":"2886-2889","source":"PubMed","title":"Discovery and use of efficient biomarkers for objective disease state assessment in Alzheimer's disease","volume":"2010","author":[{"family":"Gils","given":"Mark","non-dropping-particle":"van"},{"family":"Koikkalainen","given":"Juha"},{"family":"Mattila","given":"Jussi"},{"family":"Herukka","given":"Sannakaisa"},{"family":"Lotjonen","given":"Jyrki"},{"family":"Soininen","given":"Hilkka"}],"issued":{"date-parts":[["2010"]]}}}],"schema":"https://github.com/citation-style-language/schema/raw/master/csl-citation.json"} </w:instrText>
      </w:r>
      <w:r w:rsidR="00221E18" w:rsidRPr="00A45BAD">
        <w:fldChar w:fldCharType="separate"/>
      </w:r>
      <w:r w:rsidR="002F0386" w:rsidRPr="00A45BAD">
        <w:t>(6–9)</w:t>
      </w:r>
      <w:r w:rsidR="00221E18" w:rsidRPr="00A45BAD">
        <w:fldChar w:fldCharType="end"/>
      </w:r>
      <w:r w:rsidR="00221E18" w:rsidRPr="00A45BAD">
        <w:t xml:space="preserve"> and public databases such as North American Alzheimer’s Disease Neuroimaging Initiative (ADNI)</w:t>
      </w:r>
      <w:r w:rsidR="00682E6D">
        <w:t xml:space="preserve"> </w:t>
      </w:r>
      <w:r w:rsidR="00221E18" w:rsidRPr="00A45BAD">
        <w:fldChar w:fldCharType="begin"/>
      </w:r>
      <w:r w:rsidR="003178C4" w:rsidRPr="00A45BAD">
        <w:instrText xml:space="preserve"> ADDIN ZOTERO_ITEM CSL_CITATION {"citationID":"mNnF7GWz","properties":{"formattedCitation":"(10)","plainCitation":"(10)","noteIndex":0},"citationItems":[{"id":16,"uris":["http://zotero.org/users/local/3oEVuZBY/items/CHNZ2M8C"],"uri":["http://zotero.org/users/local/3oEVuZBY/items/CHNZ2M8C"],"itemData":{"id":16,"type":"post-weblog","title":"Alzheimer’s Disease Neuroimaging Initiative","URL":"http://adni.loni.usc.edu/","accessed":{"date-parts":[["2022",3,3]]}}}],"schema":"https://github.com/citation-style-language/schema/raw/master/csl-citation.json"} </w:instrText>
      </w:r>
      <w:r w:rsidR="00221E18" w:rsidRPr="00A45BAD">
        <w:fldChar w:fldCharType="separate"/>
      </w:r>
      <w:r w:rsidR="003178C4" w:rsidRPr="00A45BAD">
        <w:rPr>
          <w:noProof/>
        </w:rPr>
        <w:t>(10)</w:t>
      </w:r>
      <w:r w:rsidR="00221E18" w:rsidRPr="00A45BAD">
        <w:fldChar w:fldCharType="end"/>
      </w:r>
      <w:r w:rsidR="00221E18" w:rsidRPr="00A45BAD">
        <w:t xml:space="preserve"> as well as the European’s AddNeuroMed Study</w:t>
      </w:r>
      <w:r w:rsidR="00682E6D">
        <w:t xml:space="preserve"> </w:t>
      </w:r>
      <w:r w:rsidR="000B780E" w:rsidRPr="00A45BAD">
        <w:fldChar w:fldCharType="begin"/>
      </w:r>
      <w:r w:rsidR="003178C4" w:rsidRPr="00A45BAD">
        <w:instrText xml:space="preserve"> ADDIN ZOTERO_ITEM CSL_CITATION {"citationID":"6fsCTr22","properties":{"formattedCitation":"(11)","plainCitation":"(11)","noteIndex":0},"citationItems":[{"id":17,"uris":["http://zotero.org/users/local/3oEVuZBY/items/X2T8MXA3"],"uri":["http://zotero.org/users/local/3oEVuZBY/items/X2T8MXA3"],"itemData":{"id":17,"type":"article-journal","abstract":"There is an urgent need for Alzheimer's disease (AD) biomarkers-especially in the context of clinical trials. Biomarkers for early diagnosis, disease progression, and prediction are most critical, and disease-modification therapy development may depend on the discovery and validation of such markers. AddNeuroMed is a cross European, public/private consortium developed for AD biomarker discovery. We report here the development and design of AddNeuroMed and the progress toward the development of plasma markers. Despite the obstacles to such markers, we have identified a range of markers including CFH and A2M, both of which have been independently replicated. The experience of AddNeuroMed leads us to three overall conclusions. First, collaboration is essential. Second, design is paramount and combining modalities, such as imaging and proteomics, may be informative. Third, animal models are valuable in biomarker research. Most importantly, we have learned that plasma markers are feasible.","container-title":"Annals of the New York Academy of Sciences","DOI":"10.1111/j.1749-6632.2009.05064.x","ISSN":"1749-6632","journalAbbreviation":"Ann N Y Acad Sci","language":"eng","note":"PMID: 19906259","page":"36-46","source":"PubMed","title":"AddNeuroMed--the European collaboration for the discovery of novel biomarkers for Alzheimer's disease","volume":"1180","author":[{"family":"Lovestone","given":"Simon"},{"family":"Francis","given":"Paul"},{"family":"Kloszewska","given":"Iwona"},{"family":"Mecocci","given":"Patrizia"},{"family":"Simmons","given":"Andrew"},{"family":"Soininen","given":"Hilkka"},{"family":"Spenger","given":"Christian"},{"family":"Tsolaki","given":"Magda"},{"family":"Vellas","given":"Bruno"},{"family":"Wahlund","given":"Lars-Olof"},{"family":"Ward","given":"Malcolm"},{"literal":"AddNeuroMed Consortium"}],"issued":{"date-parts":[["2009",10]]}}}],"schema":"https://github.com/citation-style-language/schema/raw/master/csl-citation.json"} </w:instrText>
      </w:r>
      <w:r w:rsidR="000B780E" w:rsidRPr="00A45BAD">
        <w:fldChar w:fldCharType="separate"/>
      </w:r>
      <w:r w:rsidR="003178C4" w:rsidRPr="00A45BAD">
        <w:rPr>
          <w:noProof/>
        </w:rPr>
        <w:t>(11)</w:t>
      </w:r>
      <w:r w:rsidR="000B780E" w:rsidRPr="00A45BAD">
        <w:fldChar w:fldCharType="end"/>
      </w:r>
      <w:r w:rsidR="001905AE" w:rsidRPr="00A45BAD">
        <w:t xml:space="preserve">. </w:t>
      </w:r>
      <w:r w:rsidR="002F0386" w:rsidRPr="00A45BAD">
        <w:t>SVM models have been effectively used to predict MCI using gait information of patients</w:t>
      </w:r>
      <w:r w:rsidR="00682E6D">
        <w:t xml:space="preserve"> </w:t>
      </w:r>
      <w:r w:rsidR="002F0386" w:rsidRPr="00A45BAD">
        <w:fldChar w:fldCharType="begin"/>
      </w:r>
      <w:r w:rsidR="002F0386" w:rsidRPr="00A45BAD">
        <w:instrText xml:space="preserve"> ADDIN ZOTERO_ITEM CSL_CITATION {"citationID":"UOAl0WND","properties":{"formattedCitation":"(12)","plainCitation":"(12)","noteIndex":0},"citationItems":[{"id":36,"uris":["http://zotero.org/users/local/3oEVuZBY/items/6D4GHB2G"],"uri":["http://zotero.org/users/local/3oEVuZBY/items/6D4GHB2G"],"itemData":{"id":36,"type":"article-journal","abstract":"Mild cognitive impairment (MCI) may be caused by Alzheimer’s disease, Parkinson’s disease (PD), cerebrovascular accident, nutritional or metabolic disorders, or mental disorders. It is important to determine the cause and treatment of dementia as early as possible because dementia may appear in remission. Decline in MCI cognitive function may affect a patient’s walking performance. Therefore, all participants in this study participated in an experiment using a portable gait analysis system to perform walk, time up and go, and jump tests. The collected gait parameters are used in a machine learning classification model based on a support vector machine (SVM) and principal component analysis (PCA). The aim of the study is to predict different types of MCI patients based on gait information. It is shown that the machine learning classification model can predict different types of MCI patients. Specifically, the PCA–SVM model demonstrated better classification performance with 91.67% accuracy and 0.9714 area under the receiver operating characteristic curve (ROC AUC) using the polynomial kernel function in classifying PD–MCI and non-PD–MCI patients.","container-title":"Journal of Medical Systems","DOI":"10.1007/s10916-020-01578-7","ISSN":"1573-689X","issue":"6","journalAbbreviation":"J Med Syst","language":"en","page":"107","source":"Springer Link","title":"Gait-Based Machine Learning for Classifying Patients with Different Types of Mild Cognitive Impairment","volume":"44","author":[{"family":"Chen","given":"Pei-Hao"},{"family":"Lien","given":"Chieh-Wen"},{"family":"Wu","given":"Wen-Chun"},{"family":"Lee","given":"Lu-Shan"},{"family":"Shaw","given":"Jin-Siang"}],"issued":{"date-parts":[["2020",4,23]]}}}],"schema":"https://github.com/citation-style-language/schema/raw/master/csl-citation.json"} </w:instrText>
      </w:r>
      <w:r w:rsidR="002F0386" w:rsidRPr="00A45BAD">
        <w:fldChar w:fldCharType="separate"/>
      </w:r>
      <w:r w:rsidR="002F0386" w:rsidRPr="00A45BAD">
        <w:rPr>
          <w:noProof/>
        </w:rPr>
        <w:t>(12)</w:t>
      </w:r>
      <w:r w:rsidR="002F0386" w:rsidRPr="00A45BAD">
        <w:fldChar w:fldCharType="end"/>
      </w:r>
      <w:r w:rsidR="002F0386" w:rsidRPr="00A45BAD">
        <w:t xml:space="preserve">. </w:t>
      </w:r>
      <w:r w:rsidR="00501B65" w:rsidRPr="00A45BAD">
        <w:t>Other types of healthcare data such as image-based memory test results along with patients’ demographics and medical records have been used to produce MCI prediction tools using naïve bayes</w:t>
      </w:r>
      <w:r w:rsidR="00682E6D">
        <w:t xml:space="preserve"> models </w:t>
      </w:r>
      <w:r w:rsidR="0071126F" w:rsidRPr="00A45BAD">
        <w:fldChar w:fldCharType="begin"/>
      </w:r>
      <w:r w:rsidR="0071126F" w:rsidRPr="00A45BAD">
        <w:instrText xml:space="preserve"> ADDIN ZOTERO_ITEM CSL_CITATION {"citationID":"avPZj725","properties":{"formattedCitation":"(13)","plainCitation":"(13)","noteIndex":0},"citationItems":[{"id":38,"uris":["http://zotero.org/users/local/3oEVuZBY/items/LZNIMFW5"],"uri":["http://zotero.org/users/local/3oEVuZBY/items/LZNIMFW5"],"itemData":{"id":38,"type":"article-journal","abstract":"Background: The widespread incidence and prevalence of Alzheimer’s disease and mild cognitive impairment (MCI) has prompted an urgent call for research to validate early detection cognitive screening and assessment. Objective: Our primary research ai","container-title":"Journal of Alzheimer's Disease","DOI":"10.3233/JAD-191340","ISSN":"1387-2877","issue":"4","language":"en","note":"publisher: IOS Press","page":"1545-1558","source":"content.iospress.com","title":"Utility of MemTrax and Machine Learning Modeling in Classification of Mild Cognitive Impairment","volume":"77","author":[{"family":"Bergeron","given":"Michael F."},{"family":"Landset","given":"Sara"},{"family":"Zhou","given":"Xianbo"},{"family":"Ding","given":"Tao"},{"family":"Khoshgoftaar","given":"Taghi M."},{"family":"Zhao","given":"Feng"},{"family":"Du","given":"Bo"},{"family":"Chen","given":"Xinjie"},{"family":"Wang","given":"Xuan"},{"family":"Zhong","given":"Lianmei"},{"family":"Liu","given":"Xiaolei"},{"family":"Ashford","given":"J. Wesson"}],"issued":{"date-parts":[["2020",1,1]]}}}],"schema":"https://github.com/citation-style-language/schema/raw/master/csl-citation.json"} </w:instrText>
      </w:r>
      <w:r w:rsidR="0071126F" w:rsidRPr="00A45BAD">
        <w:fldChar w:fldCharType="separate"/>
      </w:r>
      <w:r w:rsidR="0071126F" w:rsidRPr="00A45BAD">
        <w:rPr>
          <w:noProof/>
        </w:rPr>
        <w:t>(13)</w:t>
      </w:r>
      <w:r w:rsidR="0071126F" w:rsidRPr="00A45BAD">
        <w:fldChar w:fldCharType="end"/>
      </w:r>
      <w:r w:rsidR="00501B65" w:rsidRPr="00A45BAD">
        <w:t>.</w:t>
      </w:r>
      <w:r w:rsidR="0071126F" w:rsidRPr="00A45BAD">
        <w:t xml:space="preserve"> More sophisticated deep learning models such as graph convolutional neural networks</w:t>
      </w:r>
      <w:r w:rsidR="002470EE" w:rsidRPr="00A45BAD">
        <w:t xml:space="preserve"> and recurrent neural networks</w:t>
      </w:r>
      <w:r w:rsidR="0071126F" w:rsidRPr="00A45BAD">
        <w:t xml:space="preserve"> have also been used to predict MCI onset</w:t>
      </w:r>
      <w:r w:rsidR="002470EE" w:rsidRPr="00A45BAD">
        <w:t xml:space="preserve"> from patients HER data as well as imaging and clinical notes data</w:t>
      </w:r>
      <w:r w:rsidR="00682E6D">
        <w:t xml:space="preserve"> </w:t>
      </w:r>
      <w:r w:rsidR="00B37B43" w:rsidRPr="00A45BAD">
        <w:fldChar w:fldCharType="begin"/>
      </w:r>
      <w:r w:rsidR="00B37B43" w:rsidRPr="00A45BAD">
        <w:instrText xml:space="preserve"> ADDIN ZOTERO_ITEM CSL_CITATION {"citationID":"PEiSyb4F","properties":{"formattedCitation":"(3,14,15)","plainCitation":"(3,14,15)","noteIndex":0},"citationItems":[{"id":29,"uris":["http://zotero.org/users/local/3oEVuZBY/items/7V3XHLAM"],"uri":["http://zotero.org/users/local/3oEVuZBY/items/7V3XHLAM"],"itemData":{"id":29,"type":"article-journal","abstract":"About 44.4 million people have been diagnosed with dementia worldwide, and it is estimated that this number will be almost tripled by 2050. Predicting mild cognitive impairment (MCI), an intermediate state between normal cognition and dementia and an important risk factor for the development of dementia is crucial in aging populations. MCI is formally determined by health professionals through a comprehensive cognitive evaluation, together with a clinical examination, medical history and often the input of an informant (an individual that know the patient very well). However, this is not routinely performed in primary care visits, and could result in a significant delay in diagnosis. In this study, we used deep learning and machine learning techniques to predict the progression from cognitively unimpaired to MCI and also to analyze the potential for patient clustering using routinely-collected electronic health records (EHRs). Our analysis of EHRs indicates that temporal characteristics of patient data incorporated in a deep learning model provides increased power in predicting MCI.","container-title":"Proceedings. IEEE International Conference on Bioinformatics and Biomedicine","DOI":"10.1109/bibm47256.2019.8982955","ISSN":"2156-1125","journalAbbreviation":"Proceedings (IEEE Int Conf Bioinformatics Biomed)","note":"PMID: 33194303\nPMCID: PMC7665163","page":"799-806","source":"PubMed Central","title":"Deep Learning Prediction of Mild Cognitive Impairment using Electronic Health Records","volume":"2019","author":[{"family":"Fouladvand","given":"Sajjad"},{"family":"Mielke","given":"Michelle M."},{"family":"Vassilaki","given":"Maria"},{"family":"Sauver","given":"Jennifer St."},{"family":"Petersen","given":"Ronald C."},{"family":"Sohn","given":"Sunghwan"}],"issued":{"date-parts":[["2019",11]]}}},{"id":52,"uris":["http://zotero.org/users/local/3oEVuZBY/items/V24IK92C"],"uri":["http://zotero.org/users/local/3oEVuZBY/items/V24IK92C"],"itemData":{"id":52,"type":"paper-conference","abstract":"Mild cognitive impairment (MCI) is an early stage of Alzheimer's disease (AD), which is a neurodegenerative disease. Functional connectivity networks (FCN) provide an effective method for analyzing brain functional regions connectivity. However, most methods only considered the neuroimaging information and focused on group relationship without the subjects' individual features, and ignored the demographic relationship. To handle it, in this paper, we introduce a novel method based on graph convolutional networks (GCN), which combines image and other information for MCI prediction tasks. The proposed model is capable of representing the individual features and data associations among subjects from potentially populations simultaneously. Specifically, we use different collection devices and gender information to build a graph called MCI-graph and modify convolutional neural networks (CNN) to construct GCN for MCI prediction. The experimental results demonstrate that our proposed method has achieved remarkable prediction performance.","container-title":"2019 IEEE 16th International Symposium on Biomedical Imaging (ISBI 2019)","DOI":"10.1109/ISBI.2019.8759256","event":"2019 IEEE 16th International Symposium on Biomedical Imaging (ISBI 2019)","note":"ISSN: 1945-8452","page":"1598-1601","source":"IEEE Xplore","title":"Graph Convolutional Network Analysis for Mild Cognitive Impairment Prediction","author":[{"family":"Zhao","given":"Xin"},{"family":"Zhou","given":"Feng"},{"family":"Ou-Yang","given":"Le"},{"family":"Wang","given":"Tianfu"},{"family":"Lei","given":"Baiying"}],"issued":{"date-parts":[["2019",4]]}}},{"id":49,"uris":["http://zotero.org/users/local/3oEVuZBY/items/56CFD6EG"],"uri":["http://zotero.org/users/local/3oEVuZBY/items/56CFD6EG"],"itemData":{"id":49,"type":"article-journal","abstract":"Detecting cognitive decline earlier among older adults can facilitate enrollment in clinical trials and early interventions. Clinical notes in longitudinal electronic health records (EHRs) provide opportunities to detect cognitive decline earlier than it is noted in structured EHR fields as formal diagnoses.To develop and validate a deep learning model to detect evidence of cognitive decline from clinical notes in the EHR.Notes documented 4 years preceding the initial mild cognitive impairment (MCI) diagnosis were extracted from Mass General Brigham’s Enterprise Data Warehouse for patients aged 50 years or older and with initial MCI diagnosis during 2019. The study was conducted from March 1, 2020, to June 30, 2021. Sections of notes for cognitive decline were labeled manually and 2 reference data sets were created. Data set I contained a random sample of 4950 note sections filtered by a list of keywords related to cognitive functions and was used for model training and testing. Data set II contained 2000 randomly selected sections without keyword filtering for assessing whether the model performance was dependent on specific keywords.A deep learning model and 4 baseline models were developed and their performance was compared using the area under the receiver operating characteristic curve (AUROC) and area under the precision recall curve (AUPRC).Data set I represented 1969 patients (1046 [53.1%] women; mean [SD] age, 76.0 [13.3] years). Data set II comprised 1161 patients (619 [53.3%] women; mean [SD] age, 76.5 [10.2] years). With some overlap of patients deleted, the unique population was 2166. Cognitive decline was noted in 1453 sections (29.4%) in data set I and 69 sections (3.45%) in data set II. Compared with the 4 baseline models, the deep learning model achieved the best performance in both data sets, with AUROC of 0.971 (95% CI, 0.967-0.976) and AUPRC of 0.933 (95% CI, 0.921-0.944) for data set I and AUROC of 0.997 (95% CI, 0.994-0.999) and AUPRC of 0.929 (95% CI, 0.870-0.969) for data set II.In this diagnostic study, a deep learning model accurately detected cognitive decline from clinical notes preceding MCI diagnosis and had better performance than keyword-based search and other machine learning models. These results suggest that a deep learning model could be used for earlier detection of cognitive decline in the EHRs.","container-title":"JAMA Network Open","DOI":"10.1001/jamanetworkopen.2021.35174","ISSN":"2574-3805","issue":"11","journalAbbreviation":"JAMA Network Open","page":"e2135174","source":"Silverchair","title":"Development and Validation of a Deep Learning Model for Earlier Detection of Cognitive Decline From Clinical Notes in Electronic Health Records","volume":"4","author":[{"family":"Wang","given":"Liqin"},{"family":"Laurentiev","given":"John"},{"family":"Yang","given":"Jie"},{"family":"Lo","given":"Ying-Chih"},{"family":"Amariglio","given":"Rebecca E."},{"family":"Blacker","given":"Deborah"},{"family":"Sperling","given":"Reisa A."},{"family":"Marshall","given":"Gad A."},{"family":"Zhou","given":"Li"}],"issued":{"date-parts":[["2021",11,18]]}}}],"schema":"https://github.com/citation-style-language/schema/raw/master/csl-citation.json"} </w:instrText>
      </w:r>
      <w:r w:rsidR="00B37B43" w:rsidRPr="00A45BAD">
        <w:fldChar w:fldCharType="separate"/>
      </w:r>
      <w:r w:rsidR="00B37B43" w:rsidRPr="00A45BAD">
        <w:rPr>
          <w:noProof/>
        </w:rPr>
        <w:t>(3,14,15)</w:t>
      </w:r>
      <w:r w:rsidR="00B37B43" w:rsidRPr="00A45BAD">
        <w:fldChar w:fldCharType="end"/>
      </w:r>
      <w:r w:rsidR="0071126F" w:rsidRPr="00A45BAD">
        <w:t xml:space="preserve">. </w:t>
      </w:r>
    </w:p>
    <w:p w14:paraId="43EB471C" w14:textId="0B7B3D94" w:rsidR="00947F17" w:rsidRPr="00A45BAD" w:rsidRDefault="0099544B" w:rsidP="00A45BAD">
      <w:pPr>
        <w:pStyle w:val="AMIABodyText"/>
      </w:pPr>
      <w:r w:rsidRPr="00A45BAD">
        <w:lastRenderedPageBreak/>
        <w:t>However</w:t>
      </w:r>
      <w:r w:rsidR="0073031C" w:rsidRPr="00A45BAD">
        <w:t>,</w:t>
      </w:r>
      <w:r w:rsidR="00704C06" w:rsidRPr="00A45BAD">
        <w:t xml:space="preserve"> </w:t>
      </w:r>
      <w:r w:rsidR="0073031C" w:rsidRPr="00A45BAD">
        <w:t>u</w:t>
      </w:r>
      <w:r w:rsidR="00704C06" w:rsidRPr="00A45BAD">
        <w:t xml:space="preserve">sing </w:t>
      </w:r>
      <w:r w:rsidRPr="00A45BAD">
        <w:t>machine learning</w:t>
      </w:r>
      <w:r w:rsidR="0073031C" w:rsidRPr="00A45BAD">
        <w:t xml:space="preserve"> </w:t>
      </w:r>
      <w:r w:rsidRPr="00A45BAD">
        <w:t>model</w:t>
      </w:r>
      <w:r w:rsidR="0080403F">
        <w:t>s</w:t>
      </w:r>
      <w:r w:rsidRPr="00A45BAD">
        <w:t xml:space="preserve"> in MCI prediction </w:t>
      </w:r>
      <w:r w:rsidR="0073031C" w:rsidRPr="00A45BAD">
        <w:t xml:space="preserve">has </w:t>
      </w:r>
      <w:r w:rsidRPr="00A45BAD">
        <w:t>remained</w:t>
      </w:r>
      <w:r w:rsidR="0073031C" w:rsidRPr="00A45BAD">
        <w:t xml:space="preserve"> largely unexplored </w:t>
      </w:r>
      <w:r w:rsidR="000809DA" w:rsidRPr="00A45BAD">
        <w:t xml:space="preserve">mostly </w:t>
      </w:r>
      <w:r w:rsidR="007D6BFC" w:rsidRPr="00A45BAD">
        <w:t xml:space="preserve">due to the lack of </w:t>
      </w:r>
      <w:r w:rsidR="000809DA" w:rsidRPr="00A45BAD">
        <w:t xml:space="preserve">real-world </w:t>
      </w:r>
      <w:r w:rsidR="007D6BFC" w:rsidRPr="00A45BAD">
        <w:t>data on MCI diagnosis</w:t>
      </w:r>
      <w:r w:rsidR="0073031C" w:rsidRPr="00A45BAD">
        <w:t xml:space="preserve">. </w:t>
      </w:r>
      <w:r w:rsidR="007D6BFC" w:rsidRPr="00A45BAD">
        <w:t>Further, previous works have been mainly centered on MCI prediction</w:t>
      </w:r>
      <w:r w:rsidR="000809DA" w:rsidRPr="00A45BAD">
        <w:t xml:space="preserve"> only</w:t>
      </w:r>
      <w:r w:rsidR="007D6BFC" w:rsidRPr="00A45BAD">
        <w:t xml:space="preserve">. </w:t>
      </w:r>
      <w:r w:rsidR="00947F17" w:rsidRPr="00A45BAD">
        <w:t xml:space="preserve">In this study, we </w:t>
      </w:r>
      <w:r w:rsidR="008B6915">
        <w:t xml:space="preserve">use Stanford HER data and </w:t>
      </w:r>
      <w:r w:rsidR="00947F17" w:rsidRPr="00A45BAD">
        <w:t xml:space="preserve">seek to implement machine learning </w:t>
      </w:r>
      <w:r w:rsidR="000809DA" w:rsidRPr="00A45BAD">
        <w:t>models</w:t>
      </w:r>
      <w:r w:rsidR="00947F17" w:rsidRPr="00A45BAD">
        <w:t xml:space="preserve"> for improving dementia diagnosis</w:t>
      </w:r>
      <w:r w:rsidR="00947C87">
        <w:t xml:space="preserve"> through the following</w:t>
      </w:r>
      <w:r w:rsidR="00947F17" w:rsidRPr="00A45BAD">
        <w:t xml:space="preserve"> </w:t>
      </w:r>
      <w:r w:rsidR="00DB620C" w:rsidRPr="00A45BAD">
        <w:t>objectives</w:t>
      </w:r>
      <w:r w:rsidR="00947F17" w:rsidRPr="00A45BAD">
        <w:t>:</w:t>
      </w:r>
    </w:p>
    <w:p w14:paraId="21C6B3F1" w14:textId="3DC443F2" w:rsidR="005D555D" w:rsidRPr="00A45BAD" w:rsidRDefault="00756B57" w:rsidP="00756B57">
      <w:pPr>
        <w:pStyle w:val="ListParagraph"/>
        <w:numPr>
          <w:ilvl w:val="0"/>
          <w:numId w:val="5"/>
        </w:numPr>
        <w:jc w:val="left"/>
        <w:rPr>
          <w:rFonts w:ascii="Times New Roman" w:hAnsi="Times New Roman" w:cs="Times New Roman"/>
          <w:szCs w:val="20"/>
        </w:rPr>
      </w:pPr>
      <w:r w:rsidRPr="00A45BAD">
        <w:rPr>
          <w:rFonts w:ascii="Times New Roman" w:hAnsi="Times New Roman" w:cs="Times New Roman"/>
          <w:szCs w:val="20"/>
        </w:rPr>
        <w:t>To</w:t>
      </w:r>
      <w:r w:rsidR="005D555D" w:rsidRPr="00A45BAD">
        <w:rPr>
          <w:rFonts w:ascii="Times New Roman" w:hAnsi="Times New Roman" w:cs="Times New Roman"/>
          <w:szCs w:val="20"/>
        </w:rPr>
        <w:t xml:space="preserve"> determine if machine learning models trained on patients’ electronic health records can effectively predict mild cognitive impairment. </w:t>
      </w:r>
    </w:p>
    <w:p w14:paraId="19416835" w14:textId="0F0CBC10" w:rsidR="008B6915" w:rsidRPr="008B6915" w:rsidRDefault="00756B57" w:rsidP="008B6915">
      <w:pPr>
        <w:pStyle w:val="ListParagraph"/>
        <w:numPr>
          <w:ilvl w:val="0"/>
          <w:numId w:val="5"/>
        </w:numPr>
        <w:jc w:val="left"/>
        <w:rPr>
          <w:rFonts w:ascii="Times New Roman" w:hAnsi="Times New Roman" w:cs="Times New Roman"/>
          <w:szCs w:val="20"/>
        </w:rPr>
      </w:pPr>
      <w:r w:rsidRPr="00A45BAD">
        <w:rPr>
          <w:rFonts w:ascii="Times New Roman" w:hAnsi="Times New Roman" w:cs="Times New Roman"/>
          <w:szCs w:val="20"/>
        </w:rPr>
        <w:t xml:space="preserve">To </w:t>
      </w:r>
      <w:r w:rsidR="005D555D" w:rsidRPr="00A45BAD">
        <w:rPr>
          <w:rFonts w:ascii="Times New Roman" w:hAnsi="Times New Roman" w:cs="Times New Roman"/>
          <w:szCs w:val="20"/>
        </w:rPr>
        <w:t xml:space="preserve">determine if machine learning models can recommend necessary </w:t>
      </w:r>
      <w:r w:rsidR="003F1693">
        <w:rPr>
          <w:rFonts w:ascii="Times New Roman" w:hAnsi="Times New Roman" w:cs="Times New Roman"/>
          <w:szCs w:val="20"/>
        </w:rPr>
        <w:t xml:space="preserve">diagnostic </w:t>
      </w:r>
      <w:r w:rsidR="005D555D" w:rsidRPr="00A45BAD">
        <w:rPr>
          <w:rFonts w:ascii="Times New Roman" w:hAnsi="Times New Roman" w:cs="Times New Roman"/>
          <w:szCs w:val="20"/>
        </w:rPr>
        <w:t>procedures for patients at the risk of developing mild cognitive impairment.</w:t>
      </w:r>
    </w:p>
    <w:p w14:paraId="170D4352" w14:textId="7EFB720A" w:rsidR="00667DA9" w:rsidRPr="00A45BAD" w:rsidRDefault="00820F03">
      <w:pPr>
        <w:pStyle w:val="Heading1"/>
        <w:ind w:left="-5"/>
        <w:rPr>
          <w:rFonts w:ascii="Times New Roman" w:hAnsi="Times New Roman" w:cs="Times New Roman"/>
          <w:b/>
          <w:bCs/>
          <w:szCs w:val="20"/>
        </w:rPr>
      </w:pPr>
      <w:r w:rsidRPr="00A45BAD">
        <w:rPr>
          <w:rFonts w:ascii="Times New Roman" w:hAnsi="Times New Roman" w:cs="Times New Roman"/>
          <w:b/>
          <w:bCs/>
          <w:szCs w:val="20"/>
        </w:rPr>
        <w:t>Materials and Methods</w:t>
      </w:r>
    </w:p>
    <w:p w14:paraId="16AEDDB2" w14:textId="299CE74D" w:rsidR="008E0DCC" w:rsidRDefault="008E0DCC" w:rsidP="004E669C">
      <w:pPr>
        <w:rPr>
          <w:sz w:val="20"/>
          <w:szCs w:val="20"/>
        </w:rPr>
      </w:pPr>
      <w:r w:rsidRPr="00A45BAD">
        <w:rPr>
          <w:sz w:val="20"/>
          <w:szCs w:val="20"/>
        </w:rPr>
        <w:t>Th</w:t>
      </w:r>
      <w:r w:rsidR="004E669C">
        <w:rPr>
          <w:sz w:val="20"/>
          <w:szCs w:val="20"/>
        </w:rPr>
        <w:t>e proposed framework in this</w:t>
      </w:r>
      <w:r w:rsidRPr="00A45BAD">
        <w:rPr>
          <w:sz w:val="20"/>
          <w:szCs w:val="20"/>
        </w:rPr>
        <w:t xml:space="preserve"> study </w:t>
      </w:r>
      <w:r w:rsidR="004E669C">
        <w:rPr>
          <w:sz w:val="20"/>
          <w:szCs w:val="20"/>
        </w:rPr>
        <w:t xml:space="preserve">includes two main components: 1) </w:t>
      </w:r>
      <w:r w:rsidRPr="00A45BAD">
        <w:rPr>
          <w:sz w:val="20"/>
          <w:szCs w:val="20"/>
        </w:rPr>
        <w:t xml:space="preserve">MCI </w:t>
      </w:r>
      <w:r w:rsidR="004E669C">
        <w:rPr>
          <w:sz w:val="20"/>
          <w:szCs w:val="20"/>
        </w:rPr>
        <w:t xml:space="preserve">onset </w:t>
      </w:r>
      <w:r w:rsidRPr="00A45BAD">
        <w:rPr>
          <w:sz w:val="20"/>
          <w:szCs w:val="20"/>
        </w:rPr>
        <w:t xml:space="preserve">prediction </w:t>
      </w:r>
      <w:r w:rsidR="004E669C">
        <w:rPr>
          <w:sz w:val="20"/>
          <w:szCs w:val="20"/>
        </w:rPr>
        <w:t>using machine learning, 2) n</w:t>
      </w:r>
      <w:r w:rsidRPr="00A45BAD">
        <w:rPr>
          <w:sz w:val="20"/>
          <w:szCs w:val="20"/>
        </w:rPr>
        <w:t xml:space="preserve">ecessary </w:t>
      </w:r>
      <w:r w:rsidR="004E669C">
        <w:rPr>
          <w:sz w:val="20"/>
          <w:szCs w:val="20"/>
        </w:rPr>
        <w:t xml:space="preserve">diagnostic </w:t>
      </w:r>
      <w:r w:rsidRPr="00A45BAD">
        <w:rPr>
          <w:sz w:val="20"/>
          <w:szCs w:val="20"/>
        </w:rPr>
        <w:t xml:space="preserve">procedure recommendation for patients at the risk of MCI. Figure 1 shows the general schema of </w:t>
      </w:r>
      <w:r w:rsidR="009E6452" w:rsidRPr="00A45BAD">
        <w:rPr>
          <w:sz w:val="20"/>
          <w:szCs w:val="20"/>
        </w:rPr>
        <w:t xml:space="preserve">the cohort extraction and model trainings. Components of this framework are described in </w:t>
      </w:r>
      <w:r w:rsidR="00B96DCE">
        <w:rPr>
          <w:sz w:val="20"/>
          <w:szCs w:val="20"/>
        </w:rPr>
        <w:t xml:space="preserve">detail in </w:t>
      </w:r>
      <w:r w:rsidR="009E6452" w:rsidRPr="00A45BAD">
        <w:rPr>
          <w:sz w:val="20"/>
          <w:szCs w:val="20"/>
        </w:rPr>
        <w:t>the following sub-sections.</w:t>
      </w:r>
      <w:r w:rsidR="00B96DCE">
        <w:rPr>
          <w:sz w:val="20"/>
          <w:szCs w:val="20"/>
        </w:rPr>
        <w:t xml:space="preserve"> </w:t>
      </w:r>
    </w:p>
    <w:p w14:paraId="539E0C0E" w14:textId="77777777" w:rsidR="00B96DCE" w:rsidRPr="00A45BAD" w:rsidRDefault="00B96DCE" w:rsidP="004E669C">
      <w:pPr>
        <w:rPr>
          <w:sz w:val="20"/>
          <w:szCs w:val="20"/>
        </w:rPr>
      </w:pPr>
    </w:p>
    <w:p w14:paraId="14238713" w14:textId="6E2655CA" w:rsidR="00E03F8A" w:rsidRPr="00A45BAD" w:rsidRDefault="009E6452" w:rsidP="00E03F8A">
      <w:pPr>
        <w:jc w:val="center"/>
        <w:rPr>
          <w:sz w:val="20"/>
          <w:szCs w:val="20"/>
        </w:rPr>
      </w:pPr>
      <w:r w:rsidRPr="00A45BAD">
        <w:rPr>
          <w:noProof/>
          <w:sz w:val="20"/>
          <w:szCs w:val="20"/>
        </w:rPr>
        <w:drawing>
          <wp:inline distT="0" distB="0" distL="0" distR="0" wp14:anchorId="4FB61414" wp14:editId="62A1D13C">
            <wp:extent cx="4274680" cy="2436933"/>
            <wp:effectExtent l="0" t="0" r="5715"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7137" cy="2455436"/>
                    </a:xfrm>
                    <a:prstGeom prst="rect">
                      <a:avLst/>
                    </a:prstGeom>
                  </pic:spPr>
                </pic:pic>
              </a:graphicData>
            </a:graphic>
          </wp:inline>
        </w:drawing>
      </w:r>
    </w:p>
    <w:p w14:paraId="20A699A6" w14:textId="2C3338EA" w:rsidR="00140822" w:rsidRPr="00A45BAD" w:rsidRDefault="00E03F8A" w:rsidP="00E03F8A">
      <w:pPr>
        <w:rPr>
          <w:sz w:val="20"/>
          <w:szCs w:val="20"/>
        </w:rPr>
      </w:pPr>
      <w:r w:rsidRPr="00A45BAD">
        <w:rPr>
          <w:b/>
          <w:bCs/>
          <w:sz w:val="20"/>
          <w:szCs w:val="20"/>
        </w:rPr>
        <w:t xml:space="preserve">Figure 1. </w:t>
      </w:r>
      <w:r w:rsidRPr="00A45BAD">
        <w:rPr>
          <w:sz w:val="20"/>
          <w:szCs w:val="20"/>
        </w:rPr>
        <w:t xml:space="preserve">General architecture of our proposed framework for MCI prediction and MCI necessary procedures recommendation. </w:t>
      </w:r>
      <w:r w:rsidR="00140822" w:rsidRPr="00A45BAD">
        <w:rPr>
          <w:sz w:val="20"/>
          <w:szCs w:val="20"/>
        </w:rPr>
        <w:t xml:space="preserve">(a) MCI patients were </w:t>
      </w:r>
      <w:r w:rsidR="00B96DCE">
        <w:rPr>
          <w:sz w:val="20"/>
          <w:szCs w:val="20"/>
        </w:rPr>
        <w:t>identified</w:t>
      </w:r>
      <w:r w:rsidR="00140822" w:rsidRPr="00A45BAD">
        <w:rPr>
          <w:sz w:val="20"/>
          <w:szCs w:val="20"/>
        </w:rPr>
        <w:t xml:space="preserve">, and case and control cohorts were </w:t>
      </w:r>
      <w:r w:rsidR="00B96DCE">
        <w:rPr>
          <w:sz w:val="20"/>
          <w:szCs w:val="20"/>
        </w:rPr>
        <w:t>created</w:t>
      </w:r>
      <w:r w:rsidR="00140822" w:rsidRPr="00A45BAD">
        <w:rPr>
          <w:sz w:val="20"/>
          <w:szCs w:val="20"/>
        </w:rPr>
        <w:t xml:space="preserve">. (b) Diagnosis, procedure, medication and demographic features were used to create training and testing data for both MCI prediction and procedure recommender system. (c) Prediction window for MCI prediction is 1 year and for procedure recommendation is 2 months. Index date for MCI patients is first MCI diagnosis date and for controls is 1 year prior to their last record in the data. </w:t>
      </w:r>
    </w:p>
    <w:p w14:paraId="1F9AE3D8" w14:textId="77777777" w:rsidR="00E03F8A" w:rsidRPr="00A45BAD" w:rsidRDefault="00E03F8A" w:rsidP="00E03F8A">
      <w:pPr>
        <w:rPr>
          <w:sz w:val="20"/>
          <w:szCs w:val="20"/>
        </w:rPr>
      </w:pPr>
    </w:p>
    <w:p w14:paraId="72DC4CB2" w14:textId="1E382F0D" w:rsidR="00667DA9" w:rsidRPr="00A45BAD" w:rsidRDefault="00820F03">
      <w:pPr>
        <w:pStyle w:val="Heading2"/>
        <w:ind w:left="-5"/>
        <w:rPr>
          <w:rFonts w:ascii="Times New Roman" w:hAnsi="Times New Roman" w:cs="Times New Roman"/>
          <w:szCs w:val="20"/>
        </w:rPr>
      </w:pPr>
      <w:r w:rsidRPr="00A45BAD">
        <w:rPr>
          <w:rFonts w:ascii="Times New Roman" w:hAnsi="Times New Roman" w:cs="Times New Roman"/>
          <w:szCs w:val="20"/>
        </w:rPr>
        <w:t xml:space="preserve">Data </w:t>
      </w:r>
      <w:r w:rsidR="00BA3A83" w:rsidRPr="00A45BAD">
        <w:rPr>
          <w:rFonts w:ascii="Times New Roman" w:hAnsi="Times New Roman" w:cs="Times New Roman"/>
          <w:szCs w:val="20"/>
        </w:rPr>
        <w:t>and Cohorts</w:t>
      </w:r>
    </w:p>
    <w:p w14:paraId="38537DA1" w14:textId="57B27FC2" w:rsidR="00D627C6" w:rsidRPr="00504B2D" w:rsidRDefault="00347C5D" w:rsidP="00504B2D">
      <w:pPr>
        <w:pStyle w:val="AMIABodyText"/>
        <w:rPr>
          <w:i/>
          <w:iCs/>
        </w:rPr>
      </w:pPr>
      <w:r>
        <w:rPr>
          <w:iCs/>
        </w:rPr>
        <w:t>Our</w:t>
      </w:r>
      <w:r w:rsidR="00BA3A83" w:rsidRPr="00A45BAD">
        <w:rPr>
          <w:iCs/>
        </w:rPr>
        <w:t xml:space="preserve"> data consist of </w:t>
      </w:r>
      <w:r w:rsidR="00BA3A83" w:rsidRPr="00A45BAD">
        <w:t>deidentified</w:t>
      </w:r>
      <w:r w:rsidR="00BA3A83" w:rsidRPr="00A45BAD">
        <w:rPr>
          <w:iCs/>
        </w:rPr>
        <w:t xml:space="preserve"> EHR </w:t>
      </w:r>
      <w:r>
        <w:rPr>
          <w:iCs/>
        </w:rPr>
        <w:t>records</w:t>
      </w:r>
      <w:r w:rsidR="00BA3A83" w:rsidRPr="00A45BAD">
        <w:rPr>
          <w:iCs/>
        </w:rPr>
        <w:t xml:space="preserve"> for patient</w:t>
      </w:r>
      <w:r>
        <w:rPr>
          <w:iCs/>
        </w:rPr>
        <w:t>s</w:t>
      </w:r>
      <w:r w:rsidR="00BA3A83" w:rsidRPr="00A45BAD">
        <w:rPr>
          <w:iCs/>
        </w:rPr>
        <w:t xml:space="preserve"> in Stanford Healthcare</w:t>
      </w:r>
      <w:r w:rsidR="00813E59" w:rsidRPr="00A45BAD">
        <w:rPr>
          <w:iCs/>
        </w:rPr>
        <w:t xml:space="preserve"> from 2000 to 2020. </w:t>
      </w:r>
      <w:r>
        <w:rPr>
          <w:iCs/>
        </w:rPr>
        <w:t>C</w:t>
      </w:r>
      <w:r w:rsidR="00F10248" w:rsidRPr="00A45BAD">
        <w:rPr>
          <w:iCs/>
        </w:rPr>
        <w:t xml:space="preserve">ases include </w:t>
      </w:r>
      <w:r w:rsidR="007656E9">
        <w:rPr>
          <w:iCs/>
        </w:rPr>
        <w:t xml:space="preserve">50 years or older </w:t>
      </w:r>
      <w:r w:rsidR="00F10248" w:rsidRPr="00A45BAD">
        <w:rPr>
          <w:iCs/>
        </w:rPr>
        <w:t xml:space="preserve">patients with </w:t>
      </w:r>
      <w:r w:rsidR="00B24F29" w:rsidRPr="00A45BAD">
        <w:rPr>
          <w:iCs/>
        </w:rPr>
        <w:t>at least one ICD diagnosis of MCI (ICD10s=G31.84, F09 and ICD9s=331.83, 294.9)</w:t>
      </w:r>
      <w:r w:rsidR="005A366F" w:rsidRPr="00A45BAD">
        <w:rPr>
          <w:iCs/>
        </w:rPr>
        <w:t xml:space="preserve"> and two years of data availability. Controls are </w:t>
      </w:r>
      <w:r w:rsidR="007656E9">
        <w:rPr>
          <w:iCs/>
        </w:rPr>
        <w:t xml:space="preserve">50 years or older </w:t>
      </w:r>
      <w:r w:rsidR="005A366F" w:rsidRPr="00A45BAD">
        <w:rPr>
          <w:iCs/>
        </w:rPr>
        <w:t xml:space="preserve">patients with no ICD diagnosis in their records and two years of data availability. Data availability is the </w:t>
      </w:r>
      <w:r w:rsidR="007656E9">
        <w:rPr>
          <w:iCs/>
        </w:rPr>
        <w:t xml:space="preserve">duration </w:t>
      </w:r>
      <w:r w:rsidR="005A366F" w:rsidRPr="00A45BAD">
        <w:rPr>
          <w:iCs/>
        </w:rPr>
        <w:t xml:space="preserve">time between patients first record date to </w:t>
      </w:r>
      <w:r w:rsidR="007656E9">
        <w:rPr>
          <w:iCs/>
        </w:rPr>
        <w:t>the</w:t>
      </w:r>
      <w:r w:rsidR="005A366F" w:rsidRPr="00A45BAD">
        <w:rPr>
          <w:iCs/>
        </w:rPr>
        <w:t xml:space="preserve"> index date</w:t>
      </w:r>
      <w:r w:rsidR="007656E9">
        <w:rPr>
          <w:iCs/>
        </w:rPr>
        <w:t xml:space="preserve"> where</w:t>
      </w:r>
      <w:r w:rsidR="005A366F" w:rsidRPr="00A45BAD">
        <w:rPr>
          <w:iCs/>
        </w:rPr>
        <w:t xml:space="preserve"> </w:t>
      </w:r>
      <w:r w:rsidR="007656E9">
        <w:rPr>
          <w:iCs/>
        </w:rPr>
        <w:t>t</w:t>
      </w:r>
      <w:r w:rsidR="005A366F" w:rsidRPr="00A45BAD">
        <w:rPr>
          <w:iCs/>
        </w:rPr>
        <w:t xml:space="preserve">he index date for cases is the first MCI diagnosis date and for the controls </w:t>
      </w:r>
      <w:r w:rsidR="007656E9">
        <w:rPr>
          <w:iCs/>
        </w:rPr>
        <w:t>is</w:t>
      </w:r>
      <w:r w:rsidR="005A366F" w:rsidRPr="00A45BAD">
        <w:rPr>
          <w:iCs/>
        </w:rPr>
        <w:t xml:space="preserve"> one year before their last record in the data. </w:t>
      </w:r>
      <w:r w:rsidR="009A545B" w:rsidRPr="00A45BAD">
        <w:rPr>
          <w:iCs/>
        </w:rPr>
        <w:t xml:space="preserve">Controls are matched with cases based on age and gender to create a balanced </w:t>
      </w:r>
      <w:r w:rsidR="007656E9">
        <w:rPr>
          <w:iCs/>
        </w:rPr>
        <w:t>train</w:t>
      </w:r>
      <w:r w:rsidR="009A545B" w:rsidRPr="00A45BAD">
        <w:rPr>
          <w:iCs/>
        </w:rPr>
        <w:t xml:space="preserve"> set including </w:t>
      </w:r>
      <w:r w:rsidR="00C512B8">
        <w:rPr>
          <w:iCs/>
        </w:rPr>
        <w:t>5</w:t>
      </w:r>
      <w:r w:rsidR="008771DF" w:rsidRPr="00A45BAD">
        <w:rPr>
          <w:iCs/>
        </w:rPr>
        <w:t>,</w:t>
      </w:r>
      <w:r w:rsidR="00C512B8">
        <w:rPr>
          <w:iCs/>
        </w:rPr>
        <w:t>69</w:t>
      </w:r>
      <w:r w:rsidR="008771DF" w:rsidRPr="00A45BAD">
        <w:rPr>
          <w:iCs/>
        </w:rPr>
        <w:t>4</w:t>
      </w:r>
      <w:r w:rsidR="009A545B" w:rsidRPr="00A45BAD">
        <w:rPr>
          <w:iCs/>
        </w:rPr>
        <w:t xml:space="preserve"> </w:t>
      </w:r>
      <w:r w:rsidR="008771DF" w:rsidRPr="00A45BAD">
        <w:rPr>
          <w:iCs/>
        </w:rPr>
        <w:t>patients</w:t>
      </w:r>
      <w:r w:rsidR="00C512B8">
        <w:rPr>
          <w:iCs/>
        </w:rPr>
        <w:t xml:space="preserve"> (2,840 cases and 2,853 controls) and a test set including 81,078 patients (1,227 cases and 79,851 controls)</w:t>
      </w:r>
      <w:r w:rsidR="008771DF" w:rsidRPr="00A45BAD">
        <w:rPr>
          <w:iCs/>
        </w:rPr>
        <w:t xml:space="preserve">. Note, our </w:t>
      </w:r>
      <w:r w:rsidR="001F0D5C" w:rsidRPr="00A45BAD">
        <w:rPr>
          <w:iCs/>
        </w:rPr>
        <w:t xml:space="preserve">models are trained using balanced training dataset to predict MCI one year prior to the index date for cases and controls; however, our testing </w:t>
      </w:r>
      <w:r w:rsidR="008771DF" w:rsidRPr="00A45BAD">
        <w:rPr>
          <w:iCs/>
        </w:rPr>
        <w:t xml:space="preserve">experiments include imbalanced </w:t>
      </w:r>
      <w:r w:rsidR="00803C7A" w:rsidRPr="00A45BAD">
        <w:rPr>
          <w:iCs/>
        </w:rPr>
        <w:t>scenarios,</w:t>
      </w:r>
      <w:r w:rsidR="008771DF" w:rsidRPr="00A45BAD">
        <w:rPr>
          <w:iCs/>
        </w:rPr>
        <w:t xml:space="preserve"> and the </w:t>
      </w:r>
      <w:r w:rsidR="001F0D5C" w:rsidRPr="00A45BAD">
        <w:rPr>
          <w:iCs/>
        </w:rPr>
        <w:t>MCI prediction</w:t>
      </w:r>
      <w:r w:rsidR="008771DF" w:rsidRPr="00A45BAD">
        <w:rPr>
          <w:iCs/>
        </w:rPr>
        <w:t xml:space="preserve"> models are tested on </w:t>
      </w:r>
      <w:r w:rsidR="00C512B8">
        <w:rPr>
          <w:iCs/>
        </w:rPr>
        <w:t xml:space="preserve">the unseen (held out) </w:t>
      </w:r>
      <w:r w:rsidR="008771DF" w:rsidRPr="00A45BAD">
        <w:rPr>
          <w:iCs/>
        </w:rPr>
        <w:t xml:space="preserve">imbalanced test set. </w:t>
      </w:r>
    </w:p>
    <w:p w14:paraId="07BE22EE" w14:textId="20BAC63B" w:rsidR="00D627C6" w:rsidRPr="00A45BAD" w:rsidRDefault="00D627C6" w:rsidP="00D627C6">
      <w:pPr>
        <w:pStyle w:val="Heading2"/>
        <w:ind w:left="-5"/>
        <w:rPr>
          <w:rFonts w:ascii="Times New Roman" w:hAnsi="Times New Roman" w:cs="Times New Roman"/>
          <w:szCs w:val="20"/>
        </w:rPr>
      </w:pPr>
      <w:r w:rsidRPr="00A45BAD">
        <w:rPr>
          <w:rFonts w:ascii="Times New Roman" w:hAnsi="Times New Roman" w:cs="Times New Roman"/>
          <w:szCs w:val="20"/>
        </w:rPr>
        <w:lastRenderedPageBreak/>
        <w:t>Data Pre-processing</w:t>
      </w:r>
    </w:p>
    <w:p w14:paraId="36BB1491" w14:textId="34FCA4FD" w:rsidR="002931FC" w:rsidRDefault="001A213E" w:rsidP="00B84F6B">
      <w:pPr>
        <w:pStyle w:val="AMIABodyText"/>
      </w:pPr>
      <w:r>
        <w:t>D</w:t>
      </w:r>
      <w:r w:rsidR="00CA546C" w:rsidRPr="00A45BAD">
        <w:t xml:space="preserve">ataset includes n patients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CA546C" w:rsidRPr="00A45BAD">
        <w:t xml:space="preserve">. For a patient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A546C" w:rsidRPr="00A45BAD">
        <w:t xml:space="preserve"> their diagnosis, medication, procedure and demographic records</w:t>
      </w:r>
      <w:r w:rsidR="00F947EE">
        <w:t xml:space="preserve"> </w:t>
      </w:r>
      <w:r w:rsidR="006D05E4" w:rsidRPr="00A45BAD">
        <w:t xml:space="preserve">are in a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i</m:t>
            </m:r>
          </m:sup>
        </m:sSub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m:t>
        </m:r>
      </m:oMath>
      <w:r w:rsidR="006D05E4" w:rsidRPr="00A45BAD">
        <w:t xml:space="preserve"> format</w:t>
      </w:r>
      <w:r w:rsidR="00F947EE">
        <w:t>,</w:t>
      </w:r>
      <w:r w:rsidR="006D05E4" w:rsidRPr="00A45BAD">
        <w:t xml:space="preserve"> where </w:t>
      </w: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i</m:t>
            </m:r>
          </m:sup>
        </m:sSubSup>
      </m:oMath>
      <w:r w:rsidR="00CA546C" w:rsidRPr="00A45BAD">
        <w:t xml:space="preserve"> </w:t>
      </w:r>
      <w:r w:rsidR="006D05E4" w:rsidRPr="00A45BAD">
        <w:t>is the</w:t>
      </w:r>
      <w:r w:rsidR="00472718" w:rsidRPr="00A45BAD">
        <w:t xml:space="preserv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6D05E4" w:rsidRPr="00A45BAD">
        <w:t xml:space="preserve"> </w:t>
      </w:r>
      <w:r w:rsidR="00472718" w:rsidRPr="00A45BAD">
        <w:t xml:space="preserve">timestamp for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72718" w:rsidRPr="00A45BAD">
        <w:t xml:space="preserve"> and </w:t>
      </w:r>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472718" w:rsidRPr="00A45BAD">
        <w:t xml:space="preserve"> indicate medications, diagnosis or procedures codes for this patient at </w:t>
      </w: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i</m:t>
            </m:r>
          </m:sup>
        </m:sSubSup>
      </m:oMath>
      <w:r w:rsidR="00472718" w:rsidRPr="00A45BAD">
        <w:t xml:space="preserve">. We converted this longitudinal format to a stationary format for each patient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72718" w:rsidRPr="00A45BAD">
        <w:t xml:space="preserve"> by computing the frequencies of the features across all patient’s timestamps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1</m:t>
            </m:r>
          </m:sup>
        </m:sSubSup>
        <m:r>
          <w:rPr>
            <w:rFonts w:ascii="Cambria Math" w:hAnsi="Cambria Math"/>
          </w:rPr>
          <m:t>, …,</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i</m:t>
            </m:r>
          </m:sup>
        </m:sSubSup>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T</m:t>
            </m:r>
          </m:sup>
        </m:sSubSup>
        <m:r>
          <w:rPr>
            <w:rFonts w:ascii="Cambria Math" w:hAnsi="Cambria Math"/>
          </w:rPr>
          <m:t>}</m:t>
        </m:r>
      </m:oMath>
      <w:r w:rsidR="00F947EE">
        <w:t>. In fact, we</w:t>
      </w:r>
      <w:r w:rsidR="00472718" w:rsidRPr="00A45BAD">
        <w:t xml:space="preserve"> created a stationary dataset </w:t>
      </w:r>
      <m:oMath>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 xml:space="preserve"> Y</m:t>
                </m:r>
              </m:e>
              <m:sup>
                <m:r>
                  <w:rPr>
                    <w:rFonts w:ascii="Cambria Math" w:hAnsi="Cambria Math"/>
                  </w:rPr>
                  <m:t>2</m:t>
                </m:r>
              </m:sup>
            </m:sSup>
          </m:e>
        </m:d>
        <m:r>
          <w:rPr>
            <w:rFonts w:ascii="Cambria Math" w:hAnsi="Cambria Math"/>
          </w:rPr>
          <m:t>,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 xml:space="preserve"> Y</m:t>
                </m:r>
              </m:e>
              <m:sup>
                <m:r>
                  <w:rPr>
                    <w:rFonts w:ascii="Cambria Math" w:hAnsi="Cambria Math"/>
                  </w:rPr>
                  <m:t>i</m:t>
                </m:r>
              </m:sup>
            </m:sSup>
          </m:e>
        </m:d>
        <m:r>
          <w:rPr>
            <w:rFonts w:ascii="Cambria Math" w:hAnsi="Cambria Math"/>
          </w:rPr>
          <m:t>, …,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oMath>
      <w:r w:rsidR="00F947EE">
        <w:t>,</w:t>
      </w:r>
      <w:r w:rsidR="00E46CE5" w:rsidRPr="00A45BAD">
        <w:t xml:space="preserve"> where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E46CE5" w:rsidRPr="00A45BAD">
        <w:t xml:space="preserve"> is a </w:t>
      </w:r>
      <w:r w:rsidR="00F947EE">
        <w:t xml:space="preserve">1D </w:t>
      </w:r>
      <w:r w:rsidR="00E46CE5" w:rsidRPr="00A45BAD">
        <w:t>vector i</w:t>
      </w:r>
      <w:r w:rsidR="00F947EE">
        <w:t>ndicating</w:t>
      </w:r>
      <w:r w:rsidR="00E46CE5" w:rsidRPr="00A45BAD">
        <w:t xml:space="preserve"> frequencies of </w:t>
      </w:r>
      <w:r w:rsidR="00F947EE">
        <w:t>all</w:t>
      </w:r>
      <w:r w:rsidR="00E46CE5" w:rsidRPr="00A45BAD">
        <w:t xml:space="preserve"> medication, diagnosis and procedure features concatenated with patient</w:t>
      </w:r>
      <w:r w:rsidR="00F947EE">
        <w:t>’s</w:t>
      </w:r>
      <w:r w:rsidR="00E46CE5" w:rsidRPr="00A45BAD">
        <w:t xml:space="preserve"> demographic features, age, gender and race,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E46CE5" w:rsidRPr="00A45BAD">
        <w:t xml:space="preserve"> is the target variable. For the MCI prediction</w:t>
      </w:r>
      <w:r w:rsidR="00F947EE">
        <w:t xml:space="preserve"> task</w:t>
      </w:r>
      <w:r w:rsidR="00E46CE5" w:rsidRPr="00A45BAD">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E46CE5" w:rsidRPr="00A45BAD">
        <w:t xml:space="preserve"> is a binary variable indicating if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46CE5" w:rsidRPr="00A45BAD">
        <w:t xml:space="preserve"> will develop MCI in a year or not</w:t>
      </w:r>
      <w:r w:rsidR="00F947EE">
        <w:t>,</w:t>
      </w:r>
      <w:r w:rsidR="00E46CE5" w:rsidRPr="00A45BAD">
        <w:t xml:space="preserve"> and for the MCI diagnos</w:t>
      </w:r>
      <w:r w:rsidR="00F947EE">
        <w:t>tic</w:t>
      </w:r>
      <w:r w:rsidR="00E46CE5" w:rsidRPr="00A45BAD">
        <w:t xml:space="preserve"> procedure recommendation system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E46CE5" w:rsidRPr="00A45BAD">
        <w:t xml:space="preserve"> is a multi-hot vector indicating the recommended procedure for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46CE5" w:rsidRPr="00A45BAD">
        <w:t xml:space="preserve">. Note, the prediction window for MCI prediction task is </w:t>
      </w:r>
      <w:r w:rsidR="001D5667" w:rsidRPr="00A45BAD">
        <w:t xml:space="preserve">one year and for the procedure recommendation task is two months. </w:t>
      </w:r>
      <w:r w:rsidR="00EC3247" w:rsidRPr="00A45BAD">
        <w:t xml:space="preserve">Table 1 </w:t>
      </w:r>
      <w:r w:rsidR="00B84F6B">
        <w:t xml:space="preserve">and Table 2 respectively </w:t>
      </w:r>
      <w:r w:rsidR="00EC3247" w:rsidRPr="00A45BAD">
        <w:t xml:space="preserve">describe statistics of </w:t>
      </w:r>
      <w:r w:rsidR="00B84F6B">
        <w:t>the demographic features and p</w:t>
      </w:r>
      <w:r w:rsidR="00B84F6B" w:rsidRPr="00A45BAD">
        <w:t>revalence of the top-5 diagnoses</w:t>
      </w:r>
      <w:r w:rsidR="00B84F6B">
        <w:t>,</w:t>
      </w:r>
      <w:r w:rsidR="00B84F6B" w:rsidRPr="00A45BAD">
        <w:t xml:space="preserve"> procedures</w:t>
      </w:r>
      <w:r w:rsidR="00B84F6B">
        <w:t xml:space="preserve"> and medications</w:t>
      </w:r>
      <w:r w:rsidR="00B84F6B" w:rsidRPr="00A45BAD">
        <w:t xml:space="preserve"> selected by random forest model.</w:t>
      </w:r>
      <w:r w:rsidR="000C3C4F" w:rsidRPr="00A45BAD">
        <w:t xml:space="preserve"> D</w:t>
      </w:r>
      <w:r w:rsidR="00EC3247" w:rsidRPr="00A45BAD">
        <w:t>emographic</w:t>
      </w:r>
      <w:r w:rsidR="000C3C4F" w:rsidRPr="00A45BAD">
        <w:t xml:space="preserve"> features</w:t>
      </w:r>
      <w:r w:rsidR="00EC3247" w:rsidRPr="00A45BAD">
        <w:t xml:space="preserve"> in terms of age</w:t>
      </w:r>
      <w:r w:rsidR="000C3C4F" w:rsidRPr="00A45BAD">
        <w:t xml:space="preserve"> and gender</w:t>
      </w:r>
      <w:r w:rsidR="00EC3247" w:rsidRPr="00A45BAD">
        <w:t xml:space="preserve"> were similar among cases and controls </w:t>
      </w:r>
      <w:r w:rsidR="000C3C4F" w:rsidRPr="00A45BAD">
        <w:t>as we matched based on these variables. The a</w:t>
      </w:r>
      <w:r w:rsidR="00EC3247" w:rsidRPr="00A45BAD">
        <w:t>verage age of cases</w:t>
      </w:r>
      <w:r w:rsidR="00A26449" w:rsidRPr="00A45BAD">
        <w:t xml:space="preserve"> </w:t>
      </w:r>
      <w:r w:rsidR="00EC3247" w:rsidRPr="00A45BAD">
        <w:t xml:space="preserve">and controls were </w:t>
      </w:r>
      <w:r w:rsidR="002778E7" w:rsidRPr="00A45BAD">
        <w:t>74.36</w:t>
      </w:r>
      <w:r w:rsidR="00EC3247" w:rsidRPr="00A45BAD">
        <w:t xml:space="preserve"> years (25</w:t>
      </w:r>
      <w:r w:rsidR="00EC3247" w:rsidRPr="00A45BAD">
        <w:rPr>
          <w:vertAlign w:val="superscript"/>
        </w:rPr>
        <w:t>th</w:t>
      </w:r>
      <w:r w:rsidR="00EC3247" w:rsidRPr="00A45BAD">
        <w:t xml:space="preserve"> and 75</w:t>
      </w:r>
      <w:r w:rsidR="00EC3247" w:rsidRPr="00A45BAD">
        <w:rPr>
          <w:vertAlign w:val="superscript"/>
        </w:rPr>
        <w:t>th</w:t>
      </w:r>
      <w:r w:rsidR="00EC3247" w:rsidRPr="00A45BAD">
        <w:t xml:space="preserve"> percentiles = </w:t>
      </w:r>
      <w:r w:rsidR="00A26449" w:rsidRPr="00A45BAD">
        <w:t>6</w:t>
      </w:r>
      <w:r w:rsidR="002778E7" w:rsidRPr="00A45BAD">
        <w:t>8</w:t>
      </w:r>
      <w:r w:rsidR="00EC3247" w:rsidRPr="00A45BAD">
        <w:t xml:space="preserve">, </w:t>
      </w:r>
      <w:r w:rsidR="002778E7" w:rsidRPr="00A45BAD">
        <w:t>83</w:t>
      </w:r>
      <w:r w:rsidR="00EC3247" w:rsidRPr="00A45BAD">
        <w:t xml:space="preserve">) and </w:t>
      </w:r>
      <w:r w:rsidR="002778E7" w:rsidRPr="00A45BAD">
        <w:t>76.33</w:t>
      </w:r>
      <w:r w:rsidR="00EC3247" w:rsidRPr="00A45BAD">
        <w:t xml:space="preserve"> years (25</w:t>
      </w:r>
      <w:r w:rsidR="00EC3247" w:rsidRPr="00A45BAD">
        <w:rPr>
          <w:vertAlign w:val="superscript"/>
        </w:rPr>
        <w:t>th</w:t>
      </w:r>
      <w:r w:rsidR="00EC3247" w:rsidRPr="00A45BAD">
        <w:t xml:space="preserve"> and 75</w:t>
      </w:r>
      <w:r w:rsidR="00EC3247" w:rsidRPr="00A45BAD">
        <w:rPr>
          <w:vertAlign w:val="superscript"/>
        </w:rPr>
        <w:t>th</w:t>
      </w:r>
      <w:r w:rsidR="00A26449" w:rsidRPr="00A45BAD">
        <w:t xml:space="preserve"> </w:t>
      </w:r>
      <w:r w:rsidR="00EC3247" w:rsidRPr="00A45BAD">
        <w:t xml:space="preserve">percentiles = </w:t>
      </w:r>
      <w:r w:rsidR="002778E7" w:rsidRPr="00A45BAD">
        <w:t>70</w:t>
      </w:r>
      <w:r w:rsidR="00EC3247" w:rsidRPr="00A45BAD">
        <w:t>,</w:t>
      </w:r>
      <w:r w:rsidR="00A26449" w:rsidRPr="00A45BAD">
        <w:t xml:space="preserve"> </w:t>
      </w:r>
      <w:r w:rsidR="002778E7" w:rsidRPr="00A45BAD">
        <w:t>84</w:t>
      </w:r>
      <w:r w:rsidR="00EC3247" w:rsidRPr="00A45BAD">
        <w:t>), respectively. The majority were female (5</w:t>
      </w:r>
      <w:r w:rsidR="00A26449" w:rsidRPr="00A45BAD">
        <w:t>4</w:t>
      </w:r>
      <w:r w:rsidR="00EC3247" w:rsidRPr="00A45BAD">
        <w:t>.</w:t>
      </w:r>
      <w:r w:rsidR="00A26449" w:rsidRPr="00A45BAD">
        <w:t>4</w:t>
      </w:r>
      <w:r w:rsidR="002778E7" w:rsidRPr="00A45BAD">
        <w:t>1</w:t>
      </w:r>
      <w:r w:rsidR="00EC3247" w:rsidRPr="00A45BAD">
        <w:t>% among both cases and</w:t>
      </w:r>
      <w:r w:rsidR="00A26449" w:rsidRPr="00A45BAD">
        <w:t xml:space="preserve"> </w:t>
      </w:r>
      <w:r w:rsidR="00EC3247" w:rsidRPr="00A45BAD">
        <w:t xml:space="preserve">controls), cases had a higher </w:t>
      </w:r>
      <w:r w:rsidR="00A26449" w:rsidRPr="00A45BAD">
        <w:t xml:space="preserve">number </w:t>
      </w:r>
      <w:r w:rsidR="00FB6C46" w:rsidRPr="00A45BAD">
        <w:t>of patients with races as black</w:t>
      </w:r>
      <w:r w:rsidR="002778E7" w:rsidRPr="00A45BAD">
        <w:t xml:space="preserve"> </w:t>
      </w:r>
      <w:r w:rsidR="00B84F6B">
        <w:t>as well as</w:t>
      </w:r>
      <w:r w:rsidR="00FB6C46" w:rsidRPr="00A45BAD">
        <w:t xml:space="preserve"> white in cases than in controls</w:t>
      </w:r>
      <w:r w:rsidR="00B84F6B">
        <w:t>,</w:t>
      </w:r>
      <w:r w:rsidR="00FB6C46" w:rsidRPr="00A45BAD">
        <w:t xml:space="preserve"> and lower number of Asian patients in cases than controls. </w:t>
      </w:r>
    </w:p>
    <w:p w14:paraId="5B5246D0" w14:textId="77777777" w:rsidR="00B84F6B" w:rsidRPr="00A45BAD" w:rsidRDefault="00B84F6B" w:rsidP="00B84F6B">
      <w:pPr>
        <w:pStyle w:val="AMIABodyText"/>
      </w:pPr>
    </w:p>
    <w:p w14:paraId="348CBCB9" w14:textId="151FB10B" w:rsidR="00572E35" w:rsidRPr="00A45BAD" w:rsidRDefault="00572E35" w:rsidP="00572E35">
      <w:pPr>
        <w:jc w:val="center"/>
        <w:rPr>
          <w:sz w:val="20"/>
          <w:szCs w:val="20"/>
        </w:rPr>
      </w:pPr>
      <w:r w:rsidRPr="00A45BAD">
        <w:rPr>
          <w:b/>
          <w:bCs/>
          <w:sz w:val="20"/>
          <w:szCs w:val="20"/>
        </w:rPr>
        <w:t>Table 1</w:t>
      </w:r>
      <w:r w:rsidRPr="00A45BAD">
        <w:rPr>
          <w:sz w:val="20"/>
          <w:szCs w:val="20"/>
        </w:rPr>
        <w:t xml:space="preserve">. Patient </w:t>
      </w:r>
      <w:r w:rsidR="00140822" w:rsidRPr="00A45BAD">
        <w:rPr>
          <w:sz w:val="20"/>
          <w:szCs w:val="20"/>
        </w:rPr>
        <w:t>demographics</w:t>
      </w:r>
      <w:r w:rsidRPr="00A45BAD">
        <w:rPr>
          <w:sz w:val="20"/>
          <w:szCs w:val="20"/>
        </w:rPr>
        <w:t xml:space="preserve"> among Cases and Controls. </w:t>
      </w:r>
    </w:p>
    <w:tbl>
      <w:tblPr>
        <w:tblStyle w:val="TableGrid0"/>
        <w:tblW w:w="5125" w:type="dxa"/>
        <w:jc w:val="center"/>
        <w:tblLayout w:type="fixed"/>
        <w:tblLook w:val="04A0" w:firstRow="1" w:lastRow="0" w:firstColumn="1" w:lastColumn="0" w:noHBand="0" w:noVBand="1"/>
      </w:tblPr>
      <w:tblGrid>
        <w:gridCol w:w="1885"/>
        <w:gridCol w:w="1710"/>
        <w:gridCol w:w="1530"/>
      </w:tblGrid>
      <w:tr w:rsidR="00887A36" w:rsidRPr="00A45BAD" w14:paraId="722ED956" w14:textId="77777777" w:rsidTr="00B84F6B">
        <w:trPr>
          <w:jc w:val="center"/>
        </w:trPr>
        <w:tc>
          <w:tcPr>
            <w:tcW w:w="1885" w:type="dxa"/>
            <w:tcBorders>
              <w:top w:val="single" w:sz="12" w:space="0" w:color="000000"/>
              <w:bottom w:val="single" w:sz="4" w:space="0" w:color="000000"/>
            </w:tcBorders>
          </w:tcPr>
          <w:p w14:paraId="687A74D6" w14:textId="77777777" w:rsidR="00887A36" w:rsidRPr="00A45BAD" w:rsidRDefault="00887A36" w:rsidP="00D73B72">
            <w:pPr>
              <w:rPr>
                <w:b/>
                <w:bCs/>
                <w:color w:val="000000" w:themeColor="text1"/>
                <w:sz w:val="20"/>
                <w:szCs w:val="20"/>
                <w:shd w:val="clear" w:color="auto" w:fill="FFFFFF"/>
              </w:rPr>
            </w:pPr>
            <w:r w:rsidRPr="00A45BAD">
              <w:rPr>
                <w:b/>
                <w:bCs/>
                <w:color w:val="000000" w:themeColor="text1"/>
                <w:sz w:val="20"/>
                <w:szCs w:val="20"/>
                <w:shd w:val="clear" w:color="auto" w:fill="FFFFFF"/>
              </w:rPr>
              <w:t>Variable</w:t>
            </w:r>
          </w:p>
        </w:tc>
        <w:tc>
          <w:tcPr>
            <w:tcW w:w="1710" w:type="dxa"/>
            <w:tcBorders>
              <w:top w:val="single" w:sz="12" w:space="0" w:color="000000"/>
              <w:bottom w:val="single" w:sz="4" w:space="0" w:color="000000"/>
            </w:tcBorders>
          </w:tcPr>
          <w:p w14:paraId="3CE1167A" w14:textId="77777777" w:rsidR="00887A36" w:rsidRPr="00A45BAD" w:rsidRDefault="00887A36" w:rsidP="00D73B72">
            <w:pPr>
              <w:rPr>
                <w:b/>
                <w:bCs/>
                <w:color w:val="000000" w:themeColor="text1"/>
                <w:sz w:val="20"/>
                <w:szCs w:val="20"/>
                <w:shd w:val="clear" w:color="auto" w:fill="FFFFFF"/>
              </w:rPr>
            </w:pPr>
            <w:r w:rsidRPr="00A45BAD">
              <w:rPr>
                <w:b/>
                <w:bCs/>
                <w:color w:val="000000" w:themeColor="text1"/>
                <w:sz w:val="20"/>
                <w:szCs w:val="20"/>
                <w:shd w:val="clear" w:color="auto" w:fill="FFFFFF"/>
              </w:rPr>
              <w:t>Case</w:t>
            </w:r>
          </w:p>
        </w:tc>
        <w:tc>
          <w:tcPr>
            <w:tcW w:w="1530" w:type="dxa"/>
            <w:tcBorders>
              <w:top w:val="single" w:sz="12" w:space="0" w:color="000000"/>
              <w:bottom w:val="single" w:sz="4" w:space="0" w:color="000000"/>
            </w:tcBorders>
          </w:tcPr>
          <w:p w14:paraId="22280CE8" w14:textId="77777777" w:rsidR="00887A36" w:rsidRPr="00A45BAD" w:rsidRDefault="00887A36" w:rsidP="00D73B72">
            <w:pPr>
              <w:rPr>
                <w:b/>
                <w:bCs/>
                <w:color w:val="000000" w:themeColor="text1"/>
                <w:sz w:val="20"/>
                <w:szCs w:val="20"/>
                <w:shd w:val="clear" w:color="auto" w:fill="FFFFFF"/>
              </w:rPr>
            </w:pPr>
            <w:r w:rsidRPr="00A45BAD">
              <w:rPr>
                <w:b/>
                <w:bCs/>
                <w:color w:val="000000" w:themeColor="text1"/>
                <w:sz w:val="20"/>
                <w:szCs w:val="20"/>
                <w:shd w:val="clear" w:color="auto" w:fill="FFFFFF"/>
              </w:rPr>
              <w:t>Control</w:t>
            </w:r>
          </w:p>
        </w:tc>
      </w:tr>
      <w:tr w:rsidR="00887A36" w:rsidRPr="00A45BAD" w14:paraId="16EDF004" w14:textId="77777777" w:rsidTr="00B84F6B">
        <w:trPr>
          <w:trHeight w:val="290"/>
          <w:jc w:val="center"/>
        </w:trPr>
        <w:tc>
          <w:tcPr>
            <w:tcW w:w="1885" w:type="dxa"/>
            <w:tcBorders>
              <w:top w:val="single" w:sz="4" w:space="0" w:color="000000"/>
              <w:bottom w:val="single" w:sz="4" w:space="0" w:color="000000"/>
            </w:tcBorders>
          </w:tcPr>
          <w:p w14:paraId="0A54AC29" w14:textId="77777777" w:rsidR="00887A36" w:rsidRPr="00A45BAD" w:rsidRDefault="00887A36" w:rsidP="00D73B72">
            <w:pPr>
              <w:rPr>
                <w:color w:val="000000" w:themeColor="text1"/>
                <w:sz w:val="20"/>
                <w:szCs w:val="20"/>
                <w:shd w:val="clear" w:color="auto" w:fill="FFFFFF"/>
              </w:rPr>
            </w:pPr>
            <w:r w:rsidRPr="00A45BAD">
              <w:rPr>
                <w:color w:val="000000" w:themeColor="text1"/>
                <w:sz w:val="20"/>
                <w:szCs w:val="20"/>
                <w:shd w:val="clear" w:color="auto" w:fill="FFFFFF"/>
              </w:rPr>
              <w:t>Age</w:t>
            </w:r>
          </w:p>
        </w:tc>
        <w:tc>
          <w:tcPr>
            <w:tcW w:w="1710" w:type="dxa"/>
            <w:tcBorders>
              <w:top w:val="single" w:sz="4" w:space="0" w:color="000000"/>
              <w:bottom w:val="single" w:sz="4" w:space="0" w:color="000000"/>
            </w:tcBorders>
          </w:tcPr>
          <w:p w14:paraId="307A922F" w14:textId="1AD65B4F" w:rsidR="00887A36" w:rsidRPr="00A45BAD" w:rsidRDefault="00887A36" w:rsidP="00D73B72">
            <w:pPr>
              <w:rPr>
                <w:color w:val="000000" w:themeColor="text1"/>
                <w:sz w:val="20"/>
                <w:szCs w:val="20"/>
                <w:shd w:val="clear" w:color="auto" w:fill="FFFFFF"/>
              </w:rPr>
            </w:pPr>
            <w:r w:rsidRPr="00A45BAD">
              <w:rPr>
                <w:color w:val="000000" w:themeColor="text1"/>
                <w:sz w:val="20"/>
                <w:szCs w:val="20"/>
                <w:shd w:val="clear" w:color="auto" w:fill="FFFFFF"/>
                <w:vertAlign w:val="superscript"/>
              </w:rPr>
              <w:t>a</w:t>
            </w:r>
            <w:r w:rsidRPr="00A45BAD">
              <w:rPr>
                <w:color w:val="000000" w:themeColor="text1"/>
                <w:sz w:val="20"/>
                <w:szCs w:val="20"/>
                <w:shd w:val="clear" w:color="auto" w:fill="FFFFFF"/>
              </w:rPr>
              <w:t>74.36 (68, 83)</w:t>
            </w:r>
          </w:p>
        </w:tc>
        <w:tc>
          <w:tcPr>
            <w:tcW w:w="1530" w:type="dxa"/>
            <w:tcBorders>
              <w:top w:val="single" w:sz="4" w:space="0" w:color="000000"/>
              <w:bottom w:val="single" w:sz="4" w:space="0" w:color="000000"/>
            </w:tcBorders>
          </w:tcPr>
          <w:p w14:paraId="613CD932" w14:textId="7EE6CF5D" w:rsidR="00887A36" w:rsidRPr="00A45BAD" w:rsidRDefault="00887A36" w:rsidP="00D73B72">
            <w:pPr>
              <w:rPr>
                <w:color w:val="000000" w:themeColor="text1"/>
                <w:sz w:val="20"/>
                <w:szCs w:val="20"/>
                <w:shd w:val="clear" w:color="auto" w:fill="FFFFFF"/>
              </w:rPr>
            </w:pPr>
            <w:r w:rsidRPr="00A45BAD">
              <w:rPr>
                <w:color w:val="000000" w:themeColor="text1"/>
                <w:sz w:val="20"/>
                <w:szCs w:val="20"/>
                <w:shd w:val="clear" w:color="auto" w:fill="FFFFFF"/>
              </w:rPr>
              <w:t>76.33 (70, 84)</w:t>
            </w:r>
          </w:p>
        </w:tc>
      </w:tr>
      <w:tr w:rsidR="00887A36" w:rsidRPr="00A45BAD" w14:paraId="661C4C9B" w14:textId="77777777" w:rsidTr="00B84F6B">
        <w:trPr>
          <w:trHeight w:val="245"/>
          <w:jc w:val="center"/>
        </w:trPr>
        <w:tc>
          <w:tcPr>
            <w:tcW w:w="1885" w:type="dxa"/>
            <w:tcBorders>
              <w:top w:val="single" w:sz="4" w:space="0" w:color="000000"/>
              <w:bottom w:val="single" w:sz="4" w:space="0" w:color="000000"/>
            </w:tcBorders>
          </w:tcPr>
          <w:p w14:paraId="43F32CDC" w14:textId="1E69ABD7"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Female</w:t>
            </w:r>
          </w:p>
        </w:tc>
        <w:tc>
          <w:tcPr>
            <w:tcW w:w="1710" w:type="dxa"/>
            <w:tcBorders>
              <w:top w:val="single" w:sz="4" w:space="0" w:color="000000"/>
              <w:bottom w:val="single" w:sz="4" w:space="0" w:color="000000"/>
            </w:tcBorders>
          </w:tcPr>
          <w:p w14:paraId="630CC67E" w14:textId="56F21538" w:rsidR="00887A36" w:rsidRPr="00A45BAD" w:rsidRDefault="00887A36" w:rsidP="00887A36">
            <w:pPr>
              <w:rPr>
                <w:color w:val="000000" w:themeColor="text1"/>
                <w:sz w:val="20"/>
                <w:szCs w:val="20"/>
                <w:shd w:val="clear" w:color="auto" w:fill="FFFFFF"/>
                <w:vertAlign w:val="superscript"/>
              </w:rPr>
            </w:pPr>
            <w:r w:rsidRPr="00A45BAD">
              <w:rPr>
                <w:color w:val="000000" w:themeColor="text1"/>
                <w:sz w:val="20"/>
                <w:szCs w:val="20"/>
                <w:shd w:val="clear" w:color="auto" w:fill="FFFFFF"/>
              </w:rPr>
              <w:t>2,213 (54.41%)</w:t>
            </w:r>
          </w:p>
        </w:tc>
        <w:tc>
          <w:tcPr>
            <w:tcW w:w="1530" w:type="dxa"/>
            <w:tcBorders>
              <w:top w:val="single" w:sz="4" w:space="0" w:color="000000"/>
              <w:bottom w:val="single" w:sz="4" w:space="0" w:color="000000"/>
            </w:tcBorders>
          </w:tcPr>
          <w:p w14:paraId="7C27B00E" w14:textId="2024F570"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2,213 (54.41%)</w:t>
            </w:r>
          </w:p>
        </w:tc>
      </w:tr>
      <w:tr w:rsidR="00887A36" w:rsidRPr="00A45BAD" w14:paraId="63A602CA" w14:textId="77777777" w:rsidTr="00B84F6B">
        <w:trPr>
          <w:trHeight w:val="274"/>
          <w:jc w:val="center"/>
        </w:trPr>
        <w:tc>
          <w:tcPr>
            <w:tcW w:w="5125" w:type="dxa"/>
            <w:gridSpan w:val="3"/>
            <w:tcBorders>
              <w:top w:val="single" w:sz="4" w:space="0" w:color="000000"/>
            </w:tcBorders>
          </w:tcPr>
          <w:p w14:paraId="411D7C7B" w14:textId="77777777"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Race</w:t>
            </w:r>
          </w:p>
        </w:tc>
      </w:tr>
      <w:tr w:rsidR="00887A36" w:rsidRPr="00A45BAD" w14:paraId="7B81E8B5" w14:textId="77777777" w:rsidTr="00B84F6B">
        <w:trPr>
          <w:jc w:val="center"/>
        </w:trPr>
        <w:tc>
          <w:tcPr>
            <w:tcW w:w="1885" w:type="dxa"/>
          </w:tcPr>
          <w:p w14:paraId="72C5DF67" w14:textId="77777777"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 xml:space="preserve">     Asian</w:t>
            </w:r>
          </w:p>
        </w:tc>
        <w:tc>
          <w:tcPr>
            <w:tcW w:w="1710" w:type="dxa"/>
          </w:tcPr>
          <w:p w14:paraId="2C1856AC" w14:textId="77777777"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vertAlign w:val="superscript"/>
              </w:rPr>
              <w:t>b</w:t>
            </w:r>
            <w:r w:rsidRPr="00A45BAD">
              <w:rPr>
                <w:color w:val="000000" w:themeColor="text1"/>
                <w:sz w:val="20"/>
                <w:szCs w:val="20"/>
                <w:shd w:val="clear" w:color="auto" w:fill="FFFFFF"/>
              </w:rPr>
              <w:t>458 (11.26%)</w:t>
            </w:r>
          </w:p>
        </w:tc>
        <w:tc>
          <w:tcPr>
            <w:tcW w:w="1530" w:type="dxa"/>
          </w:tcPr>
          <w:p w14:paraId="3CC1DFD3" w14:textId="77777777"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595 (14.63%)</w:t>
            </w:r>
          </w:p>
        </w:tc>
      </w:tr>
      <w:tr w:rsidR="00887A36" w:rsidRPr="00A45BAD" w14:paraId="2CF31866" w14:textId="77777777" w:rsidTr="00B84F6B">
        <w:trPr>
          <w:jc w:val="center"/>
        </w:trPr>
        <w:tc>
          <w:tcPr>
            <w:tcW w:w="1885" w:type="dxa"/>
          </w:tcPr>
          <w:p w14:paraId="41C95FDD" w14:textId="77777777"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 xml:space="preserve">     Black</w:t>
            </w:r>
          </w:p>
        </w:tc>
        <w:tc>
          <w:tcPr>
            <w:tcW w:w="1710" w:type="dxa"/>
          </w:tcPr>
          <w:p w14:paraId="01D040EC" w14:textId="6D19C5E5"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225 (5.53%)</w:t>
            </w:r>
          </w:p>
        </w:tc>
        <w:tc>
          <w:tcPr>
            <w:tcW w:w="1530" w:type="dxa"/>
          </w:tcPr>
          <w:p w14:paraId="2D573F61" w14:textId="77777777"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150 (3.69%)</w:t>
            </w:r>
          </w:p>
        </w:tc>
      </w:tr>
      <w:tr w:rsidR="00887A36" w:rsidRPr="00A45BAD" w14:paraId="39324E99" w14:textId="77777777" w:rsidTr="00B84F6B">
        <w:trPr>
          <w:jc w:val="center"/>
        </w:trPr>
        <w:tc>
          <w:tcPr>
            <w:tcW w:w="1885" w:type="dxa"/>
          </w:tcPr>
          <w:p w14:paraId="04FBC684" w14:textId="77777777"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 xml:space="preserve">     Native American</w:t>
            </w:r>
          </w:p>
        </w:tc>
        <w:tc>
          <w:tcPr>
            <w:tcW w:w="1710" w:type="dxa"/>
          </w:tcPr>
          <w:p w14:paraId="49FB780A" w14:textId="77777777"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14 (0.34%)</w:t>
            </w:r>
          </w:p>
        </w:tc>
        <w:tc>
          <w:tcPr>
            <w:tcW w:w="1530" w:type="dxa"/>
          </w:tcPr>
          <w:p w14:paraId="4F38F96A" w14:textId="77777777"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13 (0.32%)</w:t>
            </w:r>
          </w:p>
        </w:tc>
      </w:tr>
      <w:tr w:rsidR="00887A36" w:rsidRPr="00A45BAD" w14:paraId="72DB9765" w14:textId="77777777" w:rsidTr="00B84F6B">
        <w:trPr>
          <w:jc w:val="center"/>
        </w:trPr>
        <w:tc>
          <w:tcPr>
            <w:tcW w:w="1885" w:type="dxa"/>
          </w:tcPr>
          <w:p w14:paraId="42A0BDEE" w14:textId="07575916"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 xml:space="preserve">     Pacific Islander</w:t>
            </w:r>
          </w:p>
        </w:tc>
        <w:tc>
          <w:tcPr>
            <w:tcW w:w="1710" w:type="dxa"/>
          </w:tcPr>
          <w:p w14:paraId="2BA32955" w14:textId="3D015DD6"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32 (0.79%)</w:t>
            </w:r>
          </w:p>
        </w:tc>
        <w:tc>
          <w:tcPr>
            <w:tcW w:w="1530" w:type="dxa"/>
          </w:tcPr>
          <w:p w14:paraId="2D755B80" w14:textId="7879A119"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36 (0.78%)</w:t>
            </w:r>
          </w:p>
        </w:tc>
      </w:tr>
      <w:tr w:rsidR="00887A36" w:rsidRPr="00A45BAD" w14:paraId="00710EE7" w14:textId="77777777" w:rsidTr="00B84F6B">
        <w:trPr>
          <w:jc w:val="center"/>
        </w:trPr>
        <w:tc>
          <w:tcPr>
            <w:tcW w:w="1885" w:type="dxa"/>
          </w:tcPr>
          <w:p w14:paraId="793E5D7D" w14:textId="6D262B6C"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 xml:space="preserve">     White</w:t>
            </w:r>
          </w:p>
        </w:tc>
        <w:tc>
          <w:tcPr>
            <w:tcW w:w="1710" w:type="dxa"/>
          </w:tcPr>
          <w:p w14:paraId="689589C8" w14:textId="6C5CCB70"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2,785 (68.48%)</w:t>
            </w:r>
          </w:p>
        </w:tc>
        <w:tc>
          <w:tcPr>
            <w:tcW w:w="1530" w:type="dxa"/>
          </w:tcPr>
          <w:p w14:paraId="4BD3A3C8" w14:textId="3EF5759C"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2,446 (60.14%)</w:t>
            </w:r>
          </w:p>
        </w:tc>
      </w:tr>
      <w:tr w:rsidR="00887A36" w:rsidRPr="00A45BAD" w14:paraId="26C47635" w14:textId="77777777" w:rsidTr="00B84F6B">
        <w:trPr>
          <w:jc w:val="center"/>
        </w:trPr>
        <w:tc>
          <w:tcPr>
            <w:tcW w:w="1885" w:type="dxa"/>
          </w:tcPr>
          <w:p w14:paraId="15E048C8" w14:textId="69ADA721"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 xml:space="preserve">     Unknown</w:t>
            </w:r>
          </w:p>
        </w:tc>
        <w:tc>
          <w:tcPr>
            <w:tcW w:w="1710" w:type="dxa"/>
          </w:tcPr>
          <w:p w14:paraId="5854D6C1" w14:textId="45F18570"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120 (2.95%)</w:t>
            </w:r>
          </w:p>
        </w:tc>
        <w:tc>
          <w:tcPr>
            <w:tcW w:w="1530" w:type="dxa"/>
          </w:tcPr>
          <w:p w14:paraId="49BF897F" w14:textId="5D98FB78"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337 (8.29%)</w:t>
            </w:r>
          </w:p>
        </w:tc>
      </w:tr>
      <w:tr w:rsidR="00887A36" w:rsidRPr="00A45BAD" w14:paraId="160E2014" w14:textId="77777777" w:rsidTr="00B84F6B">
        <w:trPr>
          <w:jc w:val="center"/>
        </w:trPr>
        <w:tc>
          <w:tcPr>
            <w:tcW w:w="1885" w:type="dxa"/>
          </w:tcPr>
          <w:p w14:paraId="3668C318" w14:textId="50F40601"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 xml:space="preserve">     Other</w:t>
            </w:r>
          </w:p>
        </w:tc>
        <w:tc>
          <w:tcPr>
            <w:tcW w:w="1710" w:type="dxa"/>
          </w:tcPr>
          <w:p w14:paraId="6C114D9A" w14:textId="3C974548"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433 (10.64%)</w:t>
            </w:r>
          </w:p>
        </w:tc>
        <w:tc>
          <w:tcPr>
            <w:tcW w:w="1530" w:type="dxa"/>
          </w:tcPr>
          <w:p w14:paraId="6EDB0C05" w14:textId="1249AABC" w:rsidR="00887A36" w:rsidRPr="00A45BAD" w:rsidRDefault="00887A36" w:rsidP="00887A36">
            <w:pPr>
              <w:rPr>
                <w:color w:val="000000" w:themeColor="text1"/>
                <w:sz w:val="20"/>
                <w:szCs w:val="20"/>
                <w:shd w:val="clear" w:color="auto" w:fill="FFFFFF"/>
              </w:rPr>
            </w:pPr>
            <w:r w:rsidRPr="00A45BAD">
              <w:rPr>
                <w:color w:val="000000" w:themeColor="text1"/>
                <w:sz w:val="20"/>
                <w:szCs w:val="20"/>
                <w:shd w:val="clear" w:color="auto" w:fill="FFFFFF"/>
              </w:rPr>
              <w:t>494 (12.15%)</w:t>
            </w:r>
          </w:p>
        </w:tc>
      </w:tr>
    </w:tbl>
    <w:p w14:paraId="4096F0F5" w14:textId="0C8338AE" w:rsidR="00B972B5" w:rsidRDefault="00B972B5" w:rsidP="00B972B5">
      <w:pPr>
        <w:jc w:val="center"/>
        <w:rPr>
          <w:sz w:val="18"/>
          <w:szCs w:val="18"/>
        </w:rPr>
      </w:pPr>
      <w:r w:rsidRPr="00B972B5">
        <w:rPr>
          <w:sz w:val="18"/>
          <w:szCs w:val="18"/>
          <w:vertAlign w:val="superscript"/>
        </w:rPr>
        <w:t xml:space="preserve">a </w:t>
      </w:r>
      <w:r w:rsidRPr="00B972B5">
        <w:rPr>
          <w:sz w:val="18"/>
          <w:szCs w:val="18"/>
        </w:rPr>
        <w:t>Numbers are in V(x, y) format, where V is the average and x and y are 25</w:t>
      </w:r>
      <w:r w:rsidRPr="00B972B5">
        <w:rPr>
          <w:sz w:val="18"/>
          <w:szCs w:val="18"/>
          <w:vertAlign w:val="superscript"/>
        </w:rPr>
        <w:t>th</w:t>
      </w:r>
      <w:r w:rsidRPr="00B972B5">
        <w:rPr>
          <w:sz w:val="18"/>
          <w:szCs w:val="18"/>
        </w:rPr>
        <w:t xml:space="preserve"> and 75</w:t>
      </w:r>
      <w:r w:rsidRPr="00B972B5">
        <w:rPr>
          <w:sz w:val="18"/>
          <w:szCs w:val="18"/>
          <w:vertAlign w:val="superscript"/>
        </w:rPr>
        <w:t>th</w:t>
      </w:r>
      <w:r w:rsidRPr="00B972B5">
        <w:rPr>
          <w:sz w:val="18"/>
          <w:szCs w:val="18"/>
        </w:rPr>
        <w:t xml:space="preserve"> percentile, respectively.</w:t>
      </w:r>
    </w:p>
    <w:p w14:paraId="21E2D808" w14:textId="212221B0" w:rsidR="00B972B5" w:rsidRPr="00B972B5" w:rsidRDefault="00B972B5" w:rsidP="00B972B5">
      <w:pPr>
        <w:jc w:val="center"/>
        <w:rPr>
          <w:sz w:val="18"/>
          <w:szCs w:val="18"/>
        </w:rPr>
      </w:pPr>
      <w:r w:rsidRPr="00B972B5">
        <w:rPr>
          <w:sz w:val="18"/>
          <w:szCs w:val="18"/>
        </w:rPr>
        <w:t xml:space="preserve">  </w:t>
      </w:r>
      <w:r w:rsidRPr="00B972B5">
        <w:rPr>
          <w:sz w:val="18"/>
          <w:szCs w:val="18"/>
          <w:vertAlign w:val="superscript"/>
        </w:rPr>
        <w:t xml:space="preserve">b </w:t>
      </w:r>
      <w:r w:rsidRPr="00B972B5">
        <w:rPr>
          <w:sz w:val="18"/>
          <w:szCs w:val="18"/>
        </w:rPr>
        <w:t>Numbers are in N(p%) format, where N is the number of patient and p% shows the percentage in the cohort.</w:t>
      </w:r>
    </w:p>
    <w:p w14:paraId="1F231F2F" w14:textId="7E738FA5" w:rsidR="00887A36" w:rsidRDefault="00887A36" w:rsidP="00887A36">
      <w:pPr>
        <w:jc w:val="both"/>
        <w:rPr>
          <w:sz w:val="20"/>
          <w:szCs w:val="20"/>
        </w:rPr>
      </w:pPr>
    </w:p>
    <w:p w14:paraId="325AB756" w14:textId="32CDDD26" w:rsidR="00B84F6B" w:rsidRDefault="00B84F6B" w:rsidP="00887A36">
      <w:pPr>
        <w:jc w:val="both"/>
        <w:rPr>
          <w:sz w:val="20"/>
          <w:szCs w:val="20"/>
        </w:rPr>
      </w:pPr>
    </w:p>
    <w:p w14:paraId="74161232" w14:textId="77777777" w:rsidR="00B972B5" w:rsidRPr="00A45BAD" w:rsidRDefault="00B972B5" w:rsidP="00B972B5">
      <w:pPr>
        <w:rPr>
          <w:b/>
          <w:bCs/>
          <w:sz w:val="20"/>
          <w:szCs w:val="20"/>
        </w:rPr>
      </w:pPr>
      <w:r w:rsidRPr="00A45BAD">
        <w:rPr>
          <w:b/>
          <w:bCs/>
          <w:sz w:val="20"/>
          <w:szCs w:val="20"/>
        </w:rPr>
        <w:t>Predictors</w:t>
      </w:r>
    </w:p>
    <w:p w14:paraId="0DC50D9D" w14:textId="494E00D6" w:rsidR="00B972B5" w:rsidRPr="00A45BAD" w:rsidRDefault="00B972B5" w:rsidP="00B972B5">
      <w:pPr>
        <w:pStyle w:val="AMIABodyText"/>
      </w:pPr>
      <w:r w:rsidRPr="00A45BAD">
        <w:t>Predictors in this study include medications, diagnosis, procedure and demographic features. Note, we grouped medications and diagnos</w:t>
      </w:r>
      <w:r>
        <w:t>e</w:t>
      </w:r>
      <w:r w:rsidRPr="00A45BAD">
        <w:t>s using pharmaceutical class and clinical classification software (CCS) codes, respectively. We included top-100 most frequent medications, diagnoses and procedures codes as well as the demographic features</w:t>
      </w:r>
      <w:r>
        <w:t>, age, sex and race</w:t>
      </w:r>
      <w:r w:rsidRPr="00A45BAD">
        <w:t xml:space="preserve">. </w:t>
      </w:r>
      <w:r>
        <w:t>T</w:t>
      </w:r>
      <w:r w:rsidRPr="00A45BAD">
        <w:t xml:space="preserve">he feature set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A45BAD">
        <w:t xml:space="preserve"> for</w:t>
      </w:r>
      <w:r>
        <w:t xml:space="preserve"> patient</w:t>
      </w:r>
      <w:r w:rsidRPr="00A45B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A45BAD">
        <w:t xml:space="preserve">, includes 300 medication, diagnosis and procedure codes plus 3 demographic features. This feature </w:t>
      </w:r>
      <w:r>
        <w:t>space</w:t>
      </w:r>
      <w:r w:rsidRPr="00A45BAD">
        <w:t xml:space="preserve"> size further reduced to 30 features using random forest algorithm</w:t>
      </w:r>
      <w:r>
        <w:t xml:space="preserve"> and used to train machine learning algorithms</w:t>
      </w:r>
      <w:r w:rsidRPr="00A45BAD">
        <w:t xml:space="preserve">. </w:t>
      </w:r>
    </w:p>
    <w:p w14:paraId="75B6E4F5" w14:textId="77777777" w:rsidR="00B972B5" w:rsidRDefault="00B972B5" w:rsidP="00B972B5">
      <w:pPr>
        <w:rPr>
          <w:b/>
          <w:bCs/>
          <w:sz w:val="20"/>
          <w:szCs w:val="20"/>
        </w:rPr>
      </w:pPr>
    </w:p>
    <w:p w14:paraId="1C5ABA2C" w14:textId="52C54A0E" w:rsidR="00B972B5" w:rsidRPr="00A45BAD" w:rsidRDefault="00B972B5" w:rsidP="00B972B5">
      <w:pPr>
        <w:rPr>
          <w:b/>
          <w:bCs/>
          <w:sz w:val="20"/>
          <w:szCs w:val="20"/>
        </w:rPr>
      </w:pPr>
      <w:r w:rsidRPr="00A45BAD">
        <w:rPr>
          <w:b/>
          <w:bCs/>
          <w:sz w:val="20"/>
          <w:szCs w:val="20"/>
        </w:rPr>
        <w:t>Targets</w:t>
      </w:r>
    </w:p>
    <w:p w14:paraId="2F9F288A" w14:textId="6951F99D" w:rsidR="00B972B5" w:rsidRDefault="00B972B5" w:rsidP="00B972B5">
      <w:pPr>
        <w:pStyle w:val="AMIABodyText"/>
      </w:pPr>
      <w:r w:rsidRPr="00A45BAD">
        <w:t xml:space="preserve">Target variable for </w:t>
      </w:r>
      <w:r>
        <w:t>the</w:t>
      </w:r>
      <w:r w:rsidRPr="00A45BAD">
        <w:t xml:space="preserve"> first task, MCI prediction, is a binary variable indicating if a patient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A45BAD">
        <w:t xml:space="preserve"> will develop MCI one year from the time of prediction or not. Our second </w:t>
      </w:r>
      <w:r w:rsidR="00373CF7">
        <w:t>task</w:t>
      </w:r>
      <w:r w:rsidRPr="00A45BAD">
        <w:t xml:space="preserve"> includes predicting necessary procedures for patients at the risk of MCI. Top-100 most frequent procedures among MCI patients were selected </w:t>
      </w:r>
      <w:r w:rsidR="00373CF7">
        <w:t>reviewed by</w:t>
      </w:r>
      <w:r w:rsidRPr="00A45BAD">
        <w:t xml:space="preserve"> healthcare professionals</w:t>
      </w:r>
      <w:r w:rsidR="00373CF7">
        <w:t xml:space="preserve"> in our team. The final target variable set include</w:t>
      </w:r>
      <w:r w:rsidRPr="00A45BAD">
        <w:t xml:space="preserve"> </w:t>
      </w:r>
      <w:r w:rsidR="001660D2">
        <w:t>46</w:t>
      </w:r>
      <w:r w:rsidRPr="00A45BAD">
        <w:t xml:space="preserve"> procedures </w:t>
      </w:r>
      <w:r w:rsidR="00373CF7">
        <w:t xml:space="preserve">presented in </w:t>
      </w:r>
      <w:r w:rsidRPr="00A45BAD">
        <w:t xml:space="preserve">Table </w:t>
      </w:r>
      <w:r w:rsidR="00373CF7">
        <w:t>3</w:t>
      </w:r>
      <w:r w:rsidRPr="00A45BAD">
        <w:t xml:space="preserve">. </w:t>
      </w:r>
      <w:r w:rsidR="00373CF7">
        <w:t>Note, t</w:t>
      </w:r>
      <w:r w:rsidRPr="00A45BAD">
        <w:t xml:space="preserve">he models were trained using patients’ diagnosis, procedure, medication and demographic records up to two months (prediction window in our first task is 12 and in our second task is 2 months) prior to the MCI onset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45BAD">
        <w:t xml:space="preserve"> for each patient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A45BAD">
        <w:t xml:space="preserve">. </w:t>
      </w:r>
      <w:r w:rsidRPr="00A45BAD">
        <w:lastRenderedPageBreak/>
        <w:t xml:space="preserve">The trained models </w:t>
      </w:r>
      <w:r w:rsidR="00373CF7">
        <w:t xml:space="preserve">then </w:t>
      </w:r>
      <w:r w:rsidRPr="00A45BAD">
        <w:t xml:space="preserve">predict necessary </w:t>
      </w:r>
      <w:r w:rsidR="00373CF7">
        <w:t xml:space="preserve">diagnostic </w:t>
      </w:r>
      <w:r w:rsidRPr="00A45BAD">
        <w:t xml:space="preserve">procedures in a form of a multi-hot vector with </w:t>
      </w:r>
      <w:r w:rsidR="001660D2">
        <w:t>46</w:t>
      </w:r>
      <w:r w:rsidRPr="00A45BAD">
        <w:t xml:space="preserve"> elements each representing one of the procedure</w:t>
      </w:r>
      <w:r w:rsidR="00373CF7">
        <w:t>s</w:t>
      </w:r>
      <w:r w:rsidRPr="00A45BAD">
        <w:t xml:space="preserve"> in Table </w:t>
      </w:r>
      <w:r w:rsidR="00373CF7">
        <w:t>3</w:t>
      </w:r>
      <w:r>
        <w:t>.</w:t>
      </w:r>
    </w:p>
    <w:p w14:paraId="2A0016A0" w14:textId="77777777" w:rsidR="00B972B5" w:rsidRPr="00A45BAD" w:rsidRDefault="00B972B5" w:rsidP="00887A36">
      <w:pPr>
        <w:jc w:val="both"/>
        <w:rPr>
          <w:sz w:val="20"/>
          <w:szCs w:val="20"/>
        </w:rPr>
      </w:pPr>
    </w:p>
    <w:p w14:paraId="756CC2CF" w14:textId="581B58E5" w:rsidR="00140822" w:rsidRPr="00A45BAD" w:rsidRDefault="00140822" w:rsidP="00140822">
      <w:pPr>
        <w:jc w:val="center"/>
        <w:rPr>
          <w:sz w:val="20"/>
          <w:szCs w:val="20"/>
        </w:rPr>
      </w:pPr>
      <w:r w:rsidRPr="00A45BAD">
        <w:rPr>
          <w:b/>
          <w:bCs/>
          <w:sz w:val="20"/>
          <w:szCs w:val="20"/>
        </w:rPr>
        <w:t xml:space="preserve">Table </w:t>
      </w:r>
      <w:r w:rsidR="00B972B5">
        <w:rPr>
          <w:b/>
          <w:bCs/>
          <w:sz w:val="20"/>
          <w:szCs w:val="20"/>
        </w:rPr>
        <w:t>2</w:t>
      </w:r>
      <w:r w:rsidRPr="00A45BAD">
        <w:rPr>
          <w:sz w:val="20"/>
          <w:szCs w:val="20"/>
        </w:rPr>
        <w:t xml:space="preserve">. Patient demographics among Cases and Controls. </w:t>
      </w:r>
    </w:p>
    <w:tbl>
      <w:tblPr>
        <w:tblStyle w:val="TableGrid0"/>
        <w:tblW w:w="7740" w:type="dxa"/>
        <w:jc w:val="center"/>
        <w:tblLayout w:type="fixed"/>
        <w:tblLook w:val="04A0" w:firstRow="1" w:lastRow="0" w:firstColumn="1" w:lastColumn="0" w:noHBand="0" w:noVBand="1"/>
      </w:tblPr>
      <w:tblGrid>
        <w:gridCol w:w="4495"/>
        <w:gridCol w:w="1715"/>
        <w:gridCol w:w="1530"/>
      </w:tblGrid>
      <w:tr w:rsidR="00887A36" w:rsidRPr="00A45BAD" w14:paraId="7DD75875" w14:textId="77777777" w:rsidTr="00887A36">
        <w:trPr>
          <w:jc w:val="center"/>
        </w:trPr>
        <w:tc>
          <w:tcPr>
            <w:tcW w:w="4495" w:type="dxa"/>
            <w:tcBorders>
              <w:top w:val="single" w:sz="12" w:space="0" w:color="000000"/>
              <w:bottom w:val="single" w:sz="12" w:space="0" w:color="000000"/>
            </w:tcBorders>
          </w:tcPr>
          <w:p w14:paraId="20819389" w14:textId="2B16E2A1" w:rsidR="00887A36" w:rsidRPr="00A45BAD" w:rsidRDefault="00B972B5" w:rsidP="00D73B72">
            <w:pPr>
              <w:rPr>
                <w:b/>
                <w:bCs/>
                <w:color w:val="000000" w:themeColor="text1"/>
                <w:sz w:val="20"/>
                <w:szCs w:val="20"/>
                <w:shd w:val="clear" w:color="auto" w:fill="FFFFFF"/>
              </w:rPr>
            </w:pPr>
            <w:r>
              <w:rPr>
                <w:b/>
                <w:bCs/>
                <w:color w:val="000000" w:themeColor="text1"/>
                <w:sz w:val="20"/>
                <w:szCs w:val="20"/>
                <w:shd w:val="clear" w:color="auto" w:fill="FFFFFF"/>
              </w:rPr>
              <w:t>V</w:t>
            </w:r>
            <w:r w:rsidRPr="00A45BAD">
              <w:rPr>
                <w:b/>
                <w:bCs/>
                <w:color w:val="000000" w:themeColor="text1"/>
                <w:sz w:val="20"/>
                <w:szCs w:val="20"/>
                <w:shd w:val="clear" w:color="auto" w:fill="FFFFFF"/>
              </w:rPr>
              <w:t>ariable</w:t>
            </w:r>
          </w:p>
        </w:tc>
        <w:tc>
          <w:tcPr>
            <w:tcW w:w="1715" w:type="dxa"/>
            <w:tcBorders>
              <w:top w:val="single" w:sz="12" w:space="0" w:color="000000"/>
              <w:bottom w:val="single" w:sz="12" w:space="0" w:color="000000"/>
            </w:tcBorders>
          </w:tcPr>
          <w:p w14:paraId="2605B08F" w14:textId="47E3C0D3" w:rsidR="00887A36" w:rsidRPr="00A45BAD" w:rsidRDefault="00B972B5" w:rsidP="00D73B72">
            <w:pPr>
              <w:rPr>
                <w:b/>
                <w:bCs/>
                <w:color w:val="000000" w:themeColor="text1"/>
                <w:sz w:val="20"/>
                <w:szCs w:val="20"/>
                <w:shd w:val="clear" w:color="auto" w:fill="FFFFFF"/>
              </w:rPr>
            </w:pPr>
            <w:r>
              <w:rPr>
                <w:b/>
                <w:bCs/>
                <w:color w:val="000000" w:themeColor="text1"/>
                <w:sz w:val="20"/>
                <w:szCs w:val="20"/>
                <w:shd w:val="clear" w:color="auto" w:fill="FFFFFF"/>
              </w:rPr>
              <w:t>C</w:t>
            </w:r>
            <w:r w:rsidRPr="00A45BAD">
              <w:rPr>
                <w:b/>
                <w:bCs/>
                <w:color w:val="000000" w:themeColor="text1"/>
                <w:sz w:val="20"/>
                <w:szCs w:val="20"/>
                <w:shd w:val="clear" w:color="auto" w:fill="FFFFFF"/>
              </w:rPr>
              <w:t>ase</w:t>
            </w:r>
          </w:p>
        </w:tc>
        <w:tc>
          <w:tcPr>
            <w:tcW w:w="1530" w:type="dxa"/>
            <w:tcBorders>
              <w:top w:val="single" w:sz="12" w:space="0" w:color="000000"/>
              <w:bottom w:val="single" w:sz="12" w:space="0" w:color="000000"/>
            </w:tcBorders>
          </w:tcPr>
          <w:p w14:paraId="435323DC" w14:textId="68FCBEB6" w:rsidR="00887A36" w:rsidRPr="00A45BAD" w:rsidRDefault="00B972B5" w:rsidP="00D73B72">
            <w:pPr>
              <w:rPr>
                <w:b/>
                <w:bCs/>
                <w:color w:val="000000" w:themeColor="text1"/>
                <w:sz w:val="20"/>
                <w:szCs w:val="20"/>
                <w:shd w:val="clear" w:color="auto" w:fill="FFFFFF"/>
              </w:rPr>
            </w:pPr>
            <w:r>
              <w:rPr>
                <w:b/>
                <w:bCs/>
                <w:color w:val="000000" w:themeColor="text1"/>
                <w:sz w:val="20"/>
                <w:szCs w:val="20"/>
                <w:shd w:val="clear" w:color="auto" w:fill="FFFFFF"/>
              </w:rPr>
              <w:t>C</w:t>
            </w:r>
            <w:r w:rsidRPr="00A45BAD">
              <w:rPr>
                <w:b/>
                <w:bCs/>
                <w:color w:val="000000" w:themeColor="text1"/>
                <w:sz w:val="20"/>
                <w:szCs w:val="20"/>
                <w:shd w:val="clear" w:color="auto" w:fill="FFFFFF"/>
              </w:rPr>
              <w:t>ontrol</w:t>
            </w:r>
          </w:p>
        </w:tc>
      </w:tr>
      <w:tr w:rsidR="00887A36" w:rsidRPr="00A45BAD" w14:paraId="6BB1CB97" w14:textId="77777777" w:rsidTr="00887A36">
        <w:trPr>
          <w:jc w:val="center"/>
        </w:trPr>
        <w:tc>
          <w:tcPr>
            <w:tcW w:w="7740" w:type="dxa"/>
            <w:gridSpan w:val="3"/>
            <w:tcBorders>
              <w:top w:val="single" w:sz="12" w:space="0" w:color="000000"/>
            </w:tcBorders>
          </w:tcPr>
          <w:p w14:paraId="49696DE6" w14:textId="3BCD17D9" w:rsidR="00887A36" w:rsidRPr="00A45BAD" w:rsidRDefault="00B972B5" w:rsidP="00D73B72">
            <w:pPr>
              <w:rPr>
                <w:color w:val="000000" w:themeColor="text1"/>
                <w:sz w:val="20"/>
                <w:szCs w:val="20"/>
                <w:shd w:val="clear" w:color="auto" w:fill="FFFFFF"/>
              </w:rPr>
            </w:pPr>
            <w:r>
              <w:rPr>
                <w:b/>
                <w:bCs/>
                <w:color w:val="000000" w:themeColor="text1"/>
                <w:sz w:val="20"/>
                <w:szCs w:val="20"/>
                <w:shd w:val="clear" w:color="auto" w:fill="FFFFFF"/>
              </w:rPr>
              <w:t>D</w:t>
            </w:r>
            <w:r w:rsidRPr="00A45BAD">
              <w:rPr>
                <w:b/>
                <w:bCs/>
                <w:color w:val="000000" w:themeColor="text1"/>
                <w:sz w:val="20"/>
                <w:szCs w:val="20"/>
                <w:shd w:val="clear" w:color="auto" w:fill="FFFFFF"/>
              </w:rPr>
              <w:t>iagnoses</w:t>
            </w:r>
          </w:p>
        </w:tc>
      </w:tr>
      <w:tr w:rsidR="00887A36" w:rsidRPr="00A45BAD" w14:paraId="1E6A1CD1" w14:textId="77777777" w:rsidTr="00887A36">
        <w:trPr>
          <w:jc w:val="center"/>
        </w:trPr>
        <w:tc>
          <w:tcPr>
            <w:tcW w:w="4495" w:type="dxa"/>
          </w:tcPr>
          <w:p w14:paraId="1EDC42D7" w14:textId="3F60D898" w:rsidR="00887A36" w:rsidRPr="00A45BAD" w:rsidRDefault="00B972B5" w:rsidP="00D73B72">
            <w:pPr>
              <w:rPr>
                <w:color w:val="000000" w:themeColor="text1"/>
                <w:sz w:val="20"/>
                <w:szCs w:val="20"/>
                <w:shd w:val="clear" w:color="auto" w:fill="FFFFFF"/>
              </w:rPr>
            </w:pPr>
            <w:r>
              <w:rPr>
                <w:color w:val="000000" w:themeColor="text1"/>
                <w:sz w:val="20"/>
                <w:szCs w:val="20"/>
                <w:shd w:val="clear" w:color="auto" w:fill="FFFFFF"/>
              </w:rPr>
              <w:t>N</w:t>
            </w:r>
            <w:r w:rsidRPr="00A45BAD">
              <w:rPr>
                <w:color w:val="000000" w:themeColor="text1"/>
                <w:sz w:val="20"/>
                <w:szCs w:val="20"/>
                <w:shd w:val="clear" w:color="auto" w:fill="FFFFFF"/>
              </w:rPr>
              <w:t xml:space="preserve">ervous system signs and symptoms </w:t>
            </w:r>
          </w:p>
        </w:tc>
        <w:tc>
          <w:tcPr>
            <w:tcW w:w="1715" w:type="dxa"/>
          </w:tcPr>
          <w:p w14:paraId="02FCE3A3" w14:textId="3E9BE31A" w:rsidR="00887A36" w:rsidRPr="00A45BAD" w:rsidRDefault="00B972B5" w:rsidP="00D73B72">
            <w:pPr>
              <w:rPr>
                <w:color w:val="000000" w:themeColor="text1"/>
                <w:sz w:val="20"/>
                <w:szCs w:val="20"/>
                <w:shd w:val="clear" w:color="auto" w:fill="FFFFFF"/>
              </w:rPr>
            </w:pPr>
            <w:r w:rsidRPr="00A45BAD">
              <w:rPr>
                <w:color w:val="000000" w:themeColor="text1"/>
                <w:sz w:val="20"/>
                <w:szCs w:val="20"/>
                <w:shd w:val="clear" w:color="auto" w:fill="FFFFFF"/>
              </w:rPr>
              <w:t>1,459 (31.46%)</w:t>
            </w:r>
          </w:p>
        </w:tc>
        <w:tc>
          <w:tcPr>
            <w:tcW w:w="1530" w:type="dxa"/>
          </w:tcPr>
          <w:p w14:paraId="3AB59A2A" w14:textId="06C2F45F" w:rsidR="00887A36" w:rsidRPr="00A45BAD" w:rsidRDefault="00B972B5" w:rsidP="00D73B72">
            <w:pPr>
              <w:rPr>
                <w:color w:val="000000" w:themeColor="text1"/>
                <w:sz w:val="20"/>
                <w:szCs w:val="20"/>
                <w:shd w:val="clear" w:color="auto" w:fill="FFFFFF"/>
              </w:rPr>
            </w:pPr>
            <w:r w:rsidRPr="00A45BAD">
              <w:rPr>
                <w:color w:val="000000" w:themeColor="text1"/>
                <w:sz w:val="20"/>
                <w:szCs w:val="20"/>
                <w:shd w:val="clear" w:color="auto" w:fill="FFFFFF"/>
              </w:rPr>
              <w:t>390 (8.41%)</w:t>
            </w:r>
          </w:p>
        </w:tc>
      </w:tr>
      <w:tr w:rsidR="00887A36" w:rsidRPr="00A45BAD" w14:paraId="14BE8419" w14:textId="77777777" w:rsidTr="00887A36">
        <w:trPr>
          <w:jc w:val="center"/>
        </w:trPr>
        <w:tc>
          <w:tcPr>
            <w:tcW w:w="4495" w:type="dxa"/>
            <w:tcBorders>
              <w:bottom w:val="single" w:sz="4" w:space="0" w:color="000000"/>
            </w:tcBorders>
          </w:tcPr>
          <w:p w14:paraId="67E02E07" w14:textId="2AE10C33" w:rsidR="00887A36" w:rsidRPr="00A45BAD" w:rsidRDefault="00B972B5" w:rsidP="00D73B72">
            <w:pPr>
              <w:rPr>
                <w:color w:val="000000" w:themeColor="text1"/>
                <w:sz w:val="20"/>
                <w:szCs w:val="20"/>
                <w:shd w:val="clear" w:color="auto" w:fill="FFFFFF"/>
              </w:rPr>
            </w:pPr>
            <w:r>
              <w:rPr>
                <w:color w:val="000000" w:themeColor="text1"/>
                <w:sz w:val="20"/>
                <w:szCs w:val="20"/>
                <w:shd w:val="clear" w:color="auto" w:fill="FFFFFF"/>
              </w:rPr>
              <w:t>E</w:t>
            </w:r>
            <w:r w:rsidRPr="00A45BAD">
              <w:rPr>
                <w:color w:val="000000" w:themeColor="text1"/>
                <w:sz w:val="20"/>
                <w:szCs w:val="20"/>
                <w:shd w:val="clear" w:color="auto" w:fill="FFFFFF"/>
              </w:rPr>
              <w:t>xposure, encounters, screening or contact with infectious disease</w:t>
            </w:r>
          </w:p>
        </w:tc>
        <w:tc>
          <w:tcPr>
            <w:tcW w:w="1715" w:type="dxa"/>
            <w:tcBorders>
              <w:bottom w:val="single" w:sz="4" w:space="0" w:color="000000"/>
            </w:tcBorders>
          </w:tcPr>
          <w:p w14:paraId="1E52B3E9" w14:textId="071695BC" w:rsidR="00887A36" w:rsidRPr="00A45BAD" w:rsidRDefault="00B972B5" w:rsidP="00D73B72">
            <w:pPr>
              <w:spacing w:after="231"/>
              <w:rPr>
                <w:color w:val="000000" w:themeColor="text1"/>
                <w:sz w:val="20"/>
                <w:szCs w:val="20"/>
                <w:shd w:val="clear" w:color="auto" w:fill="FFFFFF"/>
              </w:rPr>
            </w:pPr>
            <w:r w:rsidRPr="00A45BAD">
              <w:rPr>
                <w:color w:val="000000" w:themeColor="text1"/>
                <w:sz w:val="20"/>
                <w:szCs w:val="20"/>
                <w:shd w:val="clear" w:color="auto" w:fill="FFFFFF"/>
              </w:rPr>
              <w:t>1,655 (35.69%)</w:t>
            </w:r>
          </w:p>
        </w:tc>
        <w:tc>
          <w:tcPr>
            <w:tcW w:w="1530" w:type="dxa"/>
            <w:tcBorders>
              <w:bottom w:val="single" w:sz="4" w:space="0" w:color="000000"/>
            </w:tcBorders>
          </w:tcPr>
          <w:p w14:paraId="65CCC4AA" w14:textId="24556FDC" w:rsidR="00887A36" w:rsidRPr="00A45BAD" w:rsidRDefault="00B972B5" w:rsidP="00D73B72">
            <w:pPr>
              <w:spacing w:after="231"/>
              <w:rPr>
                <w:color w:val="000000" w:themeColor="text1"/>
                <w:sz w:val="20"/>
                <w:szCs w:val="20"/>
                <w:shd w:val="clear" w:color="auto" w:fill="FFFFFF"/>
              </w:rPr>
            </w:pPr>
            <w:r w:rsidRPr="00A45BAD">
              <w:rPr>
                <w:color w:val="000000" w:themeColor="text1"/>
                <w:sz w:val="20"/>
                <w:szCs w:val="20"/>
                <w:shd w:val="clear" w:color="auto" w:fill="FFFFFF"/>
              </w:rPr>
              <w:t>625 (13.43%)</w:t>
            </w:r>
          </w:p>
        </w:tc>
      </w:tr>
      <w:tr w:rsidR="00887A36" w:rsidRPr="00A45BAD" w14:paraId="3D20D23D" w14:textId="77777777" w:rsidTr="00887A36">
        <w:trPr>
          <w:jc w:val="center"/>
        </w:trPr>
        <w:tc>
          <w:tcPr>
            <w:tcW w:w="4495" w:type="dxa"/>
            <w:tcBorders>
              <w:top w:val="single" w:sz="4" w:space="0" w:color="000000"/>
              <w:bottom w:val="single" w:sz="4" w:space="0" w:color="000000"/>
            </w:tcBorders>
          </w:tcPr>
          <w:p w14:paraId="5957F6A2" w14:textId="4105C2DD" w:rsidR="00887A36" w:rsidRPr="00A45BAD" w:rsidRDefault="00B972B5" w:rsidP="006A1194">
            <w:pPr>
              <w:rPr>
                <w:color w:val="000000" w:themeColor="text1"/>
                <w:sz w:val="20"/>
                <w:szCs w:val="20"/>
                <w:shd w:val="clear" w:color="auto" w:fill="FFFFFF"/>
              </w:rPr>
            </w:pPr>
            <w:r>
              <w:rPr>
                <w:color w:val="000000" w:themeColor="text1"/>
                <w:sz w:val="20"/>
                <w:szCs w:val="20"/>
                <w:shd w:val="clear" w:color="auto" w:fill="FFFFFF"/>
              </w:rPr>
              <w:t>M</w:t>
            </w:r>
            <w:r w:rsidRPr="00A45BAD">
              <w:rPr>
                <w:color w:val="000000" w:themeColor="text1"/>
                <w:sz w:val="20"/>
                <w:szCs w:val="20"/>
                <w:shd w:val="clear" w:color="auto" w:fill="FFFFFF"/>
              </w:rPr>
              <w:t>edical examination/evaluation</w:t>
            </w:r>
          </w:p>
        </w:tc>
        <w:tc>
          <w:tcPr>
            <w:tcW w:w="1715" w:type="dxa"/>
            <w:tcBorders>
              <w:top w:val="single" w:sz="4" w:space="0" w:color="000000"/>
              <w:bottom w:val="single" w:sz="4" w:space="0" w:color="000000"/>
            </w:tcBorders>
          </w:tcPr>
          <w:p w14:paraId="1E9D7BFF" w14:textId="0B4A7FE6" w:rsidR="00887A36" w:rsidRPr="00A45BAD" w:rsidRDefault="00B972B5" w:rsidP="006A1194">
            <w:pPr>
              <w:spacing w:after="231"/>
              <w:rPr>
                <w:color w:val="000000" w:themeColor="text1"/>
                <w:sz w:val="20"/>
                <w:szCs w:val="20"/>
                <w:shd w:val="clear" w:color="auto" w:fill="FFFFFF"/>
              </w:rPr>
            </w:pPr>
            <w:r w:rsidRPr="00A45BAD">
              <w:rPr>
                <w:color w:val="000000" w:themeColor="text1"/>
                <w:sz w:val="20"/>
                <w:szCs w:val="20"/>
                <w:shd w:val="clear" w:color="auto" w:fill="FFFFFF"/>
              </w:rPr>
              <w:t>2,233 (48.16%)</w:t>
            </w:r>
          </w:p>
        </w:tc>
        <w:tc>
          <w:tcPr>
            <w:tcW w:w="1530" w:type="dxa"/>
            <w:tcBorders>
              <w:top w:val="single" w:sz="4" w:space="0" w:color="000000"/>
              <w:bottom w:val="single" w:sz="4" w:space="0" w:color="000000"/>
            </w:tcBorders>
          </w:tcPr>
          <w:p w14:paraId="1AAAA2A2" w14:textId="6F47FD04" w:rsidR="00887A36" w:rsidRPr="00A45BAD" w:rsidRDefault="00B972B5" w:rsidP="006A1194">
            <w:pPr>
              <w:spacing w:after="231"/>
              <w:rPr>
                <w:color w:val="000000" w:themeColor="text1"/>
                <w:sz w:val="20"/>
                <w:szCs w:val="20"/>
                <w:shd w:val="clear" w:color="auto" w:fill="FFFFFF"/>
              </w:rPr>
            </w:pPr>
            <w:r w:rsidRPr="00A45BAD">
              <w:rPr>
                <w:color w:val="000000" w:themeColor="text1"/>
                <w:sz w:val="20"/>
                <w:szCs w:val="20"/>
                <w:shd w:val="clear" w:color="auto" w:fill="FFFFFF"/>
              </w:rPr>
              <w:t>993 (21.41%)</w:t>
            </w:r>
          </w:p>
        </w:tc>
      </w:tr>
      <w:tr w:rsidR="00887A36" w:rsidRPr="00A45BAD" w14:paraId="52862AB0" w14:textId="77777777" w:rsidTr="00887A36">
        <w:trPr>
          <w:jc w:val="center"/>
        </w:trPr>
        <w:tc>
          <w:tcPr>
            <w:tcW w:w="4495" w:type="dxa"/>
            <w:tcBorders>
              <w:top w:val="single" w:sz="4" w:space="0" w:color="000000"/>
              <w:bottom w:val="single" w:sz="4" w:space="0" w:color="000000"/>
            </w:tcBorders>
          </w:tcPr>
          <w:p w14:paraId="700642B4" w14:textId="5B386177" w:rsidR="00887A36" w:rsidRPr="00A45BAD" w:rsidRDefault="00B972B5" w:rsidP="00D4315D">
            <w:pPr>
              <w:rPr>
                <w:color w:val="000000" w:themeColor="text1"/>
                <w:sz w:val="20"/>
                <w:szCs w:val="20"/>
                <w:shd w:val="clear" w:color="auto" w:fill="FFFFFF"/>
              </w:rPr>
            </w:pPr>
            <w:r>
              <w:rPr>
                <w:color w:val="000000" w:themeColor="text1"/>
                <w:sz w:val="20"/>
                <w:szCs w:val="20"/>
                <w:shd w:val="clear" w:color="auto" w:fill="FFFFFF"/>
              </w:rPr>
              <w:t>M</w:t>
            </w:r>
            <w:r w:rsidRPr="00A45BAD">
              <w:rPr>
                <w:color w:val="000000" w:themeColor="text1"/>
                <w:sz w:val="20"/>
                <w:szCs w:val="20"/>
                <w:shd w:val="clear" w:color="auto" w:fill="FFFFFF"/>
              </w:rPr>
              <w:t>usculoskeletal pain, not low back pain</w:t>
            </w:r>
          </w:p>
        </w:tc>
        <w:tc>
          <w:tcPr>
            <w:tcW w:w="1715" w:type="dxa"/>
            <w:tcBorders>
              <w:top w:val="single" w:sz="4" w:space="0" w:color="000000"/>
              <w:bottom w:val="single" w:sz="4" w:space="0" w:color="000000"/>
            </w:tcBorders>
          </w:tcPr>
          <w:p w14:paraId="3B39E7E8" w14:textId="39063ADA"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1,944 (41.92%)</w:t>
            </w:r>
          </w:p>
        </w:tc>
        <w:tc>
          <w:tcPr>
            <w:tcW w:w="1530" w:type="dxa"/>
            <w:tcBorders>
              <w:top w:val="single" w:sz="4" w:space="0" w:color="000000"/>
              <w:bottom w:val="single" w:sz="4" w:space="0" w:color="000000"/>
            </w:tcBorders>
          </w:tcPr>
          <w:p w14:paraId="37827424" w14:textId="31C1983F"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833 (17.96%)</w:t>
            </w:r>
          </w:p>
        </w:tc>
      </w:tr>
      <w:tr w:rsidR="00887A36" w:rsidRPr="00A45BAD" w14:paraId="55EA965A" w14:textId="77777777" w:rsidTr="00887A36">
        <w:trPr>
          <w:jc w:val="center"/>
        </w:trPr>
        <w:tc>
          <w:tcPr>
            <w:tcW w:w="4495" w:type="dxa"/>
            <w:tcBorders>
              <w:top w:val="single" w:sz="4" w:space="0" w:color="000000"/>
              <w:bottom w:val="single" w:sz="4" w:space="0" w:color="000000"/>
            </w:tcBorders>
          </w:tcPr>
          <w:p w14:paraId="256737EE" w14:textId="25A50B73" w:rsidR="00887A36" w:rsidRPr="00A45BAD" w:rsidRDefault="00B972B5" w:rsidP="00D4315D">
            <w:pPr>
              <w:rPr>
                <w:color w:val="000000" w:themeColor="text1"/>
                <w:sz w:val="20"/>
                <w:szCs w:val="20"/>
                <w:shd w:val="clear" w:color="auto" w:fill="FFFFFF"/>
              </w:rPr>
            </w:pPr>
            <w:r>
              <w:rPr>
                <w:color w:val="000000" w:themeColor="text1"/>
                <w:sz w:val="20"/>
                <w:szCs w:val="20"/>
                <w:shd w:val="clear" w:color="auto" w:fill="FFFFFF"/>
              </w:rPr>
              <w:t>S</w:t>
            </w:r>
            <w:r w:rsidRPr="00A45BAD">
              <w:rPr>
                <w:color w:val="000000" w:themeColor="text1"/>
                <w:sz w:val="20"/>
                <w:szCs w:val="20"/>
                <w:shd w:val="clear" w:color="auto" w:fill="FFFFFF"/>
              </w:rPr>
              <w:t>leep wake disorders</w:t>
            </w:r>
          </w:p>
        </w:tc>
        <w:tc>
          <w:tcPr>
            <w:tcW w:w="1715" w:type="dxa"/>
            <w:tcBorders>
              <w:top w:val="single" w:sz="4" w:space="0" w:color="000000"/>
              <w:bottom w:val="single" w:sz="4" w:space="0" w:color="000000"/>
            </w:tcBorders>
          </w:tcPr>
          <w:p w14:paraId="03D9666E" w14:textId="32C78AC6"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1,346 (29.02%)</w:t>
            </w:r>
          </w:p>
        </w:tc>
        <w:tc>
          <w:tcPr>
            <w:tcW w:w="1530" w:type="dxa"/>
            <w:tcBorders>
              <w:top w:val="single" w:sz="4" w:space="0" w:color="000000"/>
              <w:bottom w:val="single" w:sz="4" w:space="0" w:color="000000"/>
            </w:tcBorders>
          </w:tcPr>
          <w:p w14:paraId="463B2995" w14:textId="7474ADAF"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492 (10.61%)</w:t>
            </w:r>
          </w:p>
        </w:tc>
      </w:tr>
      <w:tr w:rsidR="00887A36" w:rsidRPr="00A45BAD" w14:paraId="6BFA5904" w14:textId="77777777" w:rsidTr="00887A36">
        <w:trPr>
          <w:jc w:val="center"/>
        </w:trPr>
        <w:tc>
          <w:tcPr>
            <w:tcW w:w="7740" w:type="dxa"/>
            <w:gridSpan w:val="3"/>
            <w:tcBorders>
              <w:top w:val="single" w:sz="4" w:space="0" w:color="000000"/>
            </w:tcBorders>
          </w:tcPr>
          <w:p w14:paraId="6BDE807B" w14:textId="0410BAAF" w:rsidR="00887A36" w:rsidRPr="00A45BAD" w:rsidRDefault="00B972B5" w:rsidP="00D4315D">
            <w:pPr>
              <w:rPr>
                <w:color w:val="000000" w:themeColor="text1"/>
                <w:sz w:val="20"/>
                <w:szCs w:val="20"/>
                <w:shd w:val="clear" w:color="auto" w:fill="FFFFFF"/>
              </w:rPr>
            </w:pPr>
            <w:r>
              <w:rPr>
                <w:b/>
                <w:bCs/>
                <w:color w:val="000000" w:themeColor="text1"/>
                <w:sz w:val="20"/>
                <w:szCs w:val="20"/>
                <w:shd w:val="clear" w:color="auto" w:fill="FFFFFF"/>
              </w:rPr>
              <w:t>P</w:t>
            </w:r>
            <w:r w:rsidRPr="00A45BAD">
              <w:rPr>
                <w:b/>
                <w:bCs/>
                <w:color w:val="000000" w:themeColor="text1"/>
                <w:sz w:val="20"/>
                <w:szCs w:val="20"/>
                <w:shd w:val="clear" w:color="auto" w:fill="FFFFFF"/>
              </w:rPr>
              <w:t>rocedure</w:t>
            </w:r>
          </w:p>
        </w:tc>
      </w:tr>
      <w:tr w:rsidR="00887A36" w:rsidRPr="00A45BAD" w14:paraId="3BDF070D" w14:textId="77777777" w:rsidTr="00887A36">
        <w:trPr>
          <w:jc w:val="center"/>
        </w:trPr>
        <w:tc>
          <w:tcPr>
            <w:tcW w:w="4495" w:type="dxa"/>
          </w:tcPr>
          <w:p w14:paraId="7E35F1A6" w14:textId="10DD5B80" w:rsidR="00887A36" w:rsidRPr="00A45BAD" w:rsidRDefault="00B972B5" w:rsidP="00D4315D">
            <w:pPr>
              <w:rPr>
                <w:color w:val="000000" w:themeColor="text1"/>
                <w:sz w:val="20"/>
                <w:szCs w:val="20"/>
                <w:shd w:val="clear" w:color="auto" w:fill="FFFFFF"/>
              </w:rPr>
            </w:pPr>
            <w:r>
              <w:rPr>
                <w:color w:val="000000" w:themeColor="text1"/>
                <w:sz w:val="20"/>
                <w:szCs w:val="20"/>
                <w:shd w:val="clear" w:color="auto" w:fill="FFFFFF"/>
              </w:rPr>
              <w:t>M</w:t>
            </w:r>
            <w:r w:rsidRPr="00A45BAD">
              <w:rPr>
                <w:color w:val="000000" w:themeColor="text1"/>
                <w:sz w:val="20"/>
                <w:szCs w:val="20"/>
                <w:shd w:val="clear" w:color="auto" w:fill="FFFFFF"/>
              </w:rPr>
              <w:t xml:space="preserve">etabolic panel, comprehensive </w:t>
            </w:r>
          </w:p>
        </w:tc>
        <w:tc>
          <w:tcPr>
            <w:tcW w:w="1715" w:type="dxa"/>
          </w:tcPr>
          <w:p w14:paraId="76846F9A" w14:textId="4F51D106"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2,844 (61.33%)</w:t>
            </w:r>
          </w:p>
        </w:tc>
        <w:tc>
          <w:tcPr>
            <w:tcW w:w="1530" w:type="dxa"/>
          </w:tcPr>
          <w:p w14:paraId="51BA625A" w14:textId="1A55251E"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1,219 (26.29%)</w:t>
            </w:r>
          </w:p>
        </w:tc>
      </w:tr>
      <w:tr w:rsidR="00887A36" w:rsidRPr="00A45BAD" w14:paraId="7F012D2F" w14:textId="77777777" w:rsidTr="00887A36">
        <w:trPr>
          <w:jc w:val="center"/>
        </w:trPr>
        <w:tc>
          <w:tcPr>
            <w:tcW w:w="4495" w:type="dxa"/>
            <w:tcBorders>
              <w:bottom w:val="single" w:sz="4" w:space="0" w:color="000000"/>
            </w:tcBorders>
          </w:tcPr>
          <w:p w14:paraId="761E4C78" w14:textId="25D32B6F" w:rsidR="00887A36" w:rsidRPr="00A45BAD" w:rsidRDefault="00B972B5" w:rsidP="00D4315D">
            <w:pPr>
              <w:rPr>
                <w:color w:val="000000" w:themeColor="text1"/>
                <w:sz w:val="20"/>
                <w:szCs w:val="20"/>
                <w:shd w:val="clear" w:color="auto" w:fill="FFFFFF"/>
              </w:rPr>
            </w:pPr>
            <w:r>
              <w:rPr>
                <w:color w:val="000000" w:themeColor="text1"/>
                <w:sz w:val="20"/>
                <w:szCs w:val="20"/>
                <w:shd w:val="clear" w:color="auto" w:fill="FFFFFF"/>
              </w:rPr>
              <w:t>TSH</w:t>
            </w:r>
            <w:r w:rsidRPr="00A45BAD">
              <w:rPr>
                <w:color w:val="000000" w:themeColor="text1"/>
                <w:sz w:val="20"/>
                <w:szCs w:val="20"/>
                <w:shd w:val="clear" w:color="auto" w:fill="FFFFFF"/>
              </w:rPr>
              <w:t xml:space="preserve"> </w:t>
            </w:r>
          </w:p>
        </w:tc>
        <w:tc>
          <w:tcPr>
            <w:tcW w:w="1715" w:type="dxa"/>
            <w:tcBorders>
              <w:bottom w:val="single" w:sz="4" w:space="0" w:color="000000"/>
            </w:tcBorders>
          </w:tcPr>
          <w:p w14:paraId="03689421" w14:textId="1B878481"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2,196 (47.36%)</w:t>
            </w:r>
          </w:p>
        </w:tc>
        <w:tc>
          <w:tcPr>
            <w:tcW w:w="1530" w:type="dxa"/>
            <w:tcBorders>
              <w:bottom w:val="single" w:sz="4" w:space="0" w:color="000000"/>
            </w:tcBorders>
          </w:tcPr>
          <w:p w14:paraId="5E076544" w14:textId="0770E611"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756 (16.30%)</w:t>
            </w:r>
          </w:p>
        </w:tc>
      </w:tr>
      <w:tr w:rsidR="00887A36" w:rsidRPr="00A45BAD" w14:paraId="04E22D49" w14:textId="77777777" w:rsidTr="00887A36">
        <w:trPr>
          <w:jc w:val="center"/>
        </w:trPr>
        <w:tc>
          <w:tcPr>
            <w:tcW w:w="4495" w:type="dxa"/>
            <w:tcBorders>
              <w:top w:val="single" w:sz="4" w:space="0" w:color="000000"/>
              <w:bottom w:val="single" w:sz="4" w:space="0" w:color="000000"/>
            </w:tcBorders>
          </w:tcPr>
          <w:p w14:paraId="46A084CB" w14:textId="499691C3" w:rsidR="00887A36" w:rsidRPr="00A45BAD" w:rsidRDefault="00B972B5" w:rsidP="00D4315D">
            <w:pPr>
              <w:rPr>
                <w:color w:val="000000" w:themeColor="text1"/>
                <w:sz w:val="20"/>
                <w:szCs w:val="20"/>
                <w:shd w:val="clear" w:color="auto" w:fill="FFFFFF"/>
              </w:rPr>
            </w:pPr>
            <w:r>
              <w:rPr>
                <w:color w:val="000000" w:themeColor="text1"/>
                <w:sz w:val="20"/>
                <w:szCs w:val="20"/>
                <w:shd w:val="clear" w:color="auto" w:fill="FFFFFF"/>
              </w:rPr>
              <w:t>CBC</w:t>
            </w:r>
            <w:r w:rsidRPr="00A45BAD">
              <w:rPr>
                <w:color w:val="000000" w:themeColor="text1"/>
                <w:sz w:val="20"/>
                <w:szCs w:val="20"/>
                <w:shd w:val="clear" w:color="auto" w:fill="FFFFFF"/>
              </w:rPr>
              <w:t xml:space="preserve"> with differential </w:t>
            </w:r>
          </w:p>
        </w:tc>
        <w:tc>
          <w:tcPr>
            <w:tcW w:w="1715" w:type="dxa"/>
            <w:tcBorders>
              <w:top w:val="single" w:sz="4" w:space="0" w:color="000000"/>
              <w:bottom w:val="single" w:sz="4" w:space="0" w:color="000000"/>
            </w:tcBorders>
          </w:tcPr>
          <w:p w14:paraId="17132E0D" w14:textId="1DAE3553"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2,860 (61.68%)</w:t>
            </w:r>
          </w:p>
        </w:tc>
        <w:tc>
          <w:tcPr>
            <w:tcW w:w="1530" w:type="dxa"/>
            <w:tcBorders>
              <w:top w:val="single" w:sz="4" w:space="0" w:color="000000"/>
              <w:bottom w:val="single" w:sz="4" w:space="0" w:color="000000"/>
            </w:tcBorders>
          </w:tcPr>
          <w:p w14:paraId="55DA5514" w14:textId="05DDA1D4"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1351 (29.13%))</w:t>
            </w:r>
          </w:p>
        </w:tc>
      </w:tr>
      <w:tr w:rsidR="00887A36" w:rsidRPr="00A45BAD" w14:paraId="60F3A69C" w14:textId="77777777" w:rsidTr="00887A36">
        <w:trPr>
          <w:jc w:val="center"/>
        </w:trPr>
        <w:tc>
          <w:tcPr>
            <w:tcW w:w="4495" w:type="dxa"/>
            <w:tcBorders>
              <w:top w:val="single" w:sz="4" w:space="0" w:color="000000"/>
              <w:bottom w:val="single" w:sz="4" w:space="0" w:color="000000"/>
            </w:tcBorders>
          </w:tcPr>
          <w:p w14:paraId="7B9D8151" w14:textId="5A14D16B" w:rsidR="00887A36" w:rsidRPr="00A45BAD" w:rsidRDefault="00B972B5" w:rsidP="00D4315D">
            <w:pPr>
              <w:rPr>
                <w:color w:val="000000" w:themeColor="text1"/>
                <w:sz w:val="20"/>
                <w:szCs w:val="20"/>
                <w:shd w:val="clear" w:color="auto" w:fill="FFFFFF"/>
              </w:rPr>
            </w:pPr>
            <w:r>
              <w:rPr>
                <w:color w:val="000000" w:themeColor="text1"/>
                <w:sz w:val="20"/>
                <w:szCs w:val="20"/>
                <w:shd w:val="clear" w:color="auto" w:fill="FFFFFF"/>
              </w:rPr>
              <w:t>E</w:t>
            </w:r>
            <w:r w:rsidRPr="00A45BAD">
              <w:rPr>
                <w:color w:val="000000" w:themeColor="text1"/>
                <w:sz w:val="20"/>
                <w:szCs w:val="20"/>
                <w:shd w:val="clear" w:color="auto" w:fill="FFFFFF"/>
              </w:rPr>
              <w:t xml:space="preserve">xternal lab results </w:t>
            </w:r>
          </w:p>
        </w:tc>
        <w:tc>
          <w:tcPr>
            <w:tcW w:w="1715" w:type="dxa"/>
            <w:tcBorders>
              <w:top w:val="single" w:sz="4" w:space="0" w:color="000000"/>
              <w:bottom w:val="single" w:sz="4" w:space="0" w:color="000000"/>
            </w:tcBorders>
          </w:tcPr>
          <w:p w14:paraId="6476F65C" w14:textId="556787D2"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42 (0.90%)</w:t>
            </w:r>
          </w:p>
        </w:tc>
        <w:tc>
          <w:tcPr>
            <w:tcW w:w="1530" w:type="dxa"/>
            <w:tcBorders>
              <w:top w:val="single" w:sz="4" w:space="0" w:color="000000"/>
              <w:bottom w:val="single" w:sz="4" w:space="0" w:color="000000"/>
            </w:tcBorders>
          </w:tcPr>
          <w:p w14:paraId="42D62407" w14:textId="6E54307B"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572 (12.33%)</w:t>
            </w:r>
          </w:p>
        </w:tc>
      </w:tr>
      <w:tr w:rsidR="00887A36" w:rsidRPr="00A45BAD" w14:paraId="5FF3AF5E" w14:textId="77777777" w:rsidTr="00887A36">
        <w:trPr>
          <w:jc w:val="center"/>
        </w:trPr>
        <w:tc>
          <w:tcPr>
            <w:tcW w:w="4495" w:type="dxa"/>
            <w:tcBorders>
              <w:top w:val="single" w:sz="4" w:space="0" w:color="000000"/>
              <w:bottom w:val="single" w:sz="4" w:space="0" w:color="000000"/>
            </w:tcBorders>
          </w:tcPr>
          <w:p w14:paraId="16F09D24" w14:textId="461F278E" w:rsidR="00887A36" w:rsidRPr="00A45BAD" w:rsidRDefault="00B972B5" w:rsidP="00D4315D">
            <w:pPr>
              <w:rPr>
                <w:color w:val="000000" w:themeColor="text1"/>
                <w:sz w:val="20"/>
                <w:szCs w:val="20"/>
                <w:shd w:val="clear" w:color="auto" w:fill="FFFFFF"/>
              </w:rPr>
            </w:pPr>
            <w:r>
              <w:rPr>
                <w:color w:val="000000" w:themeColor="text1"/>
                <w:sz w:val="20"/>
                <w:szCs w:val="20"/>
                <w:shd w:val="clear" w:color="auto" w:fill="FFFFFF"/>
              </w:rPr>
              <w:t>O</w:t>
            </w:r>
            <w:r w:rsidRPr="00A45BAD">
              <w:rPr>
                <w:color w:val="000000" w:themeColor="text1"/>
                <w:sz w:val="20"/>
                <w:szCs w:val="20"/>
                <w:shd w:val="clear" w:color="auto" w:fill="FFFFFF"/>
              </w:rPr>
              <w:t xml:space="preserve">ther order scanned report </w:t>
            </w:r>
          </w:p>
        </w:tc>
        <w:tc>
          <w:tcPr>
            <w:tcW w:w="1715" w:type="dxa"/>
            <w:tcBorders>
              <w:top w:val="single" w:sz="4" w:space="0" w:color="000000"/>
              <w:bottom w:val="single" w:sz="4" w:space="0" w:color="000000"/>
            </w:tcBorders>
          </w:tcPr>
          <w:p w14:paraId="27C93A5B" w14:textId="27CADA3E"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2,123 (45.78%)</w:t>
            </w:r>
          </w:p>
        </w:tc>
        <w:tc>
          <w:tcPr>
            <w:tcW w:w="1530" w:type="dxa"/>
            <w:tcBorders>
              <w:top w:val="single" w:sz="4" w:space="0" w:color="000000"/>
              <w:bottom w:val="single" w:sz="4" w:space="0" w:color="000000"/>
            </w:tcBorders>
          </w:tcPr>
          <w:p w14:paraId="6DD08B73" w14:textId="78F1B87F"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925 (19.95%)</w:t>
            </w:r>
          </w:p>
        </w:tc>
      </w:tr>
      <w:tr w:rsidR="00887A36" w:rsidRPr="00A45BAD" w14:paraId="3B82CB75" w14:textId="77777777" w:rsidTr="00887A36">
        <w:trPr>
          <w:jc w:val="center"/>
        </w:trPr>
        <w:tc>
          <w:tcPr>
            <w:tcW w:w="7740" w:type="dxa"/>
            <w:gridSpan w:val="3"/>
            <w:tcBorders>
              <w:top w:val="single" w:sz="4" w:space="0" w:color="000000"/>
            </w:tcBorders>
          </w:tcPr>
          <w:p w14:paraId="6B2F5969" w14:textId="306A2F19" w:rsidR="00887A36" w:rsidRPr="00A45BAD" w:rsidRDefault="00B972B5" w:rsidP="00D4315D">
            <w:pPr>
              <w:rPr>
                <w:color w:val="000000" w:themeColor="text1"/>
                <w:sz w:val="20"/>
                <w:szCs w:val="20"/>
                <w:shd w:val="clear" w:color="auto" w:fill="FFFFFF"/>
              </w:rPr>
            </w:pPr>
            <w:r>
              <w:rPr>
                <w:b/>
                <w:bCs/>
                <w:color w:val="000000" w:themeColor="text1"/>
                <w:sz w:val="20"/>
                <w:szCs w:val="20"/>
                <w:shd w:val="clear" w:color="auto" w:fill="FFFFFF"/>
              </w:rPr>
              <w:t>M</w:t>
            </w:r>
            <w:r w:rsidRPr="00A45BAD">
              <w:rPr>
                <w:b/>
                <w:bCs/>
                <w:color w:val="000000" w:themeColor="text1"/>
                <w:sz w:val="20"/>
                <w:szCs w:val="20"/>
                <w:shd w:val="clear" w:color="auto" w:fill="FFFFFF"/>
              </w:rPr>
              <w:t>edications</w:t>
            </w:r>
          </w:p>
        </w:tc>
      </w:tr>
      <w:tr w:rsidR="00887A36" w:rsidRPr="00A45BAD" w14:paraId="3F43EA08" w14:textId="77777777" w:rsidTr="00887A36">
        <w:trPr>
          <w:jc w:val="center"/>
        </w:trPr>
        <w:tc>
          <w:tcPr>
            <w:tcW w:w="4495" w:type="dxa"/>
          </w:tcPr>
          <w:p w14:paraId="23C40852" w14:textId="5B6CC15C" w:rsidR="00887A36" w:rsidRPr="00A45BAD" w:rsidRDefault="00B972B5" w:rsidP="00D4315D">
            <w:pPr>
              <w:rPr>
                <w:color w:val="000000" w:themeColor="text1"/>
                <w:sz w:val="20"/>
                <w:szCs w:val="20"/>
                <w:shd w:val="clear" w:color="auto" w:fill="FFFFFF"/>
              </w:rPr>
            </w:pPr>
            <w:r>
              <w:rPr>
                <w:color w:val="000000" w:themeColor="text1"/>
                <w:sz w:val="20"/>
                <w:szCs w:val="20"/>
                <w:shd w:val="clear" w:color="auto" w:fill="FFFFFF"/>
              </w:rPr>
              <w:t>A</w:t>
            </w:r>
            <w:r w:rsidRPr="00A45BAD">
              <w:rPr>
                <w:color w:val="000000" w:themeColor="text1"/>
                <w:sz w:val="20"/>
                <w:szCs w:val="20"/>
                <w:shd w:val="clear" w:color="auto" w:fill="FFFFFF"/>
              </w:rPr>
              <w:t>nticonvulsants</w:t>
            </w:r>
          </w:p>
        </w:tc>
        <w:tc>
          <w:tcPr>
            <w:tcW w:w="1715" w:type="dxa"/>
          </w:tcPr>
          <w:p w14:paraId="327FE9D6" w14:textId="0C253EA7" w:rsidR="00887A36" w:rsidRPr="00A45BAD" w:rsidRDefault="00B972B5" w:rsidP="00D4315D">
            <w:pPr>
              <w:rPr>
                <w:color w:val="000000" w:themeColor="text1"/>
                <w:sz w:val="20"/>
                <w:szCs w:val="20"/>
                <w:shd w:val="clear" w:color="auto" w:fill="FFFFFF"/>
              </w:rPr>
            </w:pPr>
            <w:r w:rsidRPr="00A45BAD">
              <w:rPr>
                <w:color w:val="000000" w:themeColor="text1"/>
                <w:sz w:val="20"/>
                <w:szCs w:val="20"/>
                <w:shd w:val="clear" w:color="auto" w:fill="FFFFFF"/>
              </w:rPr>
              <w:t>1,204 (25.96%)</w:t>
            </w:r>
          </w:p>
        </w:tc>
        <w:tc>
          <w:tcPr>
            <w:tcW w:w="1530" w:type="dxa"/>
          </w:tcPr>
          <w:p w14:paraId="703A8B7C" w14:textId="5975537C" w:rsidR="00887A36" w:rsidRPr="00A45BAD" w:rsidRDefault="00B972B5" w:rsidP="00D4315D">
            <w:pPr>
              <w:rPr>
                <w:color w:val="000000" w:themeColor="text1"/>
                <w:sz w:val="20"/>
                <w:szCs w:val="20"/>
                <w:shd w:val="clear" w:color="auto" w:fill="FFFFFF"/>
              </w:rPr>
            </w:pPr>
            <w:r w:rsidRPr="00A45BAD">
              <w:rPr>
                <w:color w:val="000000" w:themeColor="text1"/>
                <w:sz w:val="20"/>
                <w:szCs w:val="20"/>
                <w:shd w:val="clear" w:color="auto" w:fill="FFFFFF"/>
              </w:rPr>
              <w:t>408 (8.80%)</w:t>
            </w:r>
          </w:p>
        </w:tc>
      </w:tr>
      <w:tr w:rsidR="00887A36" w:rsidRPr="00A45BAD" w14:paraId="70B317AA" w14:textId="77777777" w:rsidTr="00887A36">
        <w:trPr>
          <w:jc w:val="center"/>
        </w:trPr>
        <w:tc>
          <w:tcPr>
            <w:tcW w:w="4495" w:type="dxa"/>
          </w:tcPr>
          <w:p w14:paraId="2B7615B7" w14:textId="7BA28751" w:rsidR="00887A36" w:rsidRPr="00A45BAD" w:rsidRDefault="00B972B5" w:rsidP="00D4315D">
            <w:pPr>
              <w:rPr>
                <w:color w:val="000000" w:themeColor="text1"/>
                <w:sz w:val="20"/>
                <w:szCs w:val="20"/>
                <w:shd w:val="clear" w:color="auto" w:fill="FFFFFF"/>
              </w:rPr>
            </w:pPr>
            <w:r>
              <w:rPr>
                <w:color w:val="000000" w:themeColor="text1"/>
                <w:sz w:val="20"/>
                <w:szCs w:val="20"/>
                <w:shd w:val="clear" w:color="auto" w:fill="FFFFFF"/>
              </w:rPr>
              <w:t>A</w:t>
            </w:r>
            <w:r w:rsidRPr="00A45BAD">
              <w:rPr>
                <w:color w:val="000000" w:themeColor="text1"/>
                <w:sz w:val="20"/>
                <w:szCs w:val="20"/>
                <w:shd w:val="clear" w:color="auto" w:fill="FFFFFF"/>
              </w:rPr>
              <w:t>ntihyperlipidemic-hmgcoa reductase inhib(statins)</w:t>
            </w:r>
          </w:p>
        </w:tc>
        <w:tc>
          <w:tcPr>
            <w:tcW w:w="1715" w:type="dxa"/>
          </w:tcPr>
          <w:p w14:paraId="6C2BDB07" w14:textId="5FD05DFD"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1,935 (41.73%)</w:t>
            </w:r>
          </w:p>
        </w:tc>
        <w:tc>
          <w:tcPr>
            <w:tcW w:w="1530" w:type="dxa"/>
          </w:tcPr>
          <w:p w14:paraId="697E9BAB" w14:textId="6D0CD4B1"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1,063 (22.92%)</w:t>
            </w:r>
          </w:p>
        </w:tc>
      </w:tr>
      <w:tr w:rsidR="00887A36" w:rsidRPr="00A45BAD" w14:paraId="45E6CDEF" w14:textId="77777777" w:rsidTr="00887A36">
        <w:trPr>
          <w:jc w:val="center"/>
        </w:trPr>
        <w:tc>
          <w:tcPr>
            <w:tcW w:w="4495" w:type="dxa"/>
          </w:tcPr>
          <w:p w14:paraId="5BB5C296" w14:textId="76A0352A" w:rsidR="00887A36" w:rsidRPr="00A45BAD" w:rsidRDefault="00B972B5" w:rsidP="00D4315D">
            <w:pPr>
              <w:rPr>
                <w:color w:val="000000" w:themeColor="text1"/>
                <w:sz w:val="20"/>
                <w:szCs w:val="20"/>
                <w:shd w:val="clear" w:color="auto" w:fill="FFFFFF"/>
              </w:rPr>
            </w:pPr>
            <w:r>
              <w:rPr>
                <w:color w:val="000000" w:themeColor="text1"/>
                <w:sz w:val="20"/>
                <w:szCs w:val="20"/>
                <w:shd w:val="clear" w:color="auto" w:fill="FFFFFF"/>
              </w:rPr>
              <w:t>S</w:t>
            </w:r>
            <w:r w:rsidRPr="00A45BAD">
              <w:rPr>
                <w:color w:val="000000" w:themeColor="text1"/>
                <w:sz w:val="20"/>
                <w:szCs w:val="20"/>
                <w:shd w:val="clear" w:color="auto" w:fill="FFFFFF"/>
              </w:rPr>
              <w:t>elective serotonin reuptake inhibitor (ssris)</w:t>
            </w:r>
          </w:p>
          <w:p w14:paraId="02F93EC3" w14:textId="09F05C15" w:rsidR="00887A36" w:rsidRPr="00A45BAD" w:rsidRDefault="00887A36" w:rsidP="00D4315D">
            <w:pPr>
              <w:rPr>
                <w:color w:val="000000" w:themeColor="text1"/>
                <w:sz w:val="20"/>
                <w:szCs w:val="20"/>
                <w:shd w:val="clear" w:color="auto" w:fill="FFFFFF"/>
              </w:rPr>
            </w:pPr>
          </w:p>
        </w:tc>
        <w:tc>
          <w:tcPr>
            <w:tcW w:w="1715" w:type="dxa"/>
          </w:tcPr>
          <w:p w14:paraId="2EE9802E" w14:textId="2AFE3286"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915 (19.73%)</w:t>
            </w:r>
          </w:p>
        </w:tc>
        <w:tc>
          <w:tcPr>
            <w:tcW w:w="1530" w:type="dxa"/>
          </w:tcPr>
          <w:p w14:paraId="4EE7272D" w14:textId="5E119A99"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263 (5.67%)</w:t>
            </w:r>
          </w:p>
        </w:tc>
      </w:tr>
      <w:tr w:rsidR="00887A36" w:rsidRPr="00A45BAD" w14:paraId="5F266F1A" w14:textId="77777777" w:rsidTr="00887A36">
        <w:trPr>
          <w:jc w:val="center"/>
        </w:trPr>
        <w:tc>
          <w:tcPr>
            <w:tcW w:w="4495" w:type="dxa"/>
          </w:tcPr>
          <w:p w14:paraId="16ACF724" w14:textId="43AC0282" w:rsidR="00887A36" w:rsidRPr="00A45BAD" w:rsidRDefault="00B972B5" w:rsidP="00D4315D">
            <w:pPr>
              <w:rPr>
                <w:color w:val="000000" w:themeColor="text1"/>
                <w:sz w:val="20"/>
                <w:szCs w:val="20"/>
                <w:shd w:val="clear" w:color="auto" w:fill="FFFFFF"/>
              </w:rPr>
            </w:pPr>
            <w:r>
              <w:rPr>
                <w:color w:val="000000" w:themeColor="text1"/>
                <w:sz w:val="20"/>
                <w:szCs w:val="20"/>
                <w:shd w:val="clear" w:color="auto" w:fill="FFFFFF"/>
              </w:rPr>
              <w:t>O</w:t>
            </w:r>
            <w:r w:rsidRPr="00A45BAD">
              <w:rPr>
                <w:color w:val="000000" w:themeColor="text1"/>
                <w:sz w:val="20"/>
                <w:szCs w:val="20"/>
                <w:shd w:val="clear" w:color="auto" w:fill="FFFFFF"/>
              </w:rPr>
              <w:t>pioid analgesic and non-salicylate analgesics</w:t>
            </w:r>
          </w:p>
        </w:tc>
        <w:tc>
          <w:tcPr>
            <w:tcW w:w="1715" w:type="dxa"/>
          </w:tcPr>
          <w:p w14:paraId="0491EA30" w14:textId="6EE815CA"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1,821 (39.27%)</w:t>
            </w:r>
          </w:p>
        </w:tc>
        <w:tc>
          <w:tcPr>
            <w:tcW w:w="1530" w:type="dxa"/>
          </w:tcPr>
          <w:p w14:paraId="6CD1D933" w14:textId="71C1FA07"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839 (18.09%)</w:t>
            </w:r>
          </w:p>
        </w:tc>
      </w:tr>
      <w:tr w:rsidR="00887A36" w:rsidRPr="00A45BAD" w14:paraId="4B5CF564" w14:textId="77777777" w:rsidTr="00887A36">
        <w:trPr>
          <w:jc w:val="center"/>
        </w:trPr>
        <w:tc>
          <w:tcPr>
            <w:tcW w:w="4495" w:type="dxa"/>
            <w:tcBorders>
              <w:bottom w:val="single" w:sz="12" w:space="0" w:color="000000"/>
            </w:tcBorders>
          </w:tcPr>
          <w:p w14:paraId="3BB2DC96" w14:textId="6107C46E" w:rsidR="00887A36" w:rsidRPr="00A45BAD" w:rsidRDefault="00B972B5" w:rsidP="00D4315D">
            <w:pPr>
              <w:rPr>
                <w:color w:val="000000" w:themeColor="text1"/>
                <w:sz w:val="20"/>
                <w:szCs w:val="20"/>
                <w:shd w:val="clear" w:color="auto" w:fill="FFFFFF"/>
              </w:rPr>
            </w:pPr>
            <w:r>
              <w:rPr>
                <w:color w:val="000000" w:themeColor="text1"/>
                <w:sz w:val="20"/>
                <w:szCs w:val="20"/>
                <w:shd w:val="clear" w:color="auto" w:fill="FFFFFF"/>
              </w:rPr>
              <w:t>A</w:t>
            </w:r>
            <w:r w:rsidRPr="00A45BAD">
              <w:rPr>
                <w:color w:val="000000" w:themeColor="text1"/>
                <w:sz w:val="20"/>
                <w:szCs w:val="20"/>
                <w:shd w:val="clear" w:color="auto" w:fill="FFFFFF"/>
              </w:rPr>
              <w:t>ntiemetic/antivertigo agents</w:t>
            </w:r>
          </w:p>
        </w:tc>
        <w:tc>
          <w:tcPr>
            <w:tcW w:w="1715" w:type="dxa"/>
            <w:tcBorders>
              <w:bottom w:val="single" w:sz="12" w:space="0" w:color="000000"/>
            </w:tcBorders>
          </w:tcPr>
          <w:p w14:paraId="57C543C7" w14:textId="13EBF77E"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1,884 (40.63%)</w:t>
            </w:r>
          </w:p>
        </w:tc>
        <w:tc>
          <w:tcPr>
            <w:tcW w:w="1530" w:type="dxa"/>
            <w:tcBorders>
              <w:bottom w:val="single" w:sz="12" w:space="0" w:color="000000"/>
            </w:tcBorders>
          </w:tcPr>
          <w:p w14:paraId="45C6089A" w14:textId="2E0333D6" w:rsidR="00887A36" w:rsidRPr="00A45BAD" w:rsidRDefault="00B972B5" w:rsidP="00D4315D">
            <w:pPr>
              <w:spacing w:after="231"/>
              <w:rPr>
                <w:color w:val="000000" w:themeColor="text1"/>
                <w:sz w:val="20"/>
                <w:szCs w:val="20"/>
                <w:shd w:val="clear" w:color="auto" w:fill="FFFFFF"/>
              </w:rPr>
            </w:pPr>
            <w:r w:rsidRPr="00A45BAD">
              <w:rPr>
                <w:color w:val="000000" w:themeColor="text1"/>
                <w:sz w:val="20"/>
                <w:szCs w:val="20"/>
                <w:shd w:val="clear" w:color="auto" w:fill="FFFFFF"/>
              </w:rPr>
              <w:t>861 (18.57%)</w:t>
            </w:r>
          </w:p>
        </w:tc>
      </w:tr>
    </w:tbl>
    <w:p w14:paraId="099ED6BB" w14:textId="40E89F2F" w:rsidR="00572E35" w:rsidRPr="00A45BAD" w:rsidRDefault="00572E35" w:rsidP="00E536C1">
      <w:pPr>
        <w:jc w:val="center"/>
        <w:rPr>
          <w:sz w:val="20"/>
          <w:szCs w:val="20"/>
        </w:rPr>
      </w:pPr>
      <w:r w:rsidRPr="00A45BAD">
        <w:rPr>
          <w:sz w:val="20"/>
          <w:szCs w:val="20"/>
        </w:rPr>
        <w:t>Numbers are in N (p%) format, where N is the number of patient and p% shows the percentage in the cohort.</w:t>
      </w:r>
    </w:p>
    <w:p w14:paraId="7A20E265" w14:textId="77777777" w:rsidR="00B972B5" w:rsidRDefault="00B972B5" w:rsidP="00636DF5">
      <w:pPr>
        <w:rPr>
          <w:b/>
          <w:bCs/>
          <w:sz w:val="20"/>
          <w:szCs w:val="20"/>
        </w:rPr>
      </w:pPr>
    </w:p>
    <w:p w14:paraId="30B46DA0" w14:textId="183F5565" w:rsidR="000D6B2D" w:rsidRDefault="000D6B2D" w:rsidP="005C17BE">
      <w:pPr>
        <w:spacing w:after="2"/>
        <w:ind w:left="-5"/>
        <w:rPr>
          <w:sz w:val="20"/>
          <w:szCs w:val="20"/>
        </w:rPr>
      </w:pPr>
    </w:p>
    <w:p w14:paraId="50435187" w14:textId="77777777" w:rsidR="001660D2" w:rsidRPr="00A45BAD" w:rsidRDefault="001660D2" w:rsidP="001660D2">
      <w:pPr>
        <w:rPr>
          <w:b/>
          <w:bCs/>
          <w:sz w:val="20"/>
          <w:szCs w:val="20"/>
        </w:rPr>
      </w:pPr>
      <w:r w:rsidRPr="00A45BAD">
        <w:rPr>
          <w:b/>
          <w:bCs/>
          <w:sz w:val="20"/>
          <w:szCs w:val="20"/>
        </w:rPr>
        <w:t>Models</w:t>
      </w:r>
    </w:p>
    <w:p w14:paraId="54FC3D05" w14:textId="0F3ACDFE" w:rsidR="001660D2" w:rsidRPr="00A45BAD" w:rsidRDefault="001660D2" w:rsidP="001660D2">
      <w:pPr>
        <w:pStyle w:val="AMIABodyText"/>
      </w:pPr>
      <w:r>
        <w:t>The</w:t>
      </w:r>
      <w:r w:rsidRPr="00A45BAD">
        <w:t xml:space="preserve"> predictors were used to train logistic regression, random forest and xgboost</w:t>
      </w:r>
      <w:r>
        <w:t xml:space="preserve"> models</w:t>
      </w:r>
      <w:r w:rsidRPr="00A45BAD">
        <w:t>. Logistic regression uses a logistic function to model the outcome probabilities of a single trial experiment</w:t>
      </w:r>
      <w:r w:rsidRPr="00A45BAD">
        <w:fldChar w:fldCharType="begin"/>
      </w:r>
      <w:r w:rsidRPr="00A45BAD">
        <w:instrText xml:space="preserve"> ADDIN ZOTERO_ITEM CSL_CITATION {"citationID":"8dU3yYqM","properties":{"formattedCitation":"(16)","plainCitation":"(16)","noteIndex":0},"citationItems":[{"id":47,"uris":["http://zotero.org/users/local/3oEVuZBY/items/I2AZVGXH"],"uri":["http://zotero.org/users/local/3oEVuZBY/items/I2AZVGXH"],"itemData":{"id":47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Research","ISSN":"1533-7928","issue":"85","page":"2825-2830","source":"www.jmlr.org","title":"Scikit-learn: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schema":"https://github.com/citation-style-language/schema/raw/master/csl-citation.json"} </w:instrText>
      </w:r>
      <w:r w:rsidRPr="00A45BAD">
        <w:fldChar w:fldCharType="separate"/>
      </w:r>
      <w:r w:rsidRPr="00A45BAD">
        <w:rPr>
          <w:noProof/>
        </w:rPr>
        <w:t>(16)</w:t>
      </w:r>
      <w:r w:rsidRPr="00A45BAD">
        <w:fldChar w:fldCharType="end"/>
      </w:r>
      <w:r w:rsidRPr="00A45BAD">
        <w:t>. Random forest</w:t>
      </w:r>
      <w:r>
        <w:t xml:space="preserve"> </w:t>
      </w:r>
      <w:r w:rsidRPr="00A45BAD">
        <w:fldChar w:fldCharType="begin"/>
      </w:r>
      <w:r w:rsidRPr="00A45BAD">
        <w:instrText xml:space="preserve"> ADDIN ZOTERO_ITEM CSL_CITATION {"citationID":"R9oZwWAv","properties":{"formattedCitation":"(17)","plainCitation":"(17)","noteIndex":0},"citationItems":[{"id":43,"uris":["http://zotero.org/users/local/3oEVuZBY/items/P3U2ZQTI"],"uri":["http://zotero.org/users/local/3oEVuZBY/items/P3U2ZQTI"],"itemData":{"id":43,"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Pr="00A45BAD">
        <w:fldChar w:fldCharType="separate"/>
      </w:r>
      <w:r w:rsidRPr="00A45BAD">
        <w:t>(17)</w:t>
      </w:r>
      <w:r w:rsidRPr="00A45BAD">
        <w:fldChar w:fldCharType="end"/>
      </w:r>
      <w:r w:rsidRPr="00A45BAD">
        <w:t xml:space="preserve"> </w:t>
      </w:r>
      <w:r>
        <w:t>is</w:t>
      </w:r>
      <w:r w:rsidRPr="00A45BAD">
        <w:t xml:space="preserve"> </w:t>
      </w:r>
      <w:r>
        <w:t xml:space="preserve">an </w:t>
      </w:r>
      <w:r w:rsidRPr="00A45BAD">
        <w:t xml:space="preserve">ensemble model that operates by constructing a multitude of decision trees at training time and has been used extensively to solve prediction tasks in healthcare data analysis. The goal is to create a predictive model to predict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Pr="00A45BAD">
        <w:t xml:space="preserve"> given the training data set </w:t>
      </w:r>
      <m:oMath>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 xml:space="preserve"> Y</m:t>
                </m:r>
              </m:e>
              <m:sup>
                <m:r>
                  <w:rPr>
                    <w:rFonts w:ascii="Cambria Math" w:hAnsi="Cambria Math"/>
                  </w:rPr>
                  <m:t>2</m:t>
                </m:r>
              </m:sup>
            </m:sSup>
          </m:e>
        </m:d>
        <m:r>
          <w:rPr>
            <w:rFonts w:ascii="Cambria Math" w:hAnsi="Cambria Math"/>
          </w:rPr>
          <m:t>,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 xml:space="preserve"> Y</m:t>
                </m:r>
              </m:e>
              <m:sup>
                <m:r>
                  <w:rPr>
                    <w:rFonts w:ascii="Cambria Math" w:hAnsi="Cambria Math"/>
                  </w:rPr>
                  <m:t>i</m:t>
                </m:r>
              </m:sup>
            </m:sSup>
          </m:e>
        </m:d>
        <m:r>
          <w:rPr>
            <w:rFonts w:ascii="Cambria Math" w:hAnsi="Cambria Math"/>
          </w:rPr>
          <m:t>, …, (</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oMath>
      <w:r w:rsidRPr="00A45BAD">
        <w:t xml:space="preserve"> of independent random variables distributed as the independent prototype pair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 xml:space="preserve"> Y</m:t>
                </m:r>
              </m:e>
              <m:sup>
                <m:r>
                  <w:rPr>
                    <w:rFonts w:ascii="Cambria Math" w:hAnsi="Cambria Math"/>
                  </w:rPr>
                  <m:t>i</m:t>
                </m:r>
              </m:sup>
            </m:sSup>
          </m:e>
        </m:d>
        <m:r>
          <w:rPr>
            <w:rFonts w:ascii="Cambria Math" w:hAnsi="Cambria Math"/>
            <w:i/>
          </w:rPr>
          <w:fldChar w:fldCharType="begin"/>
        </m:r>
        <m:r>
          <m:rPr>
            <m:sty m:val="p"/>
          </m:rPr>
          <w:rPr>
            <w:rFonts w:ascii="Cambria Math" w:hAnsi="Cambria Math"/>
          </w:rPr>
          <m:t xml:space="preserve"> ADDIN ZOTERO_TEMP </m:t>
        </m:r>
        <m:r>
          <w:rPr>
            <w:rFonts w:ascii="Cambria Math" w:hAnsi="Cambria Math"/>
            <w:i/>
          </w:rPr>
          <w:fldChar w:fldCharType="separate"/>
        </m:r>
        <m:r>
          <m:rPr>
            <m:sty m:val="p"/>
          </m:rPr>
          <w:rPr>
            <w:rFonts w:ascii="Cambria Math" w:hAnsi="Cambria Math"/>
            <w:noProof/>
          </w:rPr>
          <m:t>(15)</m:t>
        </m:r>
        <m:r>
          <w:rPr>
            <w:rFonts w:ascii="Cambria Math" w:hAnsi="Cambria Math"/>
            <w:i/>
          </w:rPr>
          <w:fldChar w:fldCharType="end"/>
        </m:r>
      </m:oMath>
      <w:r w:rsidRPr="00A45BAD">
        <w:t xml:space="preserve">. For each tree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A45BAD">
        <w:t xml:space="preserve"> in a forest including </w:t>
      </w:r>
      <m:oMath>
        <m:r>
          <w:rPr>
            <w:rFonts w:ascii="Cambria Math" w:hAnsi="Cambria Math"/>
          </w:rPr>
          <m:t>M</m:t>
        </m:r>
      </m:oMath>
      <w:r w:rsidRPr="00A45BAD">
        <w:t xml:space="preserve"> trees, the predicted value for the input sample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A45BAD">
        <w:t xml:space="preserve"> is denoted by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rsidRPr="00A45BAD">
        <w:t xml:space="preserve">, where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M</m:t>
            </m:r>
          </m:sub>
        </m:sSub>
      </m:oMath>
      <w:r w:rsidRPr="00A45BAD">
        <w:t xml:space="preserve"> are independent random variables, distributed the same as a generic random variable </w:t>
      </w:r>
      <m:oMath>
        <m:r>
          <w:rPr>
            <w:rFonts w:ascii="Cambria Math" w:hAnsi="Cambria Math"/>
          </w:rPr>
          <m:t>θ</m:t>
        </m:r>
      </m:oMath>
      <w:r w:rsidRPr="00A45BAD">
        <w:t>. Similar to random forest, XGBoost</w:t>
      </w:r>
      <w:r>
        <w:t xml:space="preserve"> </w:t>
      </w:r>
      <w:r w:rsidRPr="00A45BAD">
        <w:fldChar w:fldCharType="begin"/>
      </w:r>
      <w:r w:rsidRPr="00A45BAD">
        <w:instrText xml:space="preserve"> ADDIN ZOTERO_ITEM CSL_CITATION {"citationID":"bxap3ceH","properties":{"formattedCitation":"(18)","plainCitation":"(18)","noteIndex":0},"citationItems":[{"id":55,"uris":["http://zotero.org/users/local/3oEVuZBY/items/J8XEAXUM"],"uri":["http://zotero.org/users/local/3oEVuZBY/items/J8XEAXUM"],"itemData":{"id":55,"type":"paper-conference","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systems.","collection-title":"KDD '16","container-title":"Proceedings of the 22nd ACM SIGKDD International Conference on Knowledge Discovery and Data Mining","DOI":"10.1145/2939672.2939785","event-place":"New York, NY, USA","ISBN":"978-1-4503-4232-2","page":"785–794","publisher":"Association for Computing Machinery","publisher-place":"New York, NY, USA","source":"ACM Digital Library","title":"XGBoost: A Scalable Tree Boosting System","title-short":"XGBoost","URL":"https://doi.org/10.1145/2939672.2939785","author":[{"family":"Chen","given":"Tianqi"},{"family":"Guestrin","given":"Carlos"}],"accessed":{"date-parts":[["2022",3,3]]},"issued":{"date-parts":[["2016",8,13]]}}}],"schema":"https://github.com/citation-style-language/schema/raw/master/csl-citation.json"} </w:instrText>
      </w:r>
      <w:r w:rsidRPr="00A45BAD">
        <w:fldChar w:fldCharType="separate"/>
      </w:r>
      <w:r w:rsidRPr="00A45BAD">
        <w:rPr>
          <w:noProof/>
        </w:rPr>
        <w:t>(18)</w:t>
      </w:r>
      <w:r w:rsidRPr="00A45BAD">
        <w:fldChar w:fldCharType="end"/>
      </w:r>
      <w:r w:rsidRPr="00A45BAD">
        <w:t xml:space="preserve"> is an ensample model based on decision trees. XGBoost trains tree ensemble models in an additive manner to greedily and efficiently regularize the ensemble tree objective function.  </w:t>
      </w:r>
    </w:p>
    <w:p w14:paraId="105BC051" w14:textId="1BB4CE31" w:rsidR="00B972B5" w:rsidRDefault="001660D2" w:rsidP="001660D2">
      <w:pPr>
        <w:pStyle w:val="AMIABodyText"/>
      </w:pPr>
      <w:r w:rsidRPr="00A45BAD">
        <w:lastRenderedPageBreak/>
        <w:t xml:space="preserve">These models were </w:t>
      </w:r>
      <w:r w:rsidR="00690B99">
        <w:t>trained</w:t>
      </w:r>
      <w:r w:rsidRPr="00A45BAD">
        <w:t xml:space="preserve"> </w:t>
      </w:r>
      <w:r w:rsidR="00690B99">
        <w:t>using</w:t>
      </w:r>
      <w:r w:rsidRPr="00A45BAD">
        <w:t xml:space="preserve"> the train set including </w:t>
      </w:r>
      <w:r w:rsidR="00690B99">
        <w:rPr>
          <w:iCs/>
        </w:rPr>
        <w:t>5</w:t>
      </w:r>
      <w:r w:rsidR="00690B99" w:rsidRPr="00A45BAD">
        <w:rPr>
          <w:iCs/>
        </w:rPr>
        <w:t>,</w:t>
      </w:r>
      <w:r w:rsidR="00690B99">
        <w:rPr>
          <w:iCs/>
        </w:rPr>
        <w:t>69</w:t>
      </w:r>
      <w:r w:rsidR="00690B99" w:rsidRPr="00A45BAD">
        <w:rPr>
          <w:iCs/>
        </w:rPr>
        <w:t xml:space="preserve">4 </w:t>
      </w:r>
      <w:r w:rsidR="00690B99">
        <w:rPr>
          <w:iCs/>
        </w:rPr>
        <w:t xml:space="preserve">(2,840 cases and 2,853 controls) </w:t>
      </w:r>
      <w:r w:rsidR="00690B99" w:rsidRPr="00A45BAD">
        <w:rPr>
          <w:iCs/>
        </w:rPr>
        <w:t>patients</w:t>
      </w:r>
      <w:r w:rsidR="00690B99">
        <w:rPr>
          <w:iCs/>
        </w:rPr>
        <w:t xml:space="preserve">’ </w:t>
      </w:r>
      <w:r w:rsidRPr="00A45BAD">
        <w:t xml:space="preserve">data and a randomized parameter search with a 5-fold cross validation. The trained models were tested </w:t>
      </w:r>
      <w:r>
        <w:t xml:space="preserve">using </w:t>
      </w:r>
      <w:r w:rsidR="00690B99">
        <w:t xml:space="preserve">a randomly selected held out </w:t>
      </w:r>
      <w:r w:rsidRPr="00A45BAD">
        <w:t xml:space="preserve">test set including </w:t>
      </w:r>
      <w:r w:rsidR="00690B99">
        <w:rPr>
          <w:iCs/>
        </w:rPr>
        <w:t>81,078 (1,227 cases and 79,851 controls)</w:t>
      </w:r>
      <w:r w:rsidRPr="00A45BAD">
        <w:t xml:space="preserve"> patients’ data. The optimum logistic regression has a sag as it’s solver with </w:t>
      </w:r>
      <m:oMath>
        <m:r>
          <w:rPr>
            <w:rFonts w:ascii="Cambria Math" w:hAnsi="Cambria Math"/>
          </w:rPr>
          <m:t>C</m:t>
        </m:r>
        <m:r>
          <m:rPr>
            <m:sty m:val="p"/>
          </m:rPr>
          <w:rPr>
            <w:rFonts w:ascii="Cambria Math" w:hAnsi="Cambria Math"/>
          </w:rPr>
          <m:t>=100</m:t>
        </m:r>
      </m:oMath>
      <w:r w:rsidRPr="00A45BAD">
        <w:t xml:space="preserve">. The optimum random forest model has </w:t>
      </w:r>
      <w:r w:rsidR="006D3CBD">
        <w:t>1600</w:t>
      </w:r>
      <w:r w:rsidRPr="00A45BAD">
        <w:t xml:space="preserve"> estimators with maximum depth of 110. The optimum values for the number of estimators, maximum depth, learning rate and gamma for the xgboost model used are </w:t>
      </w:r>
      <w:r w:rsidR="006D3CBD">
        <w:t>1600</w:t>
      </w:r>
      <w:r w:rsidRPr="00A45BAD">
        <w:t xml:space="preserve">, </w:t>
      </w:r>
      <w:r w:rsidR="006D3CBD">
        <w:t>16</w:t>
      </w:r>
      <w:r w:rsidRPr="00A45BAD">
        <w:t>, 0.1, and 1</w:t>
      </w:r>
      <w:r w:rsidR="006D3CBD">
        <w:t>0</w:t>
      </w:r>
      <w:r w:rsidRPr="00A45BAD">
        <w:t xml:space="preserve">. The optimized models were assessed using accuracy, precision, recall, F1-score and ROCAUC. </w:t>
      </w:r>
      <w:r w:rsidRPr="00A45BAD">
        <w:rPr>
          <w:rFonts w:ascii="Calibri" w:hAnsi="Calibri" w:cs="Calibri"/>
        </w:rPr>
        <w:t>﻿</w:t>
      </w:r>
      <w:r w:rsidRPr="00A45BAD">
        <w:t xml:space="preserve">Accuracy is the ratio of correct MCI and CU predictions by the models to the total number of samples in </w:t>
      </w:r>
      <w:r w:rsidR="006D3CBD">
        <w:t xml:space="preserve">the </w:t>
      </w:r>
      <w:r w:rsidRPr="00A45BAD">
        <w:t>test set. Precision shows how precise a model is when predicting a sample as MCI</w:t>
      </w:r>
      <w:r w:rsidR="00D809F0">
        <w:t>,</w:t>
      </w:r>
      <w:r w:rsidRPr="00A45BAD">
        <w:t xml:space="preserve"> and recall measures the performance of the model in retrieving all MCI samples in the test data. F1 is the harmonic mean of precision and recall and </w:t>
      </w:r>
      <w:r w:rsidR="00D809F0">
        <w:t>ROC</w:t>
      </w:r>
      <w:r w:rsidRPr="00A45BAD">
        <w:t xml:space="preserve">AUC shows the model's performance across different decision thresholds. </w:t>
      </w:r>
    </w:p>
    <w:p w14:paraId="71492D8A" w14:textId="77777777" w:rsidR="00B972B5" w:rsidRPr="00A45BAD" w:rsidRDefault="00B972B5" w:rsidP="00D809F0">
      <w:pPr>
        <w:spacing w:after="2"/>
        <w:rPr>
          <w:sz w:val="20"/>
          <w:szCs w:val="20"/>
        </w:rPr>
      </w:pPr>
    </w:p>
    <w:p w14:paraId="54EDBD09" w14:textId="5BBB3767" w:rsidR="000D6B2D" w:rsidRDefault="000D6B2D" w:rsidP="000D6B2D">
      <w:pPr>
        <w:spacing w:after="2"/>
        <w:ind w:left="-5"/>
        <w:jc w:val="center"/>
        <w:rPr>
          <w:sz w:val="20"/>
          <w:szCs w:val="20"/>
        </w:rPr>
      </w:pPr>
      <w:r w:rsidRPr="00A45BAD">
        <w:rPr>
          <w:b/>
          <w:bCs/>
          <w:sz w:val="20"/>
          <w:szCs w:val="20"/>
        </w:rPr>
        <w:t xml:space="preserve">Table </w:t>
      </w:r>
      <w:r w:rsidR="001660D2">
        <w:rPr>
          <w:b/>
          <w:bCs/>
          <w:sz w:val="20"/>
          <w:szCs w:val="20"/>
        </w:rPr>
        <w:t>3</w:t>
      </w:r>
      <w:r w:rsidRPr="00A45BAD">
        <w:rPr>
          <w:b/>
          <w:bCs/>
          <w:sz w:val="20"/>
          <w:szCs w:val="20"/>
        </w:rPr>
        <w:t>.</w:t>
      </w:r>
      <w:r w:rsidRPr="00A45BAD">
        <w:rPr>
          <w:sz w:val="20"/>
          <w:szCs w:val="20"/>
        </w:rPr>
        <w:t xml:space="preserve"> List of the 90 diagnosis procedures predicted by the recommender system.</w:t>
      </w:r>
    </w:p>
    <w:tbl>
      <w:tblPr>
        <w:tblW w:w="68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5"/>
        <w:gridCol w:w="3600"/>
      </w:tblGrid>
      <w:tr w:rsidR="00A67569" w:rsidRPr="00A67569" w14:paraId="58236332" w14:textId="77777777" w:rsidTr="00A67569">
        <w:trPr>
          <w:trHeight w:val="320"/>
          <w:jc w:val="center"/>
        </w:trPr>
        <w:tc>
          <w:tcPr>
            <w:tcW w:w="3235" w:type="dxa"/>
            <w:shd w:val="clear" w:color="auto" w:fill="auto"/>
            <w:noWrap/>
            <w:vAlign w:val="bottom"/>
            <w:hideMark/>
          </w:tcPr>
          <w:p w14:paraId="64DFC610" w14:textId="63BD383E" w:rsidR="00A67569" w:rsidRPr="00A67569" w:rsidRDefault="00A67569">
            <w:pPr>
              <w:rPr>
                <w:rFonts w:ascii="Times" w:hAnsi="Times" w:cs="Calibri"/>
                <w:color w:val="000000"/>
                <w:sz w:val="20"/>
                <w:szCs w:val="20"/>
              </w:rPr>
            </w:pPr>
            <w:r>
              <w:rPr>
                <w:rFonts w:ascii="Times" w:hAnsi="Times" w:cs="Calibri"/>
                <w:color w:val="000000"/>
                <w:sz w:val="20"/>
                <w:szCs w:val="20"/>
              </w:rPr>
              <w:t>A</w:t>
            </w:r>
            <w:r w:rsidRPr="00A67569">
              <w:rPr>
                <w:rFonts w:ascii="Times" w:hAnsi="Times" w:cs="Calibri"/>
                <w:color w:val="000000"/>
                <w:sz w:val="20"/>
                <w:szCs w:val="20"/>
              </w:rPr>
              <w:t xml:space="preserve">emoglobin </w:t>
            </w:r>
            <w:r>
              <w:rPr>
                <w:rFonts w:ascii="Times" w:hAnsi="Times" w:cs="Calibri"/>
                <w:color w:val="000000"/>
                <w:sz w:val="20"/>
                <w:szCs w:val="20"/>
              </w:rPr>
              <w:t>ALC</w:t>
            </w:r>
          </w:p>
        </w:tc>
        <w:tc>
          <w:tcPr>
            <w:tcW w:w="3600" w:type="dxa"/>
            <w:shd w:val="clear" w:color="auto" w:fill="auto"/>
            <w:noWrap/>
            <w:vAlign w:val="bottom"/>
            <w:hideMark/>
          </w:tcPr>
          <w:p w14:paraId="77BE3C7C" w14:textId="3461478E" w:rsidR="00A67569" w:rsidRPr="00A67569" w:rsidRDefault="00A67569">
            <w:pPr>
              <w:rPr>
                <w:rFonts w:ascii="Times" w:hAnsi="Times" w:cs="Calibri"/>
                <w:color w:val="000000"/>
                <w:sz w:val="20"/>
                <w:szCs w:val="20"/>
              </w:rPr>
            </w:pPr>
            <w:r>
              <w:rPr>
                <w:rFonts w:ascii="Times" w:hAnsi="Times" w:cs="Calibri"/>
                <w:color w:val="000000"/>
                <w:sz w:val="20"/>
                <w:szCs w:val="20"/>
              </w:rPr>
              <w:t>U</w:t>
            </w:r>
            <w:r w:rsidRPr="00A67569">
              <w:rPr>
                <w:rFonts w:ascii="Times" w:hAnsi="Times" w:cs="Calibri"/>
                <w:color w:val="000000"/>
                <w:sz w:val="20"/>
                <w:szCs w:val="20"/>
              </w:rPr>
              <w:t>rinalysis, screen for culture</w:t>
            </w:r>
          </w:p>
        </w:tc>
      </w:tr>
      <w:tr w:rsidR="00A67569" w:rsidRPr="00A67569" w14:paraId="1E9EB104" w14:textId="77777777" w:rsidTr="00A67569">
        <w:trPr>
          <w:trHeight w:val="320"/>
          <w:jc w:val="center"/>
        </w:trPr>
        <w:tc>
          <w:tcPr>
            <w:tcW w:w="3235" w:type="dxa"/>
            <w:shd w:val="clear" w:color="auto" w:fill="auto"/>
            <w:noWrap/>
            <w:vAlign w:val="bottom"/>
            <w:hideMark/>
          </w:tcPr>
          <w:p w14:paraId="60A162A2" w14:textId="0A437576" w:rsidR="00A67569" w:rsidRPr="00A67569" w:rsidRDefault="00A67569">
            <w:pPr>
              <w:rPr>
                <w:rFonts w:ascii="Times" w:hAnsi="Times" w:cs="Calibri"/>
                <w:color w:val="000000"/>
                <w:sz w:val="20"/>
                <w:szCs w:val="20"/>
              </w:rPr>
            </w:pPr>
            <w:r>
              <w:rPr>
                <w:rFonts w:ascii="Times" w:hAnsi="Times" w:cs="Calibri"/>
                <w:color w:val="000000"/>
                <w:sz w:val="20"/>
                <w:szCs w:val="20"/>
              </w:rPr>
              <w:t>H</w:t>
            </w:r>
            <w:r w:rsidRPr="00A67569">
              <w:rPr>
                <w:rFonts w:ascii="Times" w:hAnsi="Times" w:cs="Calibri"/>
                <w:color w:val="000000"/>
                <w:sz w:val="20"/>
                <w:szCs w:val="20"/>
              </w:rPr>
              <w:t>epatic function panel a</w:t>
            </w:r>
          </w:p>
        </w:tc>
        <w:tc>
          <w:tcPr>
            <w:tcW w:w="3600" w:type="dxa"/>
            <w:shd w:val="clear" w:color="auto" w:fill="auto"/>
            <w:noWrap/>
            <w:vAlign w:val="bottom"/>
            <w:hideMark/>
          </w:tcPr>
          <w:p w14:paraId="2A51C927" w14:textId="42BA6E65" w:rsidR="00A67569" w:rsidRPr="00A67569" w:rsidRDefault="00A67569">
            <w:pPr>
              <w:rPr>
                <w:rFonts w:ascii="Times" w:hAnsi="Times" w:cs="Calibri"/>
                <w:color w:val="000000"/>
                <w:sz w:val="20"/>
                <w:szCs w:val="20"/>
              </w:rPr>
            </w:pPr>
            <w:r>
              <w:rPr>
                <w:rFonts w:ascii="Times" w:hAnsi="Times" w:cs="Calibri"/>
                <w:color w:val="000000"/>
                <w:sz w:val="20"/>
                <w:szCs w:val="20"/>
              </w:rPr>
              <w:t>V</w:t>
            </w:r>
            <w:r w:rsidRPr="00A67569">
              <w:rPr>
                <w:rFonts w:ascii="Times" w:hAnsi="Times" w:cs="Calibri"/>
                <w:color w:val="000000"/>
                <w:sz w:val="20"/>
                <w:szCs w:val="20"/>
              </w:rPr>
              <w:t>itamin b12</w:t>
            </w:r>
          </w:p>
        </w:tc>
      </w:tr>
      <w:tr w:rsidR="00A67569" w:rsidRPr="00A67569" w14:paraId="550D4E6B" w14:textId="77777777" w:rsidTr="00A67569">
        <w:trPr>
          <w:trHeight w:val="320"/>
          <w:jc w:val="center"/>
        </w:trPr>
        <w:tc>
          <w:tcPr>
            <w:tcW w:w="3235" w:type="dxa"/>
            <w:shd w:val="clear" w:color="auto" w:fill="auto"/>
            <w:noWrap/>
            <w:vAlign w:val="bottom"/>
            <w:hideMark/>
          </w:tcPr>
          <w:p w14:paraId="48F9A3BF" w14:textId="16609794" w:rsidR="00A67569" w:rsidRPr="00A67569" w:rsidRDefault="00A67569">
            <w:pPr>
              <w:rPr>
                <w:rFonts w:ascii="Times" w:hAnsi="Times" w:cs="Calibri"/>
                <w:color w:val="000000"/>
                <w:sz w:val="20"/>
                <w:szCs w:val="20"/>
              </w:rPr>
            </w:pPr>
            <w:r>
              <w:rPr>
                <w:rFonts w:ascii="Times" w:hAnsi="Times" w:cs="Calibri"/>
                <w:color w:val="000000"/>
                <w:sz w:val="20"/>
                <w:szCs w:val="20"/>
              </w:rPr>
              <w:t>STAT</w:t>
            </w:r>
            <w:r w:rsidRPr="00A67569">
              <w:rPr>
                <w:rFonts w:ascii="Times" w:hAnsi="Times" w:cs="Calibri"/>
                <w:color w:val="000000"/>
                <w:sz w:val="20"/>
                <w:szCs w:val="20"/>
              </w:rPr>
              <w:t xml:space="preserve"> creatinine</w:t>
            </w:r>
          </w:p>
        </w:tc>
        <w:tc>
          <w:tcPr>
            <w:tcW w:w="3600" w:type="dxa"/>
            <w:shd w:val="clear" w:color="auto" w:fill="auto"/>
            <w:noWrap/>
            <w:vAlign w:val="bottom"/>
            <w:hideMark/>
          </w:tcPr>
          <w:p w14:paraId="2C0BA031" w14:textId="7583362C" w:rsidR="00A67569" w:rsidRPr="00A67569" w:rsidRDefault="00A67569">
            <w:pPr>
              <w:rPr>
                <w:rFonts w:ascii="Times" w:hAnsi="Times" w:cs="Calibri"/>
                <w:color w:val="000000"/>
                <w:sz w:val="20"/>
                <w:szCs w:val="20"/>
              </w:rPr>
            </w:pPr>
            <w:r>
              <w:rPr>
                <w:rFonts w:ascii="Times" w:hAnsi="Times" w:cs="Calibri"/>
                <w:color w:val="000000"/>
                <w:sz w:val="20"/>
                <w:szCs w:val="20"/>
              </w:rPr>
              <w:t>CT</w:t>
            </w:r>
            <w:r w:rsidRPr="00A67569">
              <w:rPr>
                <w:rFonts w:ascii="Times" w:hAnsi="Times" w:cs="Calibri"/>
                <w:color w:val="000000"/>
                <w:sz w:val="20"/>
                <w:szCs w:val="20"/>
              </w:rPr>
              <w:t xml:space="preserve"> head</w:t>
            </w:r>
          </w:p>
        </w:tc>
      </w:tr>
      <w:tr w:rsidR="00A67569" w:rsidRPr="00A67569" w14:paraId="53927B3C" w14:textId="77777777" w:rsidTr="00A67569">
        <w:trPr>
          <w:trHeight w:val="320"/>
          <w:jc w:val="center"/>
        </w:trPr>
        <w:tc>
          <w:tcPr>
            <w:tcW w:w="3235" w:type="dxa"/>
            <w:shd w:val="clear" w:color="auto" w:fill="auto"/>
            <w:noWrap/>
            <w:vAlign w:val="bottom"/>
            <w:hideMark/>
          </w:tcPr>
          <w:p w14:paraId="7A8637CF" w14:textId="31D4E187" w:rsidR="00A67569" w:rsidRPr="00A67569" w:rsidRDefault="00A67569">
            <w:pPr>
              <w:rPr>
                <w:rFonts w:ascii="Times" w:hAnsi="Times" w:cs="Calibri"/>
                <w:color w:val="000000"/>
                <w:sz w:val="20"/>
                <w:szCs w:val="20"/>
              </w:rPr>
            </w:pPr>
            <w:r>
              <w:rPr>
                <w:rFonts w:ascii="Times" w:hAnsi="Times" w:cs="Calibri"/>
                <w:color w:val="000000"/>
                <w:sz w:val="20"/>
                <w:szCs w:val="20"/>
              </w:rPr>
              <w:t>L</w:t>
            </w:r>
            <w:r w:rsidRPr="00A67569">
              <w:rPr>
                <w:rFonts w:ascii="Times" w:hAnsi="Times" w:cs="Calibri"/>
                <w:color w:val="000000"/>
                <w:sz w:val="20"/>
                <w:szCs w:val="20"/>
              </w:rPr>
              <w:t>ipid panel, non-fasting patient</w:t>
            </w:r>
          </w:p>
        </w:tc>
        <w:tc>
          <w:tcPr>
            <w:tcW w:w="3600" w:type="dxa"/>
            <w:shd w:val="clear" w:color="auto" w:fill="auto"/>
            <w:noWrap/>
            <w:vAlign w:val="bottom"/>
            <w:hideMark/>
          </w:tcPr>
          <w:p w14:paraId="0A17F158" w14:textId="70B506EE" w:rsidR="00A67569" w:rsidRPr="00A67569" w:rsidRDefault="00A67569">
            <w:pPr>
              <w:rPr>
                <w:rFonts w:ascii="Times" w:hAnsi="Times" w:cs="Calibri"/>
                <w:color w:val="000000"/>
                <w:sz w:val="20"/>
                <w:szCs w:val="20"/>
              </w:rPr>
            </w:pPr>
            <w:r>
              <w:rPr>
                <w:rFonts w:ascii="Times" w:hAnsi="Times" w:cs="Calibri"/>
                <w:color w:val="000000"/>
                <w:sz w:val="20"/>
                <w:szCs w:val="20"/>
              </w:rPr>
              <w:t>XR</w:t>
            </w:r>
            <w:r w:rsidRPr="00A67569">
              <w:rPr>
                <w:rFonts w:ascii="Times" w:hAnsi="Times" w:cs="Calibri"/>
                <w:color w:val="000000"/>
                <w:sz w:val="20"/>
                <w:szCs w:val="20"/>
              </w:rPr>
              <w:t xml:space="preserve"> chest 1v</w:t>
            </w:r>
          </w:p>
        </w:tc>
      </w:tr>
      <w:tr w:rsidR="00A67569" w:rsidRPr="00A67569" w14:paraId="40C59B06" w14:textId="77777777" w:rsidTr="00A67569">
        <w:trPr>
          <w:trHeight w:val="320"/>
          <w:jc w:val="center"/>
        </w:trPr>
        <w:tc>
          <w:tcPr>
            <w:tcW w:w="3235" w:type="dxa"/>
            <w:shd w:val="clear" w:color="auto" w:fill="auto"/>
            <w:noWrap/>
            <w:vAlign w:val="bottom"/>
            <w:hideMark/>
          </w:tcPr>
          <w:p w14:paraId="358E8477" w14:textId="07AC0571" w:rsidR="00A67569" w:rsidRPr="00A67569" w:rsidRDefault="00A67569">
            <w:pPr>
              <w:rPr>
                <w:rFonts w:ascii="Times" w:hAnsi="Times" w:cs="Calibri"/>
                <w:color w:val="000000"/>
                <w:sz w:val="20"/>
                <w:szCs w:val="20"/>
              </w:rPr>
            </w:pPr>
            <w:r>
              <w:rPr>
                <w:rFonts w:ascii="Times" w:hAnsi="Times" w:cs="Calibri"/>
                <w:color w:val="000000"/>
                <w:sz w:val="20"/>
                <w:szCs w:val="20"/>
              </w:rPr>
              <w:t>L</w:t>
            </w:r>
            <w:r w:rsidRPr="00A67569">
              <w:rPr>
                <w:rFonts w:ascii="Times" w:hAnsi="Times" w:cs="Calibri"/>
                <w:color w:val="000000"/>
                <w:sz w:val="20"/>
                <w:szCs w:val="20"/>
              </w:rPr>
              <w:t>ipid panel, fasting patient</w:t>
            </w:r>
          </w:p>
        </w:tc>
        <w:tc>
          <w:tcPr>
            <w:tcW w:w="3600" w:type="dxa"/>
            <w:shd w:val="clear" w:color="auto" w:fill="auto"/>
            <w:noWrap/>
            <w:vAlign w:val="bottom"/>
            <w:hideMark/>
          </w:tcPr>
          <w:p w14:paraId="377C90A3" w14:textId="6FDCD8F6" w:rsidR="00A67569" w:rsidRPr="00A67569" w:rsidRDefault="00A67569">
            <w:pPr>
              <w:rPr>
                <w:rFonts w:ascii="Times" w:hAnsi="Times" w:cs="Calibri"/>
                <w:color w:val="000000"/>
                <w:sz w:val="20"/>
                <w:szCs w:val="20"/>
              </w:rPr>
            </w:pPr>
            <w:r>
              <w:rPr>
                <w:rFonts w:ascii="Times" w:hAnsi="Times" w:cs="Calibri"/>
                <w:color w:val="000000"/>
                <w:sz w:val="20"/>
                <w:szCs w:val="20"/>
              </w:rPr>
              <w:t>XR</w:t>
            </w:r>
            <w:r w:rsidRPr="00A67569">
              <w:rPr>
                <w:rFonts w:ascii="Times" w:hAnsi="Times" w:cs="Calibri"/>
                <w:color w:val="000000"/>
                <w:sz w:val="20"/>
                <w:szCs w:val="20"/>
              </w:rPr>
              <w:t xml:space="preserve"> chest 2v</w:t>
            </w:r>
          </w:p>
        </w:tc>
      </w:tr>
      <w:tr w:rsidR="00A67569" w:rsidRPr="00A67569" w14:paraId="4F62B9C5" w14:textId="77777777" w:rsidTr="00A67569">
        <w:trPr>
          <w:trHeight w:val="320"/>
          <w:jc w:val="center"/>
        </w:trPr>
        <w:tc>
          <w:tcPr>
            <w:tcW w:w="3235" w:type="dxa"/>
            <w:shd w:val="clear" w:color="auto" w:fill="auto"/>
            <w:noWrap/>
            <w:vAlign w:val="bottom"/>
            <w:hideMark/>
          </w:tcPr>
          <w:p w14:paraId="77D91EE7" w14:textId="1CC2E76E" w:rsidR="00A67569" w:rsidRPr="00A67569" w:rsidRDefault="00A67569">
            <w:pPr>
              <w:rPr>
                <w:rFonts w:ascii="Times" w:hAnsi="Times" w:cs="Calibri"/>
                <w:color w:val="000000"/>
                <w:sz w:val="20"/>
                <w:szCs w:val="20"/>
              </w:rPr>
            </w:pPr>
            <w:r>
              <w:rPr>
                <w:rFonts w:ascii="Times" w:hAnsi="Times" w:cs="Calibri"/>
                <w:color w:val="000000"/>
                <w:sz w:val="20"/>
                <w:szCs w:val="20"/>
              </w:rPr>
              <w:t>M</w:t>
            </w:r>
            <w:r w:rsidRPr="00A67569">
              <w:rPr>
                <w:rFonts w:ascii="Times" w:hAnsi="Times" w:cs="Calibri"/>
                <w:color w:val="000000"/>
                <w:sz w:val="20"/>
                <w:szCs w:val="20"/>
              </w:rPr>
              <w:t>agnesium, serum/plasma</w:t>
            </w:r>
          </w:p>
        </w:tc>
        <w:tc>
          <w:tcPr>
            <w:tcW w:w="3600" w:type="dxa"/>
            <w:shd w:val="clear" w:color="auto" w:fill="auto"/>
            <w:noWrap/>
            <w:vAlign w:val="bottom"/>
            <w:hideMark/>
          </w:tcPr>
          <w:p w14:paraId="5F836912" w14:textId="11887291" w:rsidR="00A67569" w:rsidRPr="00A67569" w:rsidRDefault="00A67569">
            <w:pPr>
              <w:rPr>
                <w:rFonts w:ascii="Times" w:hAnsi="Times" w:cs="Calibri"/>
                <w:color w:val="000000"/>
                <w:sz w:val="20"/>
                <w:szCs w:val="20"/>
              </w:rPr>
            </w:pPr>
            <w:r>
              <w:rPr>
                <w:rFonts w:ascii="Times" w:hAnsi="Times" w:cs="Calibri"/>
                <w:color w:val="000000"/>
                <w:sz w:val="20"/>
                <w:szCs w:val="20"/>
              </w:rPr>
              <w:t>MRI</w:t>
            </w:r>
            <w:r w:rsidRPr="00A67569">
              <w:rPr>
                <w:rFonts w:ascii="Times" w:hAnsi="Times" w:cs="Calibri"/>
                <w:color w:val="000000"/>
                <w:sz w:val="20"/>
                <w:szCs w:val="20"/>
              </w:rPr>
              <w:t xml:space="preserve"> brain wo contrast</w:t>
            </w:r>
          </w:p>
        </w:tc>
      </w:tr>
      <w:tr w:rsidR="00A67569" w:rsidRPr="00A67569" w14:paraId="2E049135" w14:textId="77777777" w:rsidTr="00A67569">
        <w:trPr>
          <w:trHeight w:val="320"/>
          <w:jc w:val="center"/>
        </w:trPr>
        <w:tc>
          <w:tcPr>
            <w:tcW w:w="3235" w:type="dxa"/>
            <w:shd w:val="clear" w:color="auto" w:fill="auto"/>
            <w:noWrap/>
            <w:vAlign w:val="bottom"/>
            <w:hideMark/>
          </w:tcPr>
          <w:p w14:paraId="197D996E" w14:textId="20C7985F" w:rsidR="00A67569" w:rsidRPr="00A67569" w:rsidRDefault="00A67569">
            <w:pPr>
              <w:rPr>
                <w:rFonts w:ascii="Times" w:hAnsi="Times" w:cs="Calibri"/>
                <w:color w:val="000000"/>
                <w:sz w:val="20"/>
                <w:szCs w:val="20"/>
              </w:rPr>
            </w:pPr>
            <w:r>
              <w:rPr>
                <w:rFonts w:ascii="Times" w:hAnsi="Times" w:cs="Calibri"/>
                <w:color w:val="000000"/>
                <w:sz w:val="20"/>
                <w:szCs w:val="20"/>
              </w:rPr>
              <w:t>M</w:t>
            </w:r>
            <w:r w:rsidRPr="00A67569">
              <w:rPr>
                <w:rFonts w:ascii="Times" w:hAnsi="Times" w:cs="Calibri"/>
                <w:color w:val="000000"/>
                <w:sz w:val="20"/>
                <w:szCs w:val="20"/>
              </w:rPr>
              <w:t>etabolic panel, basic</w:t>
            </w:r>
          </w:p>
        </w:tc>
        <w:tc>
          <w:tcPr>
            <w:tcW w:w="3600" w:type="dxa"/>
            <w:shd w:val="clear" w:color="auto" w:fill="auto"/>
            <w:noWrap/>
            <w:vAlign w:val="bottom"/>
            <w:hideMark/>
          </w:tcPr>
          <w:p w14:paraId="0273C2CB" w14:textId="326C06E5" w:rsidR="00A67569" w:rsidRPr="00A67569" w:rsidRDefault="00A67569">
            <w:pPr>
              <w:rPr>
                <w:rFonts w:ascii="Times" w:hAnsi="Times" w:cs="Calibri"/>
                <w:color w:val="000000"/>
                <w:sz w:val="20"/>
                <w:szCs w:val="20"/>
              </w:rPr>
            </w:pPr>
            <w:r>
              <w:rPr>
                <w:rFonts w:ascii="Times" w:hAnsi="Times" w:cs="Calibri"/>
                <w:color w:val="000000"/>
                <w:sz w:val="20"/>
                <w:szCs w:val="20"/>
              </w:rPr>
              <w:t>B</w:t>
            </w:r>
            <w:r w:rsidRPr="00A67569">
              <w:rPr>
                <w:rFonts w:ascii="Times" w:hAnsi="Times" w:cs="Calibri"/>
                <w:color w:val="000000"/>
                <w:sz w:val="20"/>
                <w:szCs w:val="20"/>
              </w:rPr>
              <w:t>lood culture (aerobic &amp; anaerobic bottle)</w:t>
            </w:r>
          </w:p>
        </w:tc>
      </w:tr>
      <w:tr w:rsidR="00A67569" w:rsidRPr="00A67569" w14:paraId="6C80B450" w14:textId="77777777" w:rsidTr="00A67569">
        <w:trPr>
          <w:trHeight w:val="320"/>
          <w:jc w:val="center"/>
        </w:trPr>
        <w:tc>
          <w:tcPr>
            <w:tcW w:w="3235" w:type="dxa"/>
            <w:shd w:val="clear" w:color="auto" w:fill="auto"/>
            <w:noWrap/>
            <w:vAlign w:val="bottom"/>
            <w:hideMark/>
          </w:tcPr>
          <w:p w14:paraId="00435F39" w14:textId="7804314C" w:rsidR="00A67569" w:rsidRPr="00A67569" w:rsidRDefault="00A67569">
            <w:pPr>
              <w:rPr>
                <w:rFonts w:ascii="Times" w:hAnsi="Times" w:cs="Calibri"/>
                <w:color w:val="000000"/>
                <w:sz w:val="20"/>
                <w:szCs w:val="20"/>
              </w:rPr>
            </w:pPr>
            <w:r>
              <w:rPr>
                <w:rFonts w:ascii="Times" w:hAnsi="Times" w:cs="Calibri"/>
                <w:color w:val="000000"/>
                <w:sz w:val="20"/>
                <w:szCs w:val="20"/>
              </w:rPr>
              <w:t>M</w:t>
            </w:r>
            <w:r w:rsidRPr="00A67569">
              <w:rPr>
                <w:rFonts w:ascii="Times" w:hAnsi="Times" w:cs="Calibri"/>
                <w:color w:val="000000"/>
                <w:sz w:val="20"/>
                <w:szCs w:val="20"/>
              </w:rPr>
              <w:t>etabolic panel, comprehensive</w:t>
            </w:r>
          </w:p>
        </w:tc>
        <w:tc>
          <w:tcPr>
            <w:tcW w:w="3600" w:type="dxa"/>
            <w:shd w:val="clear" w:color="auto" w:fill="auto"/>
            <w:noWrap/>
            <w:vAlign w:val="bottom"/>
            <w:hideMark/>
          </w:tcPr>
          <w:p w14:paraId="33A8C455" w14:textId="1EEC0296" w:rsidR="00A67569" w:rsidRPr="00A67569" w:rsidRDefault="00A67569">
            <w:pPr>
              <w:rPr>
                <w:rFonts w:ascii="Times" w:hAnsi="Times" w:cs="Calibri"/>
                <w:color w:val="000000"/>
                <w:sz w:val="20"/>
                <w:szCs w:val="20"/>
              </w:rPr>
            </w:pPr>
            <w:r>
              <w:rPr>
                <w:rFonts w:ascii="Times" w:hAnsi="Times" w:cs="Calibri"/>
                <w:color w:val="000000"/>
                <w:sz w:val="20"/>
                <w:szCs w:val="20"/>
              </w:rPr>
              <w:t>C</w:t>
            </w:r>
            <w:r w:rsidRPr="00A67569">
              <w:rPr>
                <w:rFonts w:ascii="Times" w:hAnsi="Times" w:cs="Calibri"/>
                <w:color w:val="000000"/>
                <w:sz w:val="20"/>
                <w:szCs w:val="20"/>
              </w:rPr>
              <w:t>- reactive protein</w:t>
            </w:r>
          </w:p>
        </w:tc>
      </w:tr>
      <w:tr w:rsidR="00A67569" w:rsidRPr="00A67569" w14:paraId="23698F72" w14:textId="77777777" w:rsidTr="00A67569">
        <w:trPr>
          <w:trHeight w:val="320"/>
          <w:jc w:val="center"/>
        </w:trPr>
        <w:tc>
          <w:tcPr>
            <w:tcW w:w="3235" w:type="dxa"/>
            <w:shd w:val="clear" w:color="auto" w:fill="auto"/>
            <w:noWrap/>
            <w:vAlign w:val="bottom"/>
            <w:hideMark/>
          </w:tcPr>
          <w:p w14:paraId="20925B93" w14:textId="35463B25" w:rsidR="00A67569" w:rsidRPr="00A67569" w:rsidRDefault="00A67569">
            <w:pPr>
              <w:rPr>
                <w:rFonts w:ascii="Times" w:hAnsi="Times" w:cs="Calibri"/>
                <w:color w:val="000000"/>
                <w:sz w:val="20"/>
                <w:szCs w:val="20"/>
              </w:rPr>
            </w:pPr>
            <w:r>
              <w:rPr>
                <w:rFonts w:ascii="Times" w:hAnsi="Times" w:cs="Calibri"/>
                <w:color w:val="000000"/>
                <w:sz w:val="20"/>
                <w:szCs w:val="20"/>
              </w:rPr>
              <w:t>OT</w:t>
            </w:r>
            <w:r w:rsidRPr="00A67569">
              <w:rPr>
                <w:rFonts w:ascii="Times" w:hAnsi="Times" w:cs="Calibri"/>
                <w:color w:val="000000"/>
                <w:sz w:val="20"/>
                <w:szCs w:val="20"/>
              </w:rPr>
              <w:t xml:space="preserve"> evaluate and treat</w:t>
            </w:r>
          </w:p>
        </w:tc>
        <w:tc>
          <w:tcPr>
            <w:tcW w:w="3600" w:type="dxa"/>
            <w:shd w:val="clear" w:color="auto" w:fill="auto"/>
            <w:noWrap/>
            <w:vAlign w:val="bottom"/>
            <w:hideMark/>
          </w:tcPr>
          <w:p w14:paraId="29CFC948" w14:textId="07CA8861" w:rsidR="00A67569" w:rsidRPr="00A67569" w:rsidRDefault="00A67569">
            <w:pPr>
              <w:rPr>
                <w:rFonts w:ascii="Times" w:hAnsi="Times" w:cs="Calibri"/>
                <w:color w:val="000000"/>
                <w:sz w:val="20"/>
                <w:szCs w:val="20"/>
              </w:rPr>
            </w:pPr>
            <w:r>
              <w:rPr>
                <w:rFonts w:ascii="Times" w:hAnsi="Times" w:cs="Calibri"/>
                <w:color w:val="000000"/>
                <w:sz w:val="20"/>
                <w:szCs w:val="20"/>
              </w:rPr>
              <w:t>R</w:t>
            </w:r>
            <w:r w:rsidRPr="00A67569">
              <w:rPr>
                <w:rFonts w:ascii="Times" w:hAnsi="Times" w:cs="Calibri"/>
                <w:color w:val="000000"/>
                <w:sz w:val="20"/>
                <w:szCs w:val="20"/>
              </w:rPr>
              <w:t>eferral to neurology</w:t>
            </w:r>
          </w:p>
        </w:tc>
      </w:tr>
      <w:tr w:rsidR="00A67569" w:rsidRPr="00A67569" w14:paraId="6CCAEB6F" w14:textId="77777777" w:rsidTr="00A67569">
        <w:trPr>
          <w:trHeight w:val="320"/>
          <w:jc w:val="center"/>
        </w:trPr>
        <w:tc>
          <w:tcPr>
            <w:tcW w:w="3235" w:type="dxa"/>
            <w:shd w:val="clear" w:color="auto" w:fill="auto"/>
            <w:noWrap/>
            <w:vAlign w:val="bottom"/>
            <w:hideMark/>
          </w:tcPr>
          <w:p w14:paraId="23B0DC69" w14:textId="5FDC0FCA" w:rsidR="00A67569" w:rsidRPr="00A67569" w:rsidRDefault="00A67569">
            <w:pPr>
              <w:rPr>
                <w:rFonts w:ascii="Times" w:hAnsi="Times" w:cs="Calibri"/>
                <w:color w:val="000000"/>
                <w:sz w:val="20"/>
                <w:szCs w:val="20"/>
              </w:rPr>
            </w:pPr>
            <w:r>
              <w:rPr>
                <w:rFonts w:ascii="Times" w:hAnsi="Times" w:cs="Calibri"/>
                <w:color w:val="000000"/>
                <w:sz w:val="20"/>
                <w:szCs w:val="20"/>
              </w:rPr>
              <w:t>P</w:t>
            </w:r>
            <w:r w:rsidRPr="00A67569">
              <w:rPr>
                <w:rFonts w:ascii="Times" w:hAnsi="Times" w:cs="Calibri"/>
                <w:color w:val="000000"/>
                <w:sz w:val="20"/>
                <w:szCs w:val="20"/>
              </w:rPr>
              <w:t>hosphorus, serum/plasma</w:t>
            </w:r>
          </w:p>
        </w:tc>
        <w:tc>
          <w:tcPr>
            <w:tcW w:w="3600" w:type="dxa"/>
            <w:shd w:val="clear" w:color="auto" w:fill="auto"/>
            <w:noWrap/>
            <w:vAlign w:val="bottom"/>
            <w:hideMark/>
          </w:tcPr>
          <w:p w14:paraId="5304735F" w14:textId="1CBA5FBA" w:rsidR="00A67569" w:rsidRPr="00A67569" w:rsidRDefault="00A67569">
            <w:pPr>
              <w:rPr>
                <w:rFonts w:ascii="Times" w:hAnsi="Times" w:cs="Calibri"/>
                <w:color w:val="000000"/>
                <w:sz w:val="20"/>
                <w:szCs w:val="20"/>
              </w:rPr>
            </w:pPr>
            <w:r>
              <w:rPr>
                <w:rFonts w:ascii="Times" w:hAnsi="Times" w:cs="Calibri"/>
                <w:color w:val="000000"/>
                <w:sz w:val="20"/>
                <w:szCs w:val="20"/>
              </w:rPr>
              <w:t>E</w:t>
            </w:r>
            <w:r w:rsidRPr="00A67569">
              <w:rPr>
                <w:rFonts w:ascii="Times" w:hAnsi="Times" w:cs="Calibri"/>
                <w:color w:val="000000"/>
                <w:sz w:val="20"/>
                <w:szCs w:val="20"/>
              </w:rPr>
              <w:t>val/mgmt of new patient level 5</w:t>
            </w:r>
          </w:p>
        </w:tc>
      </w:tr>
      <w:tr w:rsidR="00A67569" w:rsidRPr="00A67569" w14:paraId="08508439" w14:textId="77777777" w:rsidTr="00A67569">
        <w:trPr>
          <w:trHeight w:val="320"/>
          <w:jc w:val="center"/>
        </w:trPr>
        <w:tc>
          <w:tcPr>
            <w:tcW w:w="3235" w:type="dxa"/>
            <w:shd w:val="clear" w:color="auto" w:fill="auto"/>
            <w:noWrap/>
            <w:vAlign w:val="bottom"/>
            <w:hideMark/>
          </w:tcPr>
          <w:p w14:paraId="3FB6FF0E" w14:textId="500B7A26" w:rsidR="00A67569" w:rsidRPr="00A67569" w:rsidRDefault="00A67569">
            <w:pPr>
              <w:rPr>
                <w:rFonts w:ascii="Times" w:hAnsi="Times" w:cs="Calibri"/>
                <w:color w:val="000000"/>
                <w:sz w:val="20"/>
                <w:szCs w:val="20"/>
              </w:rPr>
            </w:pPr>
            <w:r>
              <w:rPr>
                <w:rFonts w:ascii="Times" w:hAnsi="Times" w:cs="Calibri"/>
                <w:color w:val="000000"/>
                <w:sz w:val="20"/>
                <w:szCs w:val="20"/>
              </w:rPr>
              <w:t>P</w:t>
            </w:r>
            <w:r w:rsidRPr="00A67569">
              <w:rPr>
                <w:rFonts w:ascii="Times" w:hAnsi="Times" w:cs="Calibri"/>
                <w:color w:val="000000"/>
                <w:sz w:val="20"/>
                <w:szCs w:val="20"/>
              </w:rPr>
              <w:t>rothrombin time</w:t>
            </w:r>
          </w:p>
        </w:tc>
        <w:tc>
          <w:tcPr>
            <w:tcW w:w="3600" w:type="dxa"/>
            <w:shd w:val="clear" w:color="auto" w:fill="auto"/>
            <w:noWrap/>
            <w:vAlign w:val="bottom"/>
            <w:hideMark/>
          </w:tcPr>
          <w:p w14:paraId="6A638E21" w14:textId="08A63E70" w:rsidR="00A67569" w:rsidRPr="00A67569" w:rsidRDefault="00A67569">
            <w:pPr>
              <w:rPr>
                <w:rFonts w:ascii="Times" w:hAnsi="Times" w:cs="Calibri"/>
                <w:color w:val="000000"/>
                <w:sz w:val="20"/>
                <w:szCs w:val="20"/>
              </w:rPr>
            </w:pPr>
            <w:r>
              <w:rPr>
                <w:rFonts w:ascii="Times" w:hAnsi="Times" w:cs="Calibri"/>
                <w:color w:val="000000"/>
                <w:sz w:val="20"/>
                <w:szCs w:val="20"/>
              </w:rPr>
              <w:t>E</w:t>
            </w:r>
            <w:r w:rsidRPr="00A67569">
              <w:rPr>
                <w:rFonts w:ascii="Times" w:hAnsi="Times" w:cs="Calibri"/>
                <w:color w:val="000000"/>
                <w:sz w:val="20"/>
                <w:szCs w:val="20"/>
              </w:rPr>
              <w:t>val/mgmt of est patient level 4</w:t>
            </w:r>
          </w:p>
        </w:tc>
      </w:tr>
      <w:tr w:rsidR="00A67569" w:rsidRPr="00A67569" w14:paraId="47BC91CF" w14:textId="77777777" w:rsidTr="00A67569">
        <w:trPr>
          <w:trHeight w:val="320"/>
          <w:jc w:val="center"/>
        </w:trPr>
        <w:tc>
          <w:tcPr>
            <w:tcW w:w="3235" w:type="dxa"/>
            <w:shd w:val="clear" w:color="auto" w:fill="auto"/>
            <w:noWrap/>
            <w:vAlign w:val="bottom"/>
            <w:hideMark/>
          </w:tcPr>
          <w:p w14:paraId="13ED3854" w14:textId="6A56566D" w:rsidR="00A67569" w:rsidRPr="00A67569" w:rsidRDefault="00A67569">
            <w:pPr>
              <w:rPr>
                <w:rFonts w:ascii="Times" w:hAnsi="Times" w:cs="Calibri"/>
                <w:color w:val="000000"/>
                <w:sz w:val="20"/>
                <w:szCs w:val="20"/>
              </w:rPr>
            </w:pPr>
            <w:r>
              <w:rPr>
                <w:rFonts w:ascii="Times" w:hAnsi="Times" w:cs="Calibri"/>
                <w:color w:val="000000"/>
                <w:sz w:val="20"/>
                <w:szCs w:val="20"/>
              </w:rPr>
              <w:t>PT</w:t>
            </w:r>
            <w:r w:rsidRPr="00A67569">
              <w:rPr>
                <w:rFonts w:ascii="Times" w:hAnsi="Times" w:cs="Calibri"/>
                <w:color w:val="000000"/>
                <w:sz w:val="20"/>
                <w:szCs w:val="20"/>
              </w:rPr>
              <w:t xml:space="preserve"> evaluate and treat</w:t>
            </w:r>
          </w:p>
        </w:tc>
        <w:tc>
          <w:tcPr>
            <w:tcW w:w="3600" w:type="dxa"/>
            <w:shd w:val="clear" w:color="auto" w:fill="auto"/>
            <w:noWrap/>
            <w:vAlign w:val="bottom"/>
            <w:hideMark/>
          </w:tcPr>
          <w:p w14:paraId="0E96BC25" w14:textId="71706470" w:rsidR="00A67569" w:rsidRPr="00A67569" w:rsidRDefault="00A67569">
            <w:pPr>
              <w:rPr>
                <w:rFonts w:ascii="Times" w:hAnsi="Times" w:cs="Calibri"/>
                <w:color w:val="000000"/>
                <w:sz w:val="20"/>
                <w:szCs w:val="20"/>
              </w:rPr>
            </w:pPr>
            <w:r>
              <w:rPr>
                <w:rFonts w:ascii="Times" w:hAnsi="Times" w:cs="Calibri"/>
                <w:color w:val="000000"/>
                <w:sz w:val="20"/>
                <w:szCs w:val="20"/>
              </w:rPr>
              <w:t>E</w:t>
            </w:r>
            <w:r w:rsidRPr="00A67569">
              <w:rPr>
                <w:rFonts w:ascii="Times" w:hAnsi="Times" w:cs="Calibri"/>
                <w:color w:val="000000"/>
                <w:sz w:val="20"/>
                <w:szCs w:val="20"/>
              </w:rPr>
              <w:t>val/mgmt of est patient level 5</w:t>
            </w:r>
          </w:p>
        </w:tc>
      </w:tr>
      <w:tr w:rsidR="00A67569" w:rsidRPr="00A67569" w14:paraId="3C815CD8" w14:textId="77777777" w:rsidTr="00A67569">
        <w:trPr>
          <w:trHeight w:val="320"/>
          <w:jc w:val="center"/>
        </w:trPr>
        <w:tc>
          <w:tcPr>
            <w:tcW w:w="3235" w:type="dxa"/>
            <w:shd w:val="clear" w:color="auto" w:fill="auto"/>
            <w:noWrap/>
            <w:vAlign w:val="bottom"/>
            <w:hideMark/>
          </w:tcPr>
          <w:p w14:paraId="28329F26" w14:textId="10C8D122" w:rsidR="00A67569" w:rsidRPr="00A67569" w:rsidRDefault="00A67569">
            <w:pPr>
              <w:rPr>
                <w:rFonts w:ascii="Times" w:hAnsi="Times" w:cs="Calibri"/>
                <w:color w:val="000000"/>
                <w:sz w:val="20"/>
                <w:szCs w:val="20"/>
              </w:rPr>
            </w:pPr>
            <w:r>
              <w:rPr>
                <w:rFonts w:ascii="Times" w:hAnsi="Times" w:cs="Calibri"/>
                <w:color w:val="000000"/>
                <w:sz w:val="20"/>
                <w:szCs w:val="20"/>
              </w:rPr>
              <w:t>PTT</w:t>
            </w:r>
            <w:r w:rsidRPr="00A67569">
              <w:rPr>
                <w:rFonts w:ascii="Times" w:hAnsi="Times" w:cs="Calibri"/>
                <w:color w:val="000000"/>
                <w:sz w:val="20"/>
                <w:szCs w:val="20"/>
              </w:rPr>
              <w:t xml:space="preserve"> partial thromboplastin time</w:t>
            </w:r>
          </w:p>
        </w:tc>
        <w:tc>
          <w:tcPr>
            <w:tcW w:w="3600" w:type="dxa"/>
            <w:shd w:val="clear" w:color="auto" w:fill="auto"/>
            <w:noWrap/>
            <w:vAlign w:val="bottom"/>
            <w:hideMark/>
          </w:tcPr>
          <w:p w14:paraId="39102C54" w14:textId="1E1BDD9D" w:rsidR="00A67569" w:rsidRPr="00A67569" w:rsidRDefault="00A67569">
            <w:pPr>
              <w:rPr>
                <w:rFonts w:ascii="Times" w:hAnsi="Times" w:cs="Calibri"/>
                <w:color w:val="000000"/>
                <w:sz w:val="20"/>
                <w:szCs w:val="20"/>
              </w:rPr>
            </w:pPr>
            <w:r>
              <w:rPr>
                <w:rFonts w:ascii="Times" w:hAnsi="Times" w:cs="Calibri"/>
                <w:color w:val="000000"/>
                <w:sz w:val="20"/>
                <w:szCs w:val="20"/>
              </w:rPr>
              <w:t>A</w:t>
            </w:r>
            <w:r w:rsidRPr="00A67569">
              <w:rPr>
                <w:rFonts w:ascii="Times" w:hAnsi="Times" w:cs="Calibri"/>
                <w:color w:val="000000"/>
                <w:sz w:val="20"/>
                <w:szCs w:val="20"/>
              </w:rPr>
              <w:t>utonomic testing- cardiovascular</w:t>
            </w:r>
          </w:p>
        </w:tc>
      </w:tr>
      <w:tr w:rsidR="00A67569" w:rsidRPr="00A67569" w14:paraId="09A79769" w14:textId="77777777" w:rsidTr="00A67569">
        <w:trPr>
          <w:trHeight w:val="320"/>
          <w:jc w:val="center"/>
        </w:trPr>
        <w:tc>
          <w:tcPr>
            <w:tcW w:w="3235" w:type="dxa"/>
            <w:shd w:val="clear" w:color="auto" w:fill="auto"/>
            <w:noWrap/>
            <w:vAlign w:val="bottom"/>
            <w:hideMark/>
          </w:tcPr>
          <w:p w14:paraId="49D3AB80" w14:textId="7956C318" w:rsidR="00A67569" w:rsidRPr="00A67569" w:rsidRDefault="00A67569">
            <w:pPr>
              <w:rPr>
                <w:rFonts w:ascii="Times" w:hAnsi="Times" w:cs="Calibri"/>
                <w:color w:val="000000"/>
                <w:sz w:val="20"/>
                <w:szCs w:val="20"/>
              </w:rPr>
            </w:pPr>
            <w:r>
              <w:rPr>
                <w:rFonts w:ascii="Times" w:hAnsi="Times" w:cs="Calibri"/>
                <w:color w:val="000000"/>
                <w:sz w:val="20"/>
                <w:szCs w:val="20"/>
              </w:rPr>
              <w:t>OT</w:t>
            </w:r>
            <w:r w:rsidRPr="00A67569">
              <w:rPr>
                <w:rFonts w:ascii="Times" w:hAnsi="Times" w:cs="Calibri"/>
                <w:color w:val="000000"/>
                <w:sz w:val="20"/>
                <w:szCs w:val="20"/>
              </w:rPr>
              <w:t xml:space="preserve"> ongoing treatment</w:t>
            </w:r>
          </w:p>
        </w:tc>
        <w:tc>
          <w:tcPr>
            <w:tcW w:w="3600" w:type="dxa"/>
            <w:shd w:val="clear" w:color="auto" w:fill="auto"/>
            <w:noWrap/>
            <w:vAlign w:val="bottom"/>
            <w:hideMark/>
          </w:tcPr>
          <w:p w14:paraId="58672FF4" w14:textId="4D00FD3B" w:rsidR="00A67569" w:rsidRPr="00A67569" w:rsidRDefault="00A67569">
            <w:pPr>
              <w:rPr>
                <w:rFonts w:ascii="Times" w:hAnsi="Times" w:cs="Calibri"/>
                <w:color w:val="000000"/>
                <w:sz w:val="20"/>
                <w:szCs w:val="20"/>
              </w:rPr>
            </w:pPr>
            <w:r>
              <w:rPr>
                <w:rFonts w:ascii="Times" w:hAnsi="Times" w:cs="Calibri"/>
                <w:color w:val="000000"/>
                <w:sz w:val="20"/>
                <w:szCs w:val="20"/>
              </w:rPr>
              <w:t>PT</w:t>
            </w:r>
            <w:r w:rsidRPr="00A67569">
              <w:rPr>
                <w:rFonts w:ascii="Times" w:hAnsi="Times" w:cs="Calibri"/>
                <w:color w:val="000000"/>
                <w:sz w:val="20"/>
                <w:szCs w:val="20"/>
              </w:rPr>
              <w:t xml:space="preserve"> ongoing treatment</w:t>
            </w:r>
          </w:p>
        </w:tc>
      </w:tr>
      <w:tr w:rsidR="00A67569" w:rsidRPr="00A67569" w14:paraId="06002D3D" w14:textId="77777777" w:rsidTr="00A67569">
        <w:trPr>
          <w:trHeight w:val="320"/>
          <w:jc w:val="center"/>
        </w:trPr>
        <w:tc>
          <w:tcPr>
            <w:tcW w:w="3235" w:type="dxa"/>
            <w:shd w:val="clear" w:color="auto" w:fill="auto"/>
            <w:noWrap/>
            <w:vAlign w:val="bottom"/>
            <w:hideMark/>
          </w:tcPr>
          <w:p w14:paraId="7D683C9B" w14:textId="3608CC0D" w:rsidR="00A67569" w:rsidRPr="00A67569" w:rsidRDefault="00A67569">
            <w:pPr>
              <w:rPr>
                <w:rFonts w:ascii="Times" w:hAnsi="Times" w:cs="Calibri"/>
                <w:color w:val="000000"/>
                <w:sz w:val="20"/>
                <w:szCs w:val="20"/>
              </w:rPr>
            </w:pPr>
            <w:r>
              <w:rPr>
                <w:rFonts w:ascii="Times" w:hAnsi="Times" w:cs="Calibri"/>
                <w:color w:val="000000"/>
                <w:sz w:val="20"/>
                <w:szCs w:val="20"/>
              </w:rPr>
              <w:t>F</w:t>
            </w:r>
            <w:r w:rsidRPr="00A67569">
              <w:rPr>
                <w:rFonts w:ascii="Times" w:hAnsi="Times" w:cs="Calibri"/>
                <w:color w:val="000000"/>
                <w:sz w:val="20"/>
                <w:szCs w:val="20"/>
              </w:rPr>
              <w:t>oley retention catheter</w:t>
            </w:r>
          </w:p>
        </w:tc>
        <w:tc>
          <w:tcPr>
            <w:tcW w:w="3600" w:type="dxa"/>
            <w:shd w:val="clear" w:color="auto" w:fill="auto"/>
            <w:noWrap/>
            <w:vAlign w:val="bottom"/>
            <w:hideMark/>
          </w:tcPr>
          <w:p w14:paraId="22E9FF9F" w14:textId="10AFF012" w:rsidR="00A67569" w:rsidRPr="00A67569" w:rsidRDefault="00A67569">
            <w:pPr>
              <w:rPr>
                <w:rFonts w:ascii="Times" w:hAnsi="Times" w:cs="Calibri"/>
                <w:color w:val="000000"/>
                <w:sz w:val="20"/>
                <w:szCs w:val="20"/>
              </w:rPr>
            </w:pPr>
            <w:r>
              <w:rPr>
                <w:rFonts w:ascii="Times" w:hAnsi="Times" w:cs="Calibri"/>
                <w:color w:val="000000"/>
                <w:sz w:val="20"/>
                <w:szCs w:val="20"/>
              </w:rPr>
              <w:t>V</w:t>
            </w:r>
            <w:r w:rsidRPr="00A67569">
              <w:rPr>
                <w:rFonts w:ascii="Times" w:hAnsi="Times" w:cs="Calibri"/>
                <w:color w:val="000000"/>
                <w:sz w:val="20"/>
                <w:szCs w:val="20"/>
              </w:rPr>
              <w:t>itamin d, 25-hydroxyvitamin</w:t>
            </w:r>
          </w:p>
        </w:tc>
      </w:tr>
      <w:tr w:rsidR="00A67569" w:rsidRPr="00A67569" w14:paraId="45613EE7" w14:textId="77777777" w:rsidTr="00A67569">
        <w:trPr>
          <w:trHeight w:val="320"/>
          <w:jc w:val="center"/>
        </w:trPr>
        <w:tc>
          <w:tcPr>
            <w:tcW w:w="3235" w:type="dxa"/>
            <w:shd w:val="clear" w:color="auto" w:fill="auto"/>
            <w:noWrap/>
            <w:vAlign w:val="bottom"/>
            <w:hideMark/>
          </w:tcPr>
          <w:p w14:paraId="4FD432A9" w14:textId="41FE0618" w:rsidR="00A67569" w:rsidRPr="00A67569" w:rsidRDefault="00A67569">
            <w:pPr>
              <w:rPr>
                <w:rFonts w:ascii="Times" w:hAnsi="Times" w:cs="Calibri"/>
                <w:color w:val="000000"/>
                <w:sz w:val="20"/>
                <w:szCs w:val="20"/>
              </w:rPr>
            </w:pPr>
            <w:r>
              <w:rPr>
                <w:rFonts w:ascii="Times" w:hAnsi="Times" w:cs="Calibri"/>
                <w:color w:val="000000"/>
                <w:sz w:val="20"/>
                <w:szCs w:val="20"/>
              </w:rPr>
              <w:t>S</w:t>
            </w:r>
            <w:r w:rsidRPr="00A67569">
              <w:rPr>
                <w:rFonts w:ascii="Times" w:hAnsi="Times" w:cs="Calibri"/>
                <w:color w:val="000000"/>
                <w:sz w:val="20"/>
                <w:szCs w:val="20"/>
              </w:rPr>
              <w:t>edimentation rate (esr)</w:t>
            </w:r>
          </w:p>
        </w:tc>
        <w:tc>
          <w:tcPr>
            <w:tcW w:w="3600" w:type="dxa"/>
            <w:shd w:val="clear" w:color="auto" w:fill="auto"/>
            <w:noWrap/>
            <w:vAlign w:val="bottom"/>
            <w:hideMark/>
          </w:tcPr>
          <w:p w14:paraId="1AA84B66" w14:textId="35B93C44" w:rsidR="00A67569" w:rsidRPr="00A67569" w:rsidRDefault="00A67569">
            <w:pPr>
              <w:rPr>
                <w:rFonts w:ascii="Times" w:hAnsi="Times" w:cs="Calibri"/>
                <w:color w:val="000000"/>
                <w:sz w:val="20"/>
                <w:szCs w:val="20"/>
              </w:rPr>
            </w:pPr>
            <w:r>
              <w:rPr>
                <w:rFonts w:ascii="Times" w:hAnsi="Times" w:cs="Calibri"/>
                <w:color w:val="000000"/>
                <w:sz w:val="20"/>
                <w:szCs w:val="20"/>
              </w:rPr>
              <w:t>TSH</w:t>
            </w:r>
            <w:r w:rsidRPr="00A67569">
              <w:rPr>
                <w:rFonts w:ascii="Times" w:hAnsi="Times" w:cs="Calibri"/>
                <w:color w:val="000000"/>
                <w:sz w:val="20"/>
                <w:szCs w:val="20"/>
              </w:rPr>
              <w:t xml:space="preserve"> w/ reflex ft4</w:t>
            </w:r>
          </w:p>
        </w:tc>
      </w:tr>
      <w:tr w:rsidR="00A67569" w:rsidRPr="00A67569" w14:paraId="2D17BE62" w14:textId="77777777" w:rsidTr="00A67569">
        <w:trPr>
          <w:trHeight w:val="320"/>
          <w:jc w:val="center"/>
        </w:trPr>
        <w:tc>
          <w:tcPr>
            <w:tcW w:w="3235" w:type="dxa"/>
            <w:shd w:val="clear" w:color="auto" w:fill="auto"/>
            <w:noWrap/>
            <w:vAlign w:val="bottom"/>
            <w:hideMark/>
          </w:tcPr>
          <w:p w14:paraId="3EB6FC42" w14:textId="386962C8" w:rsidR="00A67569" w:rsidRPr="00A67569" w:rsidRDefault="00A67569">
            <w:pPr>
              <w:rPr>
                <w:rFonts w:ascii="Times" w:hAnsi="Times" w:cs="Calibri"/>
                <w:color w:val="000000"/>
                <w:sz w:val="20"/>
                <w:szCs w:val="20"/>
              </w:rPr>
            </w:pPr>
            <w:r>
              <w:rPr>
                <w:rFonts w:ascii="Times" w:hAnsi="Times" w:cs="Calibri"/>
                <w:color w:val="000000"/>
                <w:sz w:val="20"/>
                <w:szCs w:val="20"/>
              </w:rPr>
              <w:t>R</w:t>
            </w:r>
            <w:r w:rsidRPr="00A67569">
              <w:rPr>
                <w:rFonts w:ascii="Times" w:hAnsi="Times" w:cs="Calibri"/>
                <w:color w:val="000000"/>
                <w:sz w:val="20"/>
                <w:szCs w:val="20"/>
              </w:rPr>
              <w:t>eferral to physical therapy</w:t>
            </w:r>
          </w:p>
        </w:tc>
        <w:tc>
          <w:tcPr>
            <w:tcW w:w="3600" w:type="dxa"/>
            <w:shd w:val="clear" w:color="auto" w:fill="auto"/>
            <w:noWrap/>
            <w:vAlign w:val="bottom"/>
            <w:hideMark/>
          </w:tcPr>
          <w:p w14:paraId="0CF84FBD" w14:textId="4BDE7400" w:rsidR="00A67569" w:rsidRPr="00A67569" w:rsidRDefault="00A67569">
            <w:pPr>
              <w:rPr>
                <w:rFonts w:ascii="Times" w:hAnsi="Times" w:cs="Calibri"/>
                <w:color w:val="000000"/>
                <w:sz w:val="20"/>
                <w:szCs w:val="20"/>
              </w:rPr>
            </w:pPr>
            <w:r>
              <w:rPr>
                <w:rFonts w:ascii="Times" w:hAnsi="Times" w:cs="Calibri"/>
                <w:color w:val="000000"/>
                <w:sz w:val="20"/>
                <w:szCs w:val="20"/>
              </w:rPr>
              <w:t>M</w:t>
            </w:r>
            <w:r w:rsidRPr="00A67569">
              <w:rPr>
                <w:rFonts w:ascii="Times" w:hAnsi="Times" w:cs="Calibri"/>
                <w:color w:val="000000"/>
                <w:sz w:val="20"/>
                <w:szCs w:val="20"/>
              </w:rPr>
              <w:t>iscellaneous processing</w:t>
            </w:r>
          </w:p>
        </w:tc>
      </w:tr>
      <w:tr w:rsidR="00A67569" w:rsidRPr="00A67569" w14:paraId="62FE1F7A" w14:textId="77777777" w:rsidTr="00A67569">
        <w:trPr>
          <w:trHeight w:val="320"/>
          <w:jc w:val="center"/>
        </w:trPr>
        <w:tc>
          <w:tcPr>
            <w:tcW w:w="3235" w:type="dxa"/>
            <w:shd w:val="clear" w:color="auto" w:fill="auto"/>
            <w:noWrap/>
            <w:vAlign w:val="bottom"/>
            <w:hideMark/>
          </w:tcPr>
          <w:p w14:paraId="02EF7C57" w14:textId="31ABE587" w:rsidR="00A67569" w:rsidRPr="00A67569" w:rsidRDefault="00A67569">
            <w:pPr>
              <w:rPr>
                <w:rFonts w:ascii="Times" w:hAnsi="Times" w:cs="Calibri"/>
                <w:color w:val="000000"/>
                <w:sz w:val="20"/>
                <w:szCs w:val="20"/>
              </w:rPr>
            </w:pPr>
            <w:r>
              <w:rPr>
                <w:rFonts w:ascii="Times" w:hAnsi="Times" w:cs="Calibri"/>
                <w:color w:val="000000"/>
                <w:sz w:val="20"/>
                <w:szCs w:val="20"/>
              </w:rPr>
              <w:t>I</w:t>
            </w:r>
            <w:r w:rsidRPr="00A67569">
              <w:rPr>
                <w:rFonts w:ascii="Times" w:hAnsi="Times" w:cs="Calibri"/>
                <w:color w:val="000000"/>
                <w:sz w:val="20"/>
                <w:szCs w:val="20"/>
              </w:rPr>
              <w:t>nteragency referral to home health/addendum to certification</w:t>
            </w:r>
          </w:p>
        </w:tc>
        <w:tc>
          <w:tcPr>
            <w:tcW w:w="3600" w:type="dxa"/>
            <w:shd w:val="clear" w:color="auto" w:fill="auto"/>
            <w:noWrap/>
            <w:vAlign w:val="bottom"/>
            <w:hideMark/>
          </w:tcPr>
          <w:p w14:paraId="3881B4B4" w14:textId="2E9B710D" w:rsidR="00A67569" w:rsidRPr="00A67569" w:rsidRDefault="00A67569">
            <w:pPr>
              <w:rPr>
                <w:rFonts w:ascii="Times" w:hAnsi="Times" w:cs="Calibri"/>
                <w:color w:val="000000"/>
                <w:sz w:val="20"/>
                <w:szCs w:val="20"/>
              </w:rPr>
            </w:pPr>
            <w:r>
              <w:rPr>
                <w:rFonts w:ascii="Times" w:hAnsi="Times" w:cs="Calibri"/>
                <w:color w:val="000000"/>
                <w:sz w:val="20"/>
                <w:szCs w:val="20"/>
              </w:rPr>
              <w:t>CBC</w:t>
            </w:r>
            <w:r w:rsidRPr="00A67569">
              <w:rPr>
                <w:rFonts w:ascii="Times" w:hAnsi="Times" w:cs="Calibri"/>
                <w:color w:val="000000"/>
                <w:sz w:val="20"/>
                <w:szCs w:val="20"/>
              </w:rPr>
              <w:t xml:space="preserve"> w/o diff</w:t>
            </w:r>
          </w:p>
        </w:tc>
      </w:tr>
      <w:tr w:rsidR="00A67569" w:rsidRPr="00A67569" w14:paraId="52DD13E9" w14:textId="77777777" w:rsidTr="00A67569">
        <w:trPr>
          <w:trHeight w:val="320"/>
          <w:jc w:val="center"/>
        </w:trPr>
        <w:tc>
          <w:tcPr>
            <w:tcW w:w="3235" w:type="dxa"/>
            <w:shd w:val="clear" w:color="auto" w:fill="auto"/>
            <w:noWrap/>
            <w:vAlign w:val="bottom"/>
            <w:hideMark/>
          </w:tcPr>
          <w:p w14:paraId="4A0A841B" w14:textId="229D1BFE" w:rsidR="00A67569" w:rsidRPr="00A67569" w:rsidRDefault="00A67569">
            <w:pPr>
              <w:rPr>
                <w:rFonts w:ascii="Times" w:hAnsi="Times" w:cs="Calibri"/>
                <w:color w:val="000000"/>
                <w:sz w:val="20"/>
                <w:szCs w:val="20"/>
              </w:rPr>
            </w:pPr>
            <w:r>
              <w:rPr>
                <w:rFonts w:ascii="Times" w:hAnsi="Times" w:cs="Calibri"/>
                <w:color w:val="000000"/>
                <w:sz w:val="20"/>
                <w:szCs w:val="20"/>
              </w:rPr>
              <w:t>T</w:t>
            </w:r>
            <w:r w:rsidRPr="00A67569">
              <w:rPr>
                <w:rFonts w:ascii="Times" w:hAnsi="Times" w:cs="Calibri"/>
                <w:color w:val="000000"/>
                <w:sz w:val="20"/>
                <w:szCs w:val="20"/>
              </w:rPr>
              <w:t>4, free</w:t>
            </w:r>
          </w:p>
        </w:tc>
        <w:tc>
          <w:tcPr>
            <w:tcW w:w="3600" w:type="dxa"/>
            <w:shd w:val="clear" w:color="auto" w:fill="auto"/>
            <w:noWrap/>
            <w:vAlign w:val="bottom"/>
            <w:hideMark/>
          </w:tcPr>
          <w:p w14:paraId="107AD228" w14:textId="6BCBAA4B" w:rsidR="00A67569" w:rsidRPr="00A67569" w:rsidRDefault="00A67569">
            <w:pPr>
              <w:rPr>
                <w:rFonts w:ascii="Times" w:hAnsi="Times" w:cs="Calibri"/>
                <w:color w:val="000000"/>
                <w:sz w:val="20"/>
                <w:szCs w:val="20"/>
              </w:rPr>
            </w:pPr>
            <w:r>
              <w:rPr>
                <w:rFonts w:ascii="Times" w:hAnsi="Times" w:cs="Calibri"/>
                <w:color w:val="000000"/>
                <w:sz w:val="20"/>
                <w:szCs w:val="20"/>
              </w:rPr>
              <w:t>XR</w:t>
            </w:r>
            <w:r w:rsidRPr="00A67569">
              <w:rPr>
                <w:rFonts w:ascii="Times" w:hAnsi="Times" w:cs="Calibri"/>
                <w:color w:val="000000"/>
                <w:sz w:val="20"/>
                <w:szCs w:val="20"/>
              </w:rPr>
              <w:t xml:space="preserve"> chest 2 views</w:t>
            </w:r>
          </w:p>
        </w:tc>
      </w:tr>
      <w:tr w:rsidR="00A67569" w:rsidRPr="00A67569" w14:paraId="031DA853" w14:textId="77777777" w:rsidTr="00A67569">
        <w:trPr>
          <w:trHeight w:val="320"/>
          <w:jc w:val="center"/>
        </w:trPr>
        <w:tc>
          <w:tcPr>
            <w:tcW w:w="3235" w:type="dxa"/>
            <w:shd w:val="clear" w:color="auto" w:fill="auto"/>
            <w:noWrap/>
            <w:vAlign w:val="bottom"/>
            <w:hideMark/>
          </w:tcPr>
          <w:p w14:paraId="0651A126" w14:textId="54E9C084" w:rsidR="00A67569" w:rsidRPr="00A67569" w:rsidRDefault="00A67569">
            <w:pPr>
              <w:rPr>
                <w:rFonts w:ascii="Times" w:hAnsi="Times" w:cs="Calibri"/>
                <w:color w:val="000000"/>
                <w:sz w:val="20"/>
                <w:szCs w:val="20"/>
              </w:rPr>
            </w:pPr>
            <w:r>
              <w:rPr>
                <w:rFonts w:ascii="Times" w:hAnsi="Times" w:cs="Calibri"/>
                <w:color w:val="000000"/>
                <w:sz w:val="20"/>
                <w:szCs w:val="20"/>
              </w:rPr>
              <w:t>R</w:t>
            </w:r>
            <w:r w:rsidRPr="00A67569">
              <w:rPr>
                <w:rFonts w:ascii="Times" w:hAnsi="Times" w:cs="Calibri"/>
                <w:color w:val="000000"/>
                <w:sz w:val="20"/>
                <w:szCs w:val="20"/>
              </w:rPr>
              <w:t>eferral to neuropsychology</w:t>
            </w:r>
          </w:p>
        </w:tc>
        <w:tc>
          <w:tcPr>
            <w:tcW w:w="3600" w:type="dxa"/>
            <w:shd w:val="clear" w:color="auto" w:fill="auto"/>
            <w:noWrap/>
            <w:vAlign w:val="bottom"/>
            <w:hideMark/>
          </w:tcPr>
          <w:p w14:paraId="049FD792" w14:textId="4DE0E3C4" w:rsidR="00A67569" w:rsidRPr="00A67569" w:rsidRDefault="00A67569">
            <w:pPr>
              <w:rPr>
                <w:rFonts w:ascii="Times" w:hAnsi="Times" w:cs="Calibri"/>
                <w:color w:val="000000"/>
                <w:sz w:val="20"/>
                <w:szCs w:val="20"/>
              </w:rPr>
            </w:pPr>
            <w:r>
              <w:rPr>
                <w:rFonts w:ascii="Times" w:hAnsi="Times" w:cs="Calibri"/>
                <w:color w:val="000000"/>
                <w:sz w:val="20"/>
                <w:szCs w:val="20"/>
              </w:rPr>
              <w:t>C</w:t>
            </w:r>
            <w:r w:rsidRPr="00A67569">
              <w:rPr>
                <w:rFonts w:ascii="Times" w:hAnsi="Times" w:cs="Calibri"/>
                <w:color w:val="000000"/>
                <w:sz w:val="20"/>
                <w:szCs w:val="20"/>
              </w:rPr>
              <w:t>reatinine, serum/plasma</w:t>
            </w:r>
          </w:p>
        </w:tc>
      </w:tr>
      <w:tr w:rsidR="00A67569" w:rsidRPr="00A67569" w14:paraId="340ECCB7" w14:textId="77777777" w:rsidTr="00A67569">
        <w:trPr>
          <w:trHeight w:val="320"/>
          <w:jc w:val="center"/>
        </w:trPr>
        <w:tc>
          <w:tcPr>
            <w:tcW w:w="3235" w:type="dxa"/>
            <w:shd w:val="clear" w:color="auto" w:fill="auto"/>
            <w:noWrap/>
            <w:vAlign w:val="bottom"/>
            <w:hideMark/>
          </w:tcPr>
          <w:p w14:paraId="23CF390B" w14:textId="4D8F5928" w:rsidR="00A67569" w:rsidRPr="00A67569" w:rsidRDefault="00A67569">
            <w:pPr>
              <w:rPr>
                <w:rFonts w:ascii="Times" w:hAnsi="Times" w:cs="Calibri"/>
                <w:color w:val="000000"/>
                <w:sz w:val="20"/>
                <w:szCs w:val="20"/>
              </w:rPr>
            </w:pPr>
            <w:r>
              <w:rPr>
                <w:rFonts w:ascii="Times" w:hAnsi="Times" w:cs="Calibri"/>
                <w:color w:val="000000"/>
                <w:sz w:val="20"/>
                <w:szCs w:val="20"/>
              </w:rPr>
              <w:t>T</w:t>
            </w:r>
            <w:r w:rsidRPr="00A67569">
              <w:rPr>
                <w:rFonts w:ascii="Times" w:hAnsi="Times" w:cs="Calibri"/>
                <w:color w:val="000000"/>
                <w:sz w:val="20"/>
                <w:szCs w:val="20"/>
              </w:rPr>
              <w:t>roponin i</w:t>
            </w:r>
          </w:p>
        </w:tc>
        <w:tc>
          <w:tcPr>
            <w:tcW w:w="3600" w:type="dxa"/>
            <w:shd w:val="clear" w:color="auto" w:fill="auto"/>
            <w:noWrap/>
            <w:vAlign w:val="bottom"/>
            <w:hideMark/>
          </w:tcPr>
          <w:p w14:paraId="5FCC1A03" w14:textId="3B8830EF" w:rsidR="00A67569" w:rsidRPr="00A67569" w:rsidRDefault="00A67569">
            <w:pPr>
              <w:rPr>
                <w:rFonts w:ascii="Times" w:hAnsi="Times" w:cs="Calibri"/>
                <w:color w:val="000000"/>
                <w:sz w:val="20"/>
                <w:szCs w:val="20"/>
              </w:rPr>
            </w:pPr>
            <w:r>
              <w:rPr>
                <w:rFonts w:ascii="Times" w:hAnsi="Times" w:cs="Calibri"/>
                <w:color w:val="000000"/>
                <w:sz w:val="20"/>
                <w:szCs w:val="20"/>
              </w:rPr>
              <w:t>ECG</w:t>
            </w:r>
            <w:r w:rsidRPr="00A67569">
              <w:rPr>
                <w:rFonts w:ascii="Times" w:hAnsi="Times" w:cs="Calibri"/>
                <w:color w:val="000000"/>
                <w:sz w:val="20"/>
                <w:szCs w:val="20"/>
              </w:rPr>
              <w:t xml:space="preserve"> 12-lead</w:t>
            </w:r>
          </w:p>
        </w:tc>
      </w:tr>
      <w:tr w:rsidR="00A67569" w:rsidRPr="00A67569" w14:paraId="44A48B8F" w14:textId="77777777" w:rsidTr="00A67569">
        <w:trPr>
          <w:trHeight w:val="320"/>
          <w:jc w:val="center"/>
        </w:trPr>
        <w:tc>
          <w:tcPr>
            <w:tcW w:w="3235" w:type="dxa"/>
            <w:shd w:val="clear" w:color="auto" w:fill="auto"/>
            <w:noWrap/>
            <w:vAlign w:val="bottom"/>
            <w:hideMark/>
          </w:tcPr>
          <w:p w14:paraId="36D06A56" w14:textId="1C27B878" w:rsidR="00A67569" w:rsidRPr="00A67569" w:rsidRDefault="00A67569">
            <w:pPr>
              <w:rPr>
                <w:rFonts w:ascii="Times" w:hAnsi="Times" w:cs="Calibri"/>
                <w:color w:val="000000"/>
                <w:sz w:val="20"/>
                <w:szCs w:val="20"/>
              </w:rPr>
            </w:pPr>
            <w:r>
              <w:rPr>
                <w:rFonts w:ascii="Times" w:hAnsi="Times" w:cs="Calibri"/>
                <w:color w:val="000000"/>
                <w:sz w:val="20"/>
                <w:szCs w:val="20"/>
              </w:rPr>
              <w:t>TSH</w:t>
            </w:r>
          </w:p>
        </w:tc>
        <w:tc>
          <w:tcPr>
            <w:tcW w:w="3600" w:type="dxa"/>
            <w:shd w:val="clear" w:color="auto" w:fill="auto"/>
            <w:noWrap/>
            <w:vAlign w:val="bottom"/>
            <w:hideMark/>
          </w:tcPr>
          <w:p w14:paraId="748C479F" w14:textId="288E0A2B" w:rsidR="00A67569" w:rsidRPr="00A67569" w:rsidRDefault="00A67569">
            <w:pPr>
              <w:rPr>
                <w:rFonts w:ascii="Times" w:hAnsi="Times" w:cs="Calibri"/>
                <w:color w:val="000000"/>
                <w:sz w:val="20"/>
                <w:szCs w:val="20"/>
              </w:rPr>
            </w:pPr>
            <w:r>
              <w:rPr>
                <w:rFonts w:ascii="Times" w:hAnsi="Times" w:cs="Calibri"/>
                <w:color w:val="000000"/>
                <w:sz w:val="20"/>
                <w:szCs w:val="20"/>
              </w:rPr>
              <w:t>E</w:t>
            </w:r>
            <w:r w:rsidRPr="00A67569">
              <w:rPr>
                <w:rFonts w:ascii="Times" w:hAnsi="Times" w:cs="Calibri"/>
                <w:color w:val="000000"/>
                <w:sz w:val="20"/>
                <w:szCs w:val="20"/>
              </w:rPr>
              <w:t>cho - transthoracic echo</w:t>
            </w:r>
          </w:p>
        </w:tc>
      </w:tr>
      <w:tr w:rsidR="00A67569" w:rsidRPr="00A67569" w14:paraId="0CF52A10" w14:textId="77777777" w:rsidTr="00A67569">
        <w:trPr>
          <w:trHeight w:val="320"/>
          <w:jc w:val="center"/>
        </w:trPr>
        <w:tc>
          <w:tcPr>
            <w:tcW w:w="3235" w:type="dxa"/>
            <w:shd w:val="clear" w:color="auto" w:fill="auto"/>
            <w:noWrap/>
            <w:vAlign w:val="bottom"/>
            <w:hideMark/>
          </w:tcPr>
          <w:p w14:paraId="778ABCE5" w14:textId="39089148" w:rsidR="00A67569" w:rsidRPr="00A67569" w:rsidRDefault="00A67569">
            <w:pPr>
              <w:rPr>
                <w:rFonts w:ascii="Times" w:hAnsi="Times" w:cs="Calibri"/>
                <w:color w:val="000000"/>
                <w:sz w:val="20"/>
                <w:szCs w:val="20"/>
              </w:rPr>
            </w:pPr>
            <w:r>
              <w:rPr>
                <w:rFonts w:ascii="Times" w:hAnsi="Times" w:cs="Calibri"/>
                <w:color w:val="000000"/>
                <w:sz w:val="20"/>
                <w:szCs w:val="20"/>
              </w:rPr>
              <w:t>U</w:t>
            </w:r>
            <w:r w:rsidRPr="00A67569">
              <w:rPr>
                <w:rFonts w:ascii="Times" w:hAnsi="Times" w:cs="Calibri"/>
                <w:color w:val="000000"/>
                <w:sz w:val="20"/>
                <w:szCs w:val="20"/>
              </w:rPr>
              <w:t>rinalysis, complete</w:t>
            </w:r>
          </w:p>
        </w:tc>
        <w:tc>
          <w:tcPr>
            <w:tcW w:w="3600" w:type="dxa"/>
            <w:shd w:val="clear" w:color="auto" w:fill="auto"/>
            <w:noWrap/>
            <w:vAlign w:val="bottom"/>
            <w:hideMark/>
          </w:tcPr>
          <w:p w14:paraId="207D9621" w14:textId="3D12EBB5" w:rsidR="00A67569" w:rsidRPr="00A67569" w:rsidRDefault="00A67569">
            <w:pPr>
              <w:rPr>
                <w:rFonts w:ascii="Times" w:hAnsi="Times" w:cs="Calibri"/>
                <w:color w:val="000000"/>
                <w:sz w:val="20"/>
                <w:szCs w:val="20"/>
              </w:rPr>
            </w:pPr>
            <w:r>
              <w:rPr>
                <w:rFonts w:ascii="Times" w:hAnsi="Times" w:cs="Calibri"/>
                <w:color w:val="000000"/>
                <w:sz w:val="20"/>
                <w:szCs w:val="20"/>
              </w:rPr>
              <w:t>F</w:t>
            </w:r>
            <w:r w:rsidRPr="00A67569">
              <w:rPr>
                <w:rFonts w:ascii="Times" w:hAnsi="Times" w:cs="Calibri"/>
                <w:color w:val="000000"/>
                <w:sz w:val="20"/>
                <w:szCs w:val="20"/>
              </w:rPr>
              <w:t>erritin</w:t>
            </w:r>
          </w:p>
        </w:tc>
      </w:tr>
    </w:tbl>
    <w:p w14:paraId="7049CB0D" w14:textId="77D056FC" w:rsidR="00A67569" w:rsidRDefault="00A67569" w:rsidP="000D6B2D">
      <w:pPr>
        <w:spacing w:after="2"/>
        <w:ind w:left="-5"/>
        <w:jc w:val="center"/>
        <w:rPr>
          <w:sz w:val="20"/>
          <w:szCs w:val="20"/>
        </w:rPr>
      </w:pPr>
    </w:p>
    <w:p w14:paraId="0EA602CD" w14:textId="11C632B0" w:rsidR="00A67569" w:rsidRDefault="00A67569" w:rsidP="000D6B2D">
      <w:pPr>
        <w:spacing w:after="2"/>
        <w:ind w:left="-5"/>
        <w:jc w:val="center"/>
        <w:rPr>
          <w:sz w:val="20"/>
          <w:szCs w:val="20"/>
        </w:rPr>
      </w:pPr>
    </w:p>
    <w:p w14:paraId="7B9356F6" w14:textId="77777777" w:rsidR="00A67569" w:rsidRDefault="00A67569" w:rsidP="000D6B2D">
      <w:pPr>
        <w:spacing w:after="2"/>
        <w:ind w:left="-5"/>
        <w:jc w:val="center"/>
        <w:rPr>
          <w:sz w:val="20"/>
          <w:szCs w:val="20"/>
        </w:rPr>
      </w:pPr>
    </w:p>
    <w:p w14:paraId="3FAD5630" w14:textId="77777777" w:rsidR="00A67569" w:rsidRPr="00A45BAD" w:rsidRDefault="00A67569" w:rsidP="000D6B2D">
      <w:pPr>
        <w:spacing w:after="2"/>
        <w:ind w:left="-5"/>
        <w:jc w:val="center"/>
        <w:rPr>
          <w:sz w:val="20"/>
          <w:szCs w:val="20"/>
        </w:rPr>
      </w:pPr>
    </w:p>
    <w:p w14:paraId="6AD6E22F" w14:textId="50B011DF" w:rsidR="009A1CB9" w:rsidRPr="00A45BAD" w:rsidRDefault="009A1CB9" w:rsidP="00FF1D24">
      <w:pPr>
        <w:spacing w:after="2"/>
        <w:rPr>
          <w:sz w:val="20"/>
          <w:szCs w:val="20"/>
        </w:rPr>
      </w:pPr>
    </w:p>
    <w:p w14:paraId="0DAA67F7" w14:textId="5D631AF0" w:rsidR="009A1CB9" w:rsidRPr="00A45BAD" w:rsidRDefault="009A1CB9" w:rsidP="000D6B2D">
      <w:pPr>
        <w:spacing w:after="2"/>
        <w:ind w:left="-5"/>
        <w:jc w:val="center"/>
        <w:rPr>
          <w:sz w:val="20"/>
          <w:szCs w:val="20"/>
        </w:rPr>
      </w:pPr>
    </w:p>
    <w:p w14:paraId="497E6D53" w14:textId="77777777" w:rsidR="000D6B2D" w:rsidRPr="00A45BAD" w:rsidRDefault="000D6B2D" w:rsidP="00D809F0">
      <w:pPr>
        <w:spacing w:after="2"/>
        <w:rPr>
          <w:sz w:val="20"/>
          <w:szCs w:val="20"/>
        </w:rPr>
      </w:pPr>
    </w:p>
    <w:p w14:paraId="73AEB202" w14:textId="31253C25" w:rsidR="00D67258" w:rsidRPr="00A45BAD" w:rsidRDefault="00820F03" w:rsidP="00897F2D">
      <w:pPr>
        <w:pStyle w:val="Heading1"/>
        <w:ind w:left="-5"/>
        <w:rPr>
          <w:rFonts w:ascii="Times New Roman" w:hAnsi="Times New Roman" w:cs="Times New Roman"/>
          <w:b/>
          <w:bCs/>
          <w:szCs w:val="20"/>
        </w:rPr>
      </w:pPr>
      <w:r w:rsidRPr="00A45BAD">
        <w:rPr>
          <w:rFonts w:ascii="Times New Roman" w:hAnsi="Times New Roman" w:cs="Times New Roman"/>
          <w:b/>
          <w:bCs/>
          <w:szCs w:val="20"/>
        </w:rPr>
        <w:lastRenderedPageBreak/>
        <w:t>Experimental Results</w:t>
      </w:r>
    </w:p>
    <w:p w14:paraId="2D312308" w14:textId="0BC2D36C" w:rsidR="0024093A" w:rsidRPr="00A45BAD" w:rsidRDefault="00CD4F57" w:rsidP="007D650D">
      <w:pPr>
        <w:pStyle w:val="AMIABodyText"/>
      </w:pPr>
      <w:r w:rsidRPr="00A45BAD">
        <w:t xml:space="preserve">Table </w:t>
      </w:r>
      <w:r w:rsidR="003735A4">
        <w:t>4</w:t>
      </w:r>
      <w:r w:rsidRPr="00A45BAD">
        <w:t xml:space="preserve"> shows the MCI prediction results </w:t>
      </w:r>
      <w:r w:rsidR="006A4A51">
        <w:t xml:space="preserve">at </w:t>
      </w:r>
      <w:r w:rsidRPr="00A45BAD">
        <w:t xml:space="preserve">one year before the disease onset using logistic regression, random forest </w:t>
      </w:r>
      <w:r w:rsidR="003735A4">
        <w:t xml:space="preserve">and xgboost </w:t>
      </w:r>
      <w:r w:rsidRPr="00A45BAD">
        <w:t>model</w:t>
      </w:r>
      <w:r w:rsidR="003735A4">
        <w:t>s</w:t>
      </w:r>
      <w:r w:rsidRPr="00A45BAD">
        <w:t xml:space="preserve">. </w:t>
      </w:r>
      <w:r w:rsidR="004750BB">
        <w:t>The</w:t>
      </w:r>
      <w:r w:rsidR="00C349EE" w:rsidRPr="00A45BAD">
        <w:t xml:space="preserve"> </w:t>
      </w:r>
      <w:r w:rsidR="006A4A51">
        <w:t>xgboost</w:t>
      </w:r>
      <w:r w:rsidR="00C349EE" w:rsidRPr="00A45BAD">
        <w:t xml:space="preserve"> model has a slightly higher AUC (=0.</w:t>
      </w:r>
      <w:r w:rsidR="004545E2">
        <w:t>683</w:t>
      </w:r>
      <w:r w:rsidR="00C349EE" w:rsidRPr="00A45BAD">
        <w:t>) than random forest and logistic regression on the test set.</w:t>
      </w:r>
      <w:r w:rsidR="004545E2">
        <w:t xml:space="preserve"> </w:t>
      </w:r>
      <w:r w:rsidR="005C1E37">
        <w:t xml:space="preserve">The recall for </w:t>
      </w:r>
      <w:r w:rsidR="006A4A51">
        <w:t>this</w:t>
      </w:r>
      <w:r w:rsidR="005C1E37">
        <w:t xml:space="preserve"> model is 0.733</w:t>
      </w:r>
      <w:r w:rsidR="006A4A51">
        <w:t>,</w:t>
      </w:r>
      <w:r w:rsidR="005C1E37">
        <w:t xml:space="preserve"> showing that </w:t>
      </w:r>
      <w:r w:rsidR="006A4A51">
        <w:t>xgboost</w:t>
      </w:r>
      <w:r w:rsidR="005C1E37">
        <w:t xml:space="preserve"> could </w:t>
      </w:r>
      <w:r w:rsidR="006A4A51">
        <w:t>correctly detect and predict</w:t>
      </w:r>
      <w:r w:rsidR="005C1E37">
        <w:t xml:space="preserve"> majority of MCI patients in the test set</w:t>
      </w:r>
      <w:r w:rsidR="006A4A51">
        <w:t xml:space="preserve"> at one year before the disease onset</w:t>
      </w:r>
      <w:r w:rsidR="005C1E37">
        <w:t xml:space="preserve">. </w:t>
      </w:r>
      <w:r w:rsidR="007D1FC2">
        <w:t xml:space="preserve">However, precision </w:t>
      </w:r>
      <w:r w:rsidR="006A4A51">
        <w:t xml:space="preserve">scores </w:t>
      </w:r>
      <w:r w:rsidR="007D1FC2">
        <w:t>for</w:t>
      </w:r>
      <w:r w:rsidR="006A4A51">
        <w:t xml:space="preserve"> the</w:t>
      </w:r>
      <w:r w:rsidR="007D1FC2">
        <w:t xml:space="preserve"> xgboost and the other two models </w:t>
      </w:r>
      <w:r w:rsidR="006A4A51">
        <w:t>are</w:t>
      </w:r>
      <w:r w:rsidR="007D1FC2">
        <w:t xml:space="preserve"> significantly </w:t>
      </w:r>
      <w:r w:rsidR="006A4A51">
        <w:t>low. This</w:t>
      </w:r>
      <w:r w:rsidR="007D1FC2">
        <w:t xml:space="preserve"> is </w:t>
      </w:r>
      <w:r w:rsidR="006A4A51">
        <w:t xml:space="preserve">expected and </w:t>
      </w:r>
      <w:r w:rsidR="007D1FC2">
        <w:t>because of the high control/case ratio in our test set (</w:t>
      </w:r>
      <w:r w:rsidR="004545E2">
        <w:t xml:space="preserve">control/case ratio </w:t>
      </w:r>
      <w:r w:rsidR="007D1FC2">
        <w:t xml:space="preserve">in the test set is </w:t>
      </w:r>
      <w:r w:rsidR="004545E2">
        <w:t>over 65</w:t>
      </w:r>
      <w:r w:rsidR="007D1FC2">
        <w:t>)</w:t>
      </w:r>
      <w:r w:rsidR="004545E2">
        <w:t xml:space="preserve">. </w:t>
      </w:r>
      <w:r w:rsidR="006A4A51">
        <w:t xml:space="preserve">Precision on a balanced unseen test set including 1,227 </w:t>
      </w:r>
      <w:r w:rsidR="000A2F7A">
        <w:t xml:space="preserve">cases and 1214 controls </w:t>
      </w:r>
      <w:r w:rsidR="006A4A51">
        <w:t>for logistic regression, random forest and xgboost were 0.722, 0.762 and 0.780 respectively.</w:t>
      </w:r>
      <w:r w:rsidR="000A2F7A">
        <w:t xml:space="preserve"> </w:t>
      </w:r>
      <w:r w:rsidR="007D1FC2">
        <w:t>All in all, both xgboost and random forest models have reasonably high ROCAUC</w:t>
      </w:r>
      <w:r w:rsidR="00F545DB">
        <w:t>,</w:t>
      </w:r>
      <w:r w:rsidR="007D1FC2">
        <w:t xml:space="preserve"> which means the</w:t>
      </w:r>
      <w:r w:rsidR="00F545DB">
        <w:t>se</w:t>
      </w:r>
      <w:r w:rsidR="007D1FC2">
        <w:t xml:space="preserve"> models are flexible and adjustable based on clinic care settings. They also perform well in detecting majority of patients at the risk of MCI one year before the </w:t>
      </w:r>
      <w:r w:rsidR="00F545DB">
        <w:t>disease</w:t>
      </w:r>
      <w:r w:rsidR="007D1FC2">
        <w:t xml:space="preserve"> onset. </w:t>
      </w:r>
    </w:p>
    <w:p w14:paraId="0096A02E" w14:textId="1E716C82" w:rsidR="00D67258" w:rsidRPr="00A45BAD" w:rsidRDefault="00D67258" w:rsidP="00917D05">
      <w:pPr>
        <w:spacing w:after="2"/>
        <w:rPr>
          <w:sz w:val="20"/>
          <w:szCs w:val="20"/>
        </w:rPr>
      </w:pPr>
    </w:p>
    <w:p w14:paraId="0EF3DE93" w14:textId="70C63572" w:rsidR="00667DA9" w:rsidRPr="00A45BAD" w:rsidRDefault="00820F03" w:rsidP="00F60DFD">
      <w:pPr>
        <w:spacing w:after="2"/>
        <w:ind w:left="-5"/>
        <w:jc w:val="center"/>
        <w:rPr>
          <w:sz w:val="20"/>
          <w:szCs w:val="20"/>
        </w:rPr>
      </w:pPr>
      <w:r w:rsidRPr="00A45BAD">
        <w:rPr>
          <w:b/>
          <w:bCs/>
          <w:sz w:val="20"/>
          <w:szCs w:val="20"/>
        </w:rPr>
        <w:t xml:space="preserve">Table </w:t>
      </w:r>
      <w:r w:rsidR="001F04D5">
        <w:rPr>
          <w:b/>
          <w:bCs/>
          <w:sz w:val="20"/>
          <w:szCs w:val="20"/>
        </w:rPr>
        <w:t>4</w:t>
      </w:r>
      <w:r w:rsidR="00E75F8B" w:rsidRPr="00A45BAD">
        <w:rPr>
          <w:b/>
          <w:bCs/>
          <w:sz w:val="20"/>
          <w:szCs w:val="20"/>
        </w:rPr>
        <w:t>.</w:t>
      </w:r>
      <w:r w:rsidRPr="00A45BAD">
        <w:rPr>
          <w:sz w:val="20"/>
          <w:szCs w:val="20"/>
        </w:rPr>
        <w:t xml:space="preserve"> Performance of </w:t>
      </w:r>
      <w:r w:rsidR="00F60DFD" w:rsidRPr="00A45BAD">
        <w:rPr>
          <w:sz w:val="20"/>
          <w:szCs w:val="20"/>
        </w:rPr>
        <w:t>MCI</w:t>
      </w:r>
      <w:r w:rsidRPr="00A45BAD">
        <w:rPr>
          <w:sz w:val="20"/>
          <w:szCs w:val="20"/>
        </w:rPr>
        <w:t xml:space="preserve"> </w:t>
      </w:r>
      <w:r w:rsidR="00F60DFD" w:rsidRPr="00A45BAD">
        <w:rPr>
          <w:sz w:val="20"/>
          <w:szCs w:val="20"/>
        </w:rPr>
        <w:t>prediction</w:t>
      </w:r>
      <w:r w:rsidRPr="00A45BAD">
        <w:rPr>
          <w:sz w:val="20"/>
          <w:szCs w:val="20"/>
        </w:rPr>
        <w:t xml:space="preserve"> using </w:t>
      </w:r>
      <w:r w:rsidR="00F60DFD" w:rsidRPr="00A45BAD">
        <w:rPr>
          <w:sz w:val="20"/>
          <w:szCs w:val="20"/>
        </w:rPr>
        <w:t>machine learning</w:t>
      </w:r>
      <w:r w:rsidR="00D67258" w:rsidRPr="00A45BAD">
        <w:rPr>
          <w:sz w:val="20"/>
          <w:szCs w:val="20"/>
        </w:rPr>
        <w:t xml:space="preserve"> on unseen test sets</w:t>
      </w:r>
      <w:r w:rsidRPr="00A45BAD">
        <w:rPr>
          <w:sz w:val="20"/>
          <w:szCs w:val="20"/>
        </w:rPr>
        <w:t>.</w:t>
      </w:r>
      <w:r w:rsidR="0020757E" w:rsidRPr="00A45BAD">
        <w:rPr>
          <w:sz w:val="20"/>
          <w:szCs w:val="20"/>
        </w:rPr>
        <w:t xml:space="preserve"> </w:t>
      </w:r>
    </w:p>
    <w:tbl>
      <w:tblPr>
        <w:tblStyle w:val="TableGrid"/>
        <w:tblW w:w="500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3" w:type="dxa"/>
          <w:right w:w="115" w:type="dxa"/>
        </w:tblCellMar>
        <w:tblLook w:val="04A0" w:firstRow="1" w:lastRow="0" w:firstColumn="1" w:lastColumn="0" w:noHBand="0" w:noVBand="1"/>
      </w:tblPr>
      <w:tblGrid>
        <w:gridCol w:w="1869"/>
        <w:gridCol w:w="904"/>
        <w:gridCol w:w="706"/>
        <w:gridCol w:w="900"/>
        <w:gridCol w:w="630"/>
      </w:tblGrid>
      <w:tr w:rsidR="00117EC7" w:rsidRPr="00A45BAD" w14:paraId="5B2143BF" w14:textId="77777777" w:rsidTr="00117EC7">
        <w:trPr>
          <w:trHeight w:val="235"/>
          <w:jc w:val="center"/>
        </w:trPr>
        <w:tc>
          <w:tcPr>
            <w:tcW w:w="1869" w:type="dxa"/>
          </w:tcPr>
          <w:p w14:paraId="3CAE5710" w14:textId="77777777" w:rsidR="00117EC7" w:rsidRPr="00A45BAD" w:rsidRDefault="00117EC7">
            <w:pPr>
              <w:spacing w:line="259" w:lineRule="auto"/>
              <w:ind w:left="120"/>
              <w:rPr>
                <w:b/>
                <w:bCs/>
                <w:sz w:val="20"/>
                <w:szCs w:val="20"/>
              </w:rPr>
            </w:pPr>
            <w:r w:rsidRPr="00A45BAD">
              <w:rPr>
                <w:b/>
                <w:bCs/>
                <w:sz w:val="20"/>
                <w:szCs w:val="20"/>
              </w:rPr>
              <w:t>Model</w:t>
            </w:r>
          </w:p>
        </w:tc>
        <w:tc>
          <w:tcPr>
            <w:tcW w:w="904" w:type="dxa"/>
          </w:tcPr>
          <w:p w14:paraId="771B8ADB" w14:textId="1138E04D" w:rsidR="00117EC7" w:rsidRPr="00A45BAD" w:rsidRDefault="00117EC7">
            <w:pPr>
              <w:spacing w:line="259" w:lineRule="auto"/>
              <w:rPr>
                <w:b/>
                <w:bCs/>
                <w:sz w:val="20"/>
                <w:szCs w:val="20"/>
              </w:rPr>
            </w:pPr>
            <w:r w:rsidRPr="00A45BAD">
              <w:rPr>
                <w:b/>
                <w:bCs/>
                <w:sz w:val="20"/>
                <w:szCs w:val="20"/>
              </w:rPr>
              <w:t>Precision</w:t>
            </w:r>
          </w:p>
        </w:tc>
        <w:tc>
          <w:tcPr>
            <w:tcW w:w="706" w:type="dxa"/>
          </w:tcPr>
          <w:p w14:paraId="76AADD6E" w14:textId="471F7F1F" w:rsidR="00117EC7" w:rsidRPr="00A45BAD" w:rsidRDefault="00117EC7">
            <w:pPr>
              <w:spacing w:line="259" w:lineRule="auto"/>
              <w:rPr>
                <w:b/>
                <w:bCs/>
                <w:sz w:val="20"/>
                <w:szCs w:val="20"/>
              </w:rPr>
            </w:pPr>
            <w:r w:rsidRPr="00A45BAD">
              <w:rPr>
                <w:b/>
                <w:bCs/>
                <w:sz w:val="20"/>
                <w:szCs w:val="20"/>
              </w:rPr>
              <w:t>Recall</w:t>
            </w:r>
          </w:p>
        </w:tc>
        <w:tc>
          <w:tcPr>
            <w:tcW w:w="900" w:type="dxa"/>
          </w:tcPr>
          <w:p w14:paraId="13FDB821" w14:textId="77777777" w:rsidR="00117EC7" w:rsidRPr="00A45BAD" w:rsidRDefault="00117EC7">
            <w:pPr>
              <w:spacing w:line="259" w:lineRule="auto"/>
              <w:rPr>
                <w:b/>
                <w:bCs/>
                <w:sz w:val="20"/>
                <w:szCs w:val="20"/>
              </w:rPr>
            </w:pPr>
            <w:r w:rsidRPr="00A45BAD">
              <w:rPr>
                <w:b/>
                <w:bCs/>
                <w:sz w:val="20"/>
                <w:szCs w:val="20"/>
              </w:rPr>
              <w:t>F1-score</w:t>
            </w:r>
          </w:p>
        </w:tc>
        <w:tc>
          <w:tcPr>
            <w:tcW w:w="630" w:type="dxa"/>
          </w:tcPr>
          <w:p w14:paraId="078D8483" w14:textId="77777777" w:rsidR="00117EC7" w:rsidRPr="00A45BAD" w:rsidRDefault="00117EC7">
            <w:pPr>
              <w:spacing w:line="259" w:lineRule="auto"/>
              <w:rPr>
                <w:b/>
                <w:bCs/>
                <w:sz w:val="20"/>
                <w:szCs w:val="20"/>
              </w:rPr>
            </w:pPr>
            <w:r w:rsidRPr="00A45BAD">
              <w:rPr>
                <w:b/>
                <w:bCs/>
                <w:sz w:val="20"/>
                <w:szCs w:val="20"/>
              </w:rPr>
              <w:t>AUC</w:t>
            </w:r>
          </w:p>
        </w:tc>
      </w:tr>
      <w:tr w:rsidR="00117EC7" w:rsidRPr="00A45BAD" w14:paraId="095E7544" w14:textId="77777777" w:rsidTr="00117EC7">
        <w:trPr>
          <w:trHeight w:val="339"/>
          <w:jc w:val="center"/>
        </w:trPr>
        <w:tc>
          <w:tcPr>
            <w:tcW w:w="1869" w:type="dxa"/>
          </w:tcPr>
          <w:p w14:paraId="2630CC08" w14:textId="0D9DEE6A" w:rsidR="00117EC7" w:rsidRPr="00A45BAD" w:rsidRDefault="00117EC7" w:rsidP="00C937A5">
            <w:pPr>
              <w:tabs>
                <w:tab w:val="center" w:pos="978"/>
              </w:tabs>
              <w:spacing w:line="259" w:lineRule="auto"/>
              <w:ind w:left="120"/>
              <w:rPr>
                <w:sz w:val="20"/>
                <w:szCs w:val="20"/>
              </w:rPr>
            </w:pPr>
            <w:r w:rsidRPr="00A45BAD">
              <w:rPr>
                <w:sz w:val="20"/>
                <w:szCs w:val="20"/>
              </w:rPr>
              <w:t>Logistic Regression</w:t>
            </w:r>
          </w:p>
        </w:tc>
        <w:tc>
          <w:tcPr>
            <w:tcW w:w="904" w:type="dxa"/>
          </w:tcPr>
          <w:p w14:paraId="39C1B289" w14:textId="50D8836E" w:rsidR="00117EC7" w:rsidRPr="00A45BAD" w:rsidRDefault="00117EC7">
            <w:pPr>
              <w:spacing w:line="259" w:lineRule="auto"/>
              <w:rPr>
                <w:sz w:val="20"/>
                <w:szCs w:val="20"/>
              </w:rPr>
            </w:pPr>
            <w:r w:rsidRPr="00A45BAD">
              <w:rPr>
                <w:sz w:val="20"/>
                <w:szCs w:val="20"/>
              </w:rPr>
              <w:t>0.023</w:t>
            </w:r>
          </w:p>
        </w:tc>
        <w:tc>
          <w:tcPr>
            <w:tcW w:w="706" w:type="dxa"/>
          </w:tcPr>
          <w:p w14:paraId="56EB1161" w14:textId="5367DAF9" w:rsidR="00117EC7" w:rsidRPr="00A45BAD" w:rsidRDefault="00117EC7">
            <w:pPr>
              <w:spacing w:line="259" w:lineRule="auto"/>
              <w:rPr>
                <w:sz w:val="20"/>
                <w:szCs w:val="20"/>
              </w:rPr>
            </w:pPr>
            <w:r w:rsidRPr="00A45BAD">
              <w:rPr>
                <w:sz w:val="20"/>
                <w:szCs w:val="20"/>
              </w:rPr>
              <w:t>0.636</w:t>
            </w:r>
          </w:p>
        </w:tc>
        <w:tc>
          <w:tcPr>
            <w:tcW w:w="900" w:type="dxa"/>
          </w:tcPr>
          <w:p w14:paraId="13068764" w14:textId="5248570D" w:rsidR="00117EC7" w:rsidRPr="00A45BAD" w:rsidRDefault="00117EC7">
            <w:pPr>
              <w:spacing w:line="259" w:lineRule="auto"/>
              <w:rPr>
                <w:sz w:val="20"/>
                <w:szCs w:val="20"/>
              </w:rPr>
            </w:pPr>
            <w:r w:rsidRPr="00A45BAD">
              <w:rPr>
                <w:sz w:val="20"/>
                <w:szCs w:val="20"/>
              </w:rPr>
              <w:t>0.045</w:t>
            </w:r>
          </w:p>
        </w:tc>
        <w:tc>
          <w:tcPr>
            <w:tcW w:w="630" w:type="dxa"/>
          </w:tcPr>
          <w:p w14:paraId="7C84AFF0" w14:textId="6A0F58EA" w:rsidR="00117EC7" w:rsidRPr="00A45BAD" w:rsidRDefault="00117EC7">
            <w:pPr>
              <w:spacing w:line="259" w:lineRule="auto"/>
              <w:rPr>
                <w:sz w:val="20"/>
                <w:szCs w:val="20"/>
              </w:rPr>
            </w:pPr>
            <w:r w:rsidRPr="00A45BAD">
              <w:rPr>
                <w:sz w:val="20"/>
                <w:szCs w:val="20"/>
              </w:rPr>
              <w:t>0.676</w:t>
            </w:r>
          </w:p>
        </w:tc>
      </w:tr>
      <w:tr w:rsidR="00117EC7" w:rsidRPr="00A45BAD" w14:paraId="6BE92F3E" w14:textId="77777777" w:rsidTr="00117EC7">
        <w:trPr>
          <w:trHeight w:val="339"/>
          <w:jc w:val="center"/>
        </w:trPr>
        <w:tc>
          <w:tcPr>
            <w:tcW w:w="1869" w:type="dxa"/>
          </w:tcPr>
          <w:p w14:paraId="615C1652" w14:textId="0C7DE23D" w:rsidR="00117EC7" w:rsidRPr="00A45BAD" w:rsidRDefault="00117EC7">
            <w:pPr>
              <w:spacing w:line="259" w:lineRule="auto"/>
              <w:ind w:left="120"/>
              <w:rPr>
                <w:sz w:val="20"/>
                <w:szCs w:val="20"/>
              </w:rPr>
            </w:pPr>
            <w:r w:rsidRPr="00A45BAD">
              <w:rPr>
                <w:sz w:val="20"/>
                <w:szCs w:val="20"/>
              </w:rPr>
              <w:t>Random Forest</w:t>
            </w:r>
          </w:p>
        </w:tc>
        <w:tc>
          <w:tcPr>
            <w:tcW w:w="904" w:type="dxa"/>
          </w:tcPr>
          <w:p w14:paraId="09D54331" w14:textId="5B0D3FD5" w:rsidR="00117EC7" w:rsidRPr="00A45BAD" w:rsidRDefault="00117EC7">
            <w:pPr>
              <w:spacing w:line="259" w:lineRule="auto"/>
              <w:rPr>
                <w:sz w:val="20"/>
                <w:szCs w:val="20"/>
              </w:rPr>
            </w:pPr>
            <w:r w:rsidRPr="00A45BAD">
              <w:rPr>
                <w:sz w:val="20"/>
                <w:szCs w:val="20"/>
              </w:rPr>
              <w:t>0.020</w:t>
            </w:r>
          </w:p>
        </w:tc>
        <w:tc>
          <w:tcPr>
            <w:tcW w:w="706" w:type="dxa"/>
          </w:tcPr>
          <w:p w14:paraId="557F741C" w14:textId="7182D132" w:rsidR="00117EC7" w:rsidRPr="00A45BAD" w:rsidRDefault="00117EC7">
            <w:pPr>
              <w:spacing w:line="259" w:lineRule="auto"/>
              <w:rPr>
                <w:sz w:val="20"/>
                <w:szCs w:val="20"/>
              </w:rPr>
            </w:pPr>
            <w:r w:rsidRPr="00A45BAD">
              <w:rPr>
                <w:sz w:val="20"/>
                <w:szCs w:val="20"/>
              </w:rPr>
              <w:t>0.743</w:t>
            </w:r>
          </w:p>
        </w:tc>
        <w:tc>
          <w:tcPr>
            <w:tcW w:w="900" w:type="dxa"/>
          </w:tcPr>
          <w:p w14:paraId="159630B0" w14:textId="42A066CC" w:rsidR="00117EC7" w:rsidRPr="00A45BAD" w:rsidRDefault="00117EC7">
            <w:pPr>
              <w:spacing w:line="259" w:lineRule="auto"/>
              <w:rPr>
                <w:sz w:val="20"/>
                <w:szCs w:val="20"/>
              </w:rPr>
            </w:pPr>
            <w:r w:rsidRPr="00A45BAD">
              <w:rPr>
                <w:sz w:val="20"/>
                <w:szCs w:val="20"/>
              </w:rPr>
              <w:t>0.040</w:t>
            </w:r>
          </w:p>
        </w:tc>
        <w:tc>
          <w:tcPr>
            <w:tcW w:w="630" w:type="dxa"/>
          </w:tcPr>
          <w:p w14:paraId="3DD69399" w14:textId="6D841756" w:rsidR="00117EC7" w:rsidRPr="00A45BAD" w:rsidRDefault="00117EC7">
            <w:pPr>
              <w:spacing w:line="259" w:lineRule="auto"/>
              <w:rPr>
                <w:sz w:val="20"/>
                <w:szCs w:val="20"/>
              </w:rPr>
            </w:pPr>
            <w:r w:rsidRPr="00A45BAD">
              <w:rPr>
                <w:sz w:val="20"/>
                <w:szCs w:val="20"/>
              </w:rPr>
              <w:t>0.680</w:t>
            </w:r>
          </w:p>
        </w:tc>
      </w:tr>
      <w:tr w:rsidR="00117EC7" w:rsidRPr="00A45BAD" w14:paraId="1BE77E84" w14:textId="77777777" w:rsidTr="00117EC7">
        <w:trPr>
          <w:trHeight w:val="339"/>
          <w:jc w:val="center"/>
        </w:trPr>
        <w:tc>
          <w:tcPr>
            <w:tcW w:w="1869" w:type="dxa"/>
          </w:tcPr>
          <w:p w14:paraId="29458934" w14:textId="48A69F7B" w:rsidR="00117EC7" w:rsidRPr="00A45BAD" w:rsidRDefault="00117EC7" w:rsidP="0008418D">
            <w:pPr>
              <w:spacing w:line="259" w:lineRule="auto"/>
              <w:ind w:left="120"/>
              <w:rPr>
                <w:sz w:val="20"/>
                <w:szCs w:val="20"/>
              </w:rPr>
            </w:pPr>
            <w:r w:rsidRPr="00A45BAD">
              <w:rPr>
                <w:sz w:val="20"/>
                <w:szCs w:val="20"/>
              </w:rPr>
              <w:t>XGBoost</w:t>
            </w:r>
          </w:p>
        </w:tc>
        <w:tc>
          <w:tcPr>
            <w:tcW w:w="904" w:type="dxa"/>
          </w:tcPr>
          <w:p w14:paraId="1DA8993C" w14:textId="5939D71A" w:rsidR="00117EC7" w:rsidRPr="00A45BAD" w:rsidRDefault="00117EC7" w:rsidP="0008418D">
            <w:pPr>
              <w:spacing w:line="259" w:lineRule="auto"/>
              <w:rPr>
                <w:sz w:val="20"/>
                <w:szCs w:val="20"/>
              </w:rPr>
            </w:pPr>
            <w:r w:rsidRPr="00A45BAD">
              <w:rPr>
                <w:sz w:val="20"/>
                <w:szCs w:val="20"/>
              </w:rPr>
              <w:t>0.022</w:t>
            </w:r>
          </w:p>
        </w:tc>
        <w:tc>
          <w:tcPr>
            <w:tcW w:w="706" w:type="dxa"/>
          </w:tcPr>
          <w:p w14:paraId="131822AA" w14:textId="44272C67" w:rsidR="00117EC7" w:rsidRPr="00A45BAD" w:rsidRDefault="00117EC7" w:rsidP="0008418D">
            <w:pPr>
              <w:spacing w:line="259" w:lineRule="auto"/>
              <w:rPr>
                <w:sz w:val="20"/>
                <w:szCs w:val="20"/>
              </w:rPr>
            </w:pPr>
            <w:r w:rsidRPr="00A45BAD">
              <w:rPr>
                <w:sz w:val="20"/>
                <w:szCs w:val="20"/>
              </w:rPr>
              <w:t>0.733</w:t>
            </w:r>
          </w:p>
        </w:tc>
        <w:tc>
          <w:tcPr>
            <w:tcW w:w="900" w:type="dxa"/>
          </w:tcPr>
          <w:p w14:paraId="532CD23F" w14:textId="7728AEA9" w:rsidR="00117EC7" w:rsidRPr="00A45BAD" w:rsidRDefault="00117EC7" w:rsidP="0008418D">
            <w:pPr>
              <w:spacing w:line="259" w:lineRule="auto"/>
              <w:rPr>
                <w:sz w:val="20"/>
                <w:szCs w:val="20"/>
              </w:rPr>
            </w:pPr>
            <w:r w:rsidRPr="00A45BAD">
              <w:rPr>
                <w:sz w:val="20"/>
                <w:szCs w:val="20"/>
              </w:rPr>
              <w:t>0.043</w:t>
            </w:r>
          </w:p>
        </w:tc>
        <w:tc>
          <w:tcPr>
            <w:tcW w:w="630" w:type="dxa"/>
          </w:tcPr>
          <w:p w14:paraId="57CE2ED5" w14:textId="28505695" w:rsidR="00117EC7" w:rsidRPr="00A45BAD" w:rsidRDefault="00117EC7" w:rsidP="0008418D">
            <w:pPr>
              <w:spacing w:line="259" w:lineRule="auto"/>
              <w:rPr>
                <w:sz w:val="20"/>
                <w:szCs w:val="20"/>
              </w:rPr>
            </w:pPr>
            <w:r w:rsidRPr="00A45BAD">
              <w:rPr>
                <w:sz w:val="20"/>
                <w:szCs w:val="20"/>
              </w:rPr>
              <w:t>0.683</w:t>
            </w:r>
          </w:p>
        </w:tc>
      </w:tr>
    </w:tbl>
    <w:p w14:paraId="47D59D5F" w14:textId="1609C37B" w:rsidR="000358B0" w:rsidRDefault="000358B0" w:rsidP="00334A1D">
      <w:pPr>
        <w:spacing w:after="2"/>
        <w:rPr>
          <w:sz w:val="20"/>
          <w:szCs w:val="20"/>
        </w:rPr>
      </w:pPr>
    </w:p>
    <w:p w14:paraId="0F9D0C32" w14:textId="060C3808" w:rsidR="007D1FC2" w:rsidRDefault="007D1FC2" w:rsidP="00A97AE5">
      <w:pPr>
        <w:pStyle w:val="AMIABodyText"/>
      </w:pPr>
      <w:r w:rsidRPr="00A45BAD">
        <w:t xml:space="preserve">Our second </w:t>
      </w:r>
      <w:r w:rsidRPr="00F545DB">
        <w:t>objective</w:t>
      </w:r>
      <w:r w:rsidRPr="00A45BAD">
        <w:t xml:space="preserve"> in this study is to develop a machine learning model to recommend necessary procedures for </w:t>
      </w:r>
      <w:r w:rsidRPr="00F545DB">
        <w:t>patients</w:t>
      </w:r>
      <w:r w:rsidRPr="00A45BAD">
        <w:t xml:space="preserve"> at the risk of MCI. To this end, we used the MCI cohort (cases) and trained logistic regression, random forest and xgboost models to predict necessary procedures among </w:t>
      </w:r>
      <w:r w:rsidR="00CC1542">
        <w:t xml:space="preserve">a list of 46 common </w:t>
      </w:r>
      <w:r w:rsidRPr="00A45BAD">
        <w:t xml:space="preserve">diagnostic procedures </w:t>
      </w:r>
      <w:r w:rsidR="00CC1542">
        <w:t>presented</w:t>
      </w:r>
      <w:r w:rsidRPr="00A45BAD">
        <w:t xml:space="preserve"> in Table </w:t>
      </w:r>
      <w:r w:rsidR="00CC1542">
        <w:t>3</w:t>
      </w:r>
      <w:r w:rsidRPr="00A45BAD">
        <w:t xml:space="preserve">. </w:t>
      </w:r>
      <w:r w:rsidR="00CC1542">
        <w:t>P</w:t>
      </w:r>
      <w:r w:rsidRPr="00A45BAD">
        <w:t>recision, recall, f1-score and AUC for the</w:t>
      </w:r>
      <w:r w:rsidR="003320E9">
        <w:t>se</w:t>
      </w:r>
      <w:r w:rsidRPr="00A45BAD">
        <w:t xml:space="preserve"> </w:t>
      </w:r>
      <w:r w:rsidR="003320E9">
        <w:t>experiments</w:t>
      </w:r>
      <w:r w:rsidRPr="00A45BAD">
        <w:t xml:space="preserve"> are presented in Table </w:t>
      </w:r>
      <w:r w:rsidR="00CC1542">
        <w:t>5</w:t>
      </w:r>
      <w:r w:rsidRPr="00A45BAD">
        <w:t xml:space="preserve">. Note, we only used random forest and xgboost as they both performed better </w:t>
      </w:r>
      <w:r w:rsidR="003320E9">
        <w:t>on</w:t>
      </w:r>
      <w:r w:rsidRPr="00A45BAD">
        <w:t xml:space="preserve"> </w:t>
      </w:r>
      <w:r w:rsidR="003320E9">
        <w:t>our</w:t>
      </w:r>
      <w:r w:rsidRPr="00A45BAD">
        <w:t xml:space="preserve"> </w:t>
      </w:r>
      <w:r w:rsidR="003320E9">
        <w:t>first</w:t>
      </w:r>
      <w:r w:rsidRPr="00A45BAD">
        <w:t xml:space="preserve"> task, MCI prediction, </w:t>
      </w:r>
      <w:r>
        <w:t>than</w:t>
      </w:r>
      <w:r w:rsidRPr="00A45BAD">
        <w:t xml:space="preserve"> logistic regression.</w:t>
      </w:r>
      <w:r w:rsidR="00CC1542">
        <w:t xml:space="preserve"> </w:t>
      </w:r>
      <w:r w:rsidR="003320E9">
        <w:t>Further</w:t>
      </w:r>
      <w:r w:rsidR="00CC1542">
        <w:t>, we used one-versus-rest micro averaged precision, recall, F1-score and ROCAUC as the target is a multi-hot vector predicting 46 different diagnostic procedures. Micro average</w:t>
      </w:r>
      <w:r w:rsidR="003320E9">
        <w:t>d</w:t>
      </w:r>
      <w:r w:rsidR="00CC1542">
        <w:t xml:space="preserve"> assessment</w:t>
      </w:r>
      <w:r w:rsidR="003320E9">
        <w:t>s</w:t>
      </w:r>
      <w:r w:rsidR="00CC1542">
        <w:t xml:space="preserve"> w</w:t>
      </w:r>
      <w:r w:rsidR="003320E9">
        <w:t>ere</w:t>
      </w:r>
      <w:r w:rsidR="00CC1542">
        <w:t xml:space="preserve"> computed </w:t>
      </w:r>
      <w:r w:rsidR="00CC1542" w:rsidRPr="00DD5F54">
        <w:t>by counting the total true positives, false negatives and false positives</w:t>
      </w:r>
      <w:r w:rsidR="00CC1542">
        <w:rPr>
          <w:rFonts w:ascii="Segoe UI" w:hAnsi="Segoe UI" w:cs="Segoe UI"/>
          <w:color w:val="212529"/>
          <w:shd w:val="clear" w:color="auto" w:fill="FFFFFF"/>
        </w:rPr>
        <w:t>.</w:t>
      </w:r>
      <w:r w:rsidR="00CC1542">
        <w:t xml:space="preserve"> </w:t>
      </w:r>
      <w:r w:rsidR="00A97AE5">
        <w:t>xgboost</w:t>
      </w:r>
      <w:r w:rsidR="00CC1542" w:rsidRPr="00A45BAD">
        <w:t xml:space="preserve"> </w:t>
      </w:r>
      <w:r w:rsidR="00CC1542">
        <w:t>model had</w:t>
      </w:r>
      <w:r w:rsidR="00CC1542" w:rsidRPr="00A45BAD">
        <w:t xml:space="preserve"> slightly higher </w:t>
      </w:r>
      <w:r w:rsidR="00CC1542">
        <w:t>ROC</w:t>
      </w:r>
      <w:r w:rsidR="00CC1542" w:rsidRPr="00A45BAD">
        <w:t>AUC compared to random forest (0.7</w:t>
      </w:r>
      <w:r w:rsidR="00CC1542">
        <w:t>84</w:t>
      </w:r>
      <w:r w:rsidR="00CC1542" w:rsidRPr="00A45BAD">
        <w:t xml:space="preserve"> vs 0.7</w:t>
      </w:r>
      <w:r w:rsidR="00CC1542">
        <w:t>72</w:t>
      </w:r>
      <w:r w:rsidR="00CC1542" w:rsidRPr="00A45BAD">
        <w:t>). XGBoost also performed better in terms of recall than random forest (0.</w:t>
      </w:r>
      <w:r w:rsidR="00CC1542">
        <w:t>097</w:t>
      </w:r>
      <w:r w:rsidR="00CC1542" w:rsidRPr="00A45BAD">
        <w:t xml:space="preserve"> vs 0.06</w:t>
      </w:r>
      <w:r w:rsidR="00CC1542">
        <w:t>2</w:t>
      </w:r>
      <w:r w:rsidR="00CC1542" w:rsidRPr="00A45BAD">
        <w:t>). However, random forest is more precise when flagging a patient as high MCI risk (0.</w:t>
      </w:r>
      <w:r w:rsidR="00CC1542">
        <w:t>598</w:t>
      </w:r>
      <w:r w:rsidR="00CC1542" w:rsidRPr="00A45BAD">
        <w:t xml:space="preserve"> vs 0.56</w:t>
      </w:r>
      <w:r w:rsidR="00CC1542">
        <w:t>8</w:t>
      </w:r>
      <w:r w:rsidR="00CC1542" w:rsidRPr="00A45BAD">
        <w:t xml:space="preserve">). Note, </w:t>
      </w:r>
      <w:r w:rsidR="00CC1542">
        <w:t xml:space="preserve">Table </w:t>
      </w:r>
      <w:r w:rsidR="003320E9">
        <w:t>5</w:t>
      </w:r>
      <w:r w:rsidR="00CC1542">
        <w:t xml:space="preserve"> also shows the results for random recommendation in which necessary procedures are recommended randomly. The ROCAUC for such system is significantly lower than both random forest and xgboost models. </w:t>
      </w:r>
    </w:p>
    <w:p w14:paraId="5568B4E7" w14:textId="77777777" w:rsidR="007D1FC2" w:rsidRPr="00A45BAD" w:rsidRDefault="007D1FC2" w:rsidP="00334A1D">
      <w:pPr>
        <w:spacing w:after="2"/>
        <w:rPr>
          <w:sz w:val="20"/>
          <w:szCs w:val="20"/>
        </w:rPr>
      </w:pPr>
    </w:p>
    <w:p w14:paraId="3641439A" w14:textId="028E4998" w:rsidR="000358B0" w:rsidRPr="00A45BAD" w:rsidRDefault="004E3D38" w:rsidP="00F41D60">
      <w:pPr>
        <w:spacing w:after="2"/>
        <w:ind w:left="-5"/>
        <w:jc w:val="center"/>
        <w:rPr>
          <w:sz w:val="20"/>
          <w:szCs w:val="20"/>
        </w:rPr>
      </w:pPr>
      <w:r w:rsidRPr="00A45BAD">
        <w:rPr>
          <w:sz w:val="20"/>
          <w:szCs w:val="20"/>
        </w:rPr>
        <w:t xml:space="preserve">Table </w:t>
      </w:r>
      <w:r w:rsidR="00CC1542">
        <w:rPr>
          <w:sz w:val="20"/>
          <w:szCs w:val="20"/>
        </w:rPr>
        <w:t>5</w:t>
      </w:r>
      <w:r w:rsidRPr="00A45BAD">
        <w:rPr>
          <w:sz w:val="20"/>
          <w:szCs w:val="20"/>
        </w:rPr>
        <w:t xml:space="preserve">. Machine learning prediction performance in </w:t>
      </w:r>
      <w:r w:rsidR="00334A1D">
        <w:rPr>
          <w:sz w:val="20"/>
          <w:szCs w:val="20"/>
        </w:rPr>
        <w:t>diagnostic</w:t>
      </w:r>
      <w:r w:rsidRPr="00A45BAD">
        <w:rPr>
          <w:sz w:val="20"/>
          <w:szCs w:val="20"/>
        </w:rPr>
        <w:t xml:space="preserve"> procedure recommendation for </w:t>
      </w:r>
      <w:r w:rsidR="00334A1D">
        <w:rPr>
          <w:sz w:val="20"/>
          <w:szCs w:val="20"/>
        </w:rPr>
        <w:t xml:space="preserve">MCI </w:t>
      </w:r>
      <w:r w:rsidRPr="00A45BAD">
        <w:rPr>
          <w:sz w:val="20"/>
          <w:szCs w:val="20"/>
        </w:rPr>
        <w:t>patients</w:t>
      </w:r>
      <w:r w:rsidR="00BE45E7" w:rsidRPr="00A45BAD">
        <w:rPr>
          <w:sz w:val="20"/>
          <w:szCs w:val="20"/>
        </w:rPr>
        <w:t>.</w:t>
      </w:r>
    </w:p>
    <w:tbl>
      <w:tblPr>
        <w:tblStyle w:val="TableGrid0"/>
        <w:tblW w:w="0" w:type="auto"/>
        <w:tblInd w:w="805" w:type="dxa"/>
        <w:tblLook w:val="04A0" w:firstRow="1" w:lastRow="0" w:firstColumn="1" w:lastColumn="0" w:noHBand="0" w:noVBand="1"/>
      </w:tblPr>
      <w:tblGrid>
        <w:gridCol w:w="2340"/>
        <w:gridCol w:w="1710"/>
        <w:gridCol w:w="1440"/>
        <w:gridCol w:w="1530"/>
        <w:gridCol w:w="1525"/>
      </w:tblGrid>
      <w:tr w:rsidR="003D69CD" w:rsidRPr="00A45BAD" w14:paraId="4C8F3C4C" w14:textId="77777777" w:rsidTr="00401A31">
        <w:tc>
          <w:tcPr>
            <w:tcW w:w="2340" w:type="dxa"/>
          </w:tcPr>
          <w:p w14:paraId="4EF33C98" w14:textId="14510DC3" w:rsidR="003D69CD" w:rsidRPr="00A45BAD" w:rsidRDefault="003D69CD" w:rsidP="00F41D60">
            <w:pPr>
              <w:spacing w:after="2"/>
              <w:jc w:val="center"/>
              <w:rPr>
                <w:sz w:val="20"/>
                <w:szCs w:val="20"/>
              </w:rPr>
            </w:pPr>
            <w:r w:rsidRPr="00A45BAD">
              <w:rPr>
                <w:sz w:val="20"/>
                <w:szCs w:val="20"/>
              </w:rPr>
              <w:t>Model</w:t>
            </w:r>
          </w:p>
        </w:tc>
        <w:tc>
          <w:tcPr>
            <w:tcW w:w="1710" w:type="dxa"/>
          </w:tcPr>
          <w:p w14:paraId="106FA2D0" w14:textId="36C0DED1" w:rsidR="003D69CD" w:rsidRPr="00A45BAD" w:rsidRDefault="003D69CD" w:rsidP="00F41D60">
            <w:pPr>
              <w:spacing w:after="2"/>
              <w:jc w:val="center"/>
              <w:rPr>
                <w:sz w:val="20"/>
                <w:szCs w:val="20"/>
              </w:rPr>
            </w:pPr>
            <w:r w:rsidRPr="00A45BAD">
              <w:rPr>
                <w:sz w:val="20"/>
                <w:szCs w:val="20"/>
              </w:rPr>
              <w:t>Micro averaged precision</w:t>
            </w:r>
          </w:p>
        </w:tc>
        <w:tc>
          <w:tcPr>
            <w:tcW w:w="1440" w:type="dxa"/>
          </w:tcPr>
          <w:p w14:paraId="25C5CC12" w14:textId="1CFDEA7C" w:rsidR="003D69CD" w:rsidRPr="00A45BAD" w:rsidRDefault="003D69CD" w:rsidP="00F41D60">
            <w:pPr>
              <w:spacing w:after="2"/>
              <w:jc w:val="center"/>
              <w:rPr>
                <w:sz w:val="20"/>
                <w:szCs w:val="20"/>
              </w:rPr>
            </w:pPr>
            <w:r w:rsidRPr="00A45BAD">
              <w:rPr>
                <w:sz w:val="20"/>
                <w:szCs w:val="20"/>
              </w:rPr>
              <w:t>Micro averaged recall</w:t>
            </w:r>
          </w:p>
        </w:tc>
        <w:tc>
          <w:tcPr>
            <w:tcW w:w="1530" w:type="dxa"/>
          </w:tcPr>
          <w:p w14:paraId="3032A575" w14:textId="30277566" w:rsidR="003D69CD" w:rsidRPr="00A45BAD" w:rsidRDefault="003D69CD" w:rsidP="00F41D60">
            <w:pPr>
              <w:spacing w:after="2"/>
              <w:jc w:val="center"/>
              <w:rPr>
                <w:sz w:val="20"/>
                <w:szCs w:val="20"/>
              </w:rPr>
            </w:pPr>
            <w:r w:rsidRPr="00A45BAD">
              <w:rPr>
                <w:sz w:val="20"/>
                <w:szCs w:val="20"/>
              </w:rPr>
              <w:t>Micro averaged f1-score</w:t>
            </w:r>
          </w:p>
        </w:tc>
        <w:tc>
          <w:tcPr>
            <w:tcW w:w="1525" w:type="dxa"/>
          </w:tcPr>
          <w:p w14:paraId="220247F5" w14:textId="2CA2F0EA" w:rsidR="003D69CD" w:rsidRPr="00A45BAD" w:rsidRDefault="003D69CD" w:rsidP="00F41D60">
            <w:pPr>
              <w:spacing w:after="2"/>
              <w:jc w:val="center"/>
              <w:rPr>
                <w:sz w:val="20"/>
                <w:szCs w:val="20"/>
              </w:rPr>
            </w:pPr>
            <w:r w:rsidRPr="00A45BAD">
              <w:rPr>
                <w:sz w:val="20"/>
                <w:szCs w:val="20"/>
              </w:rPr>
              <w:t>Micro averaged AUC</w:t>
            </w:r>
          </w:p>
        </w:tc>
      </w:tr>
      <w:tr w:rsidR="00FD391E" w:rsidRPr="00A45BAD" w14:paraId="736EE61E" w14:textId="77777777" w:rsidTr="00401A31">
        <w:tc>
          <w:tcPr>
            <w:tcW w:w="2340" w:type="dxa"/>
          </w:tcPr>
          <w:p w14:paraId="4299F5C5" w14:textId="2CAF9F60" w:rsidR="00FD391E" w:rsidRPr="00A45BAD" w:rsidRDefault="00FD391E" w:rsidP="00FD391E">
            <w:pPr>
              <w:spacing w:after="2"/>
              <w:jc w:val="center"/>
              <w:rPr>
                <w:sz w:val="20"/>
                <w:szCs w:val="20"/>
              </w:rPr>
            </w:pPr>
            <w:r w:rsidRPr="00A45BAD">
              <w:rPr>
                <w:sz w:val="20"/>
                <w:szCs w:val="20"/>
              </w:rPr>
              <w:t>Random recommendation</w:t>
            </w:r>
          </w:p>
        </w:tc>
        <w:tc>
          <w:tcPr>
            <w:tcW w:w="1710" w:type="dxa"/>
          </w:tcPr>
          <w:p w14:paraId="27764D86" w14:textId="6881EA0F" w:rsidR="00FD391E" w:rsidRPr="00A45BAD" w:rsidRDefault="00FD391E" w:rsidP="00FD391E">
            <w:pPr>
              <w:spacing w:after="2"/>
              <w:jc w:val="center"/>
              <w:rPr>
                <w:sz w:val="20"/>
                <w:szCs w:val="20"/>
              </w:rPr>
            </w:pPr>
            <w:r w:rsidRPr="00A45BAD">
              <w:rPr>
                <w:sz w:val="20"/>
                <w:szCs w:val="20"/>
              </w:rPr>
              <w:t>0.118</w:t>
            </w:r>
          </w:p>
        </w:tc>
        <w:tc>
          <w:tcPr>
            <w:tcW w:w="1440" w:type="dxa"/>
          </w:tcPr>
          <w:p w14:paraId="0088E80C" w14:textId="5AFD2687" w:rsidR="00FD391E" w:rsidRPr="00A45BAD" w:rsidRDefault="00FD391E" w:rsidP="00FD391E">
            <w:pPr>
              <w:spacing w:after="2"/>
              <w:jc w:val="center"/>
              <w:rPr>
                <w:sz w:val="20"/>
                <w:szCs w:val="20"/>
              </w:rPr>
            </w:pPr>
            <w:r w:rsidRPr="00A45BAD">
              <w:rPr>
                <w:sz w:val="20"/>
                <w:szCs w:val="20"/>
              </w:rPr>
              <w:t>0.500</w:t>
            </w:r>
          </w:p>
        </w:tc>
        <w:tc>
          <w:tcPr>
            <w:tcW w:w="1530" w:type="dxa"/>
          </w:tcPr>
          <w:p w14:paraId="1F3ACA16" w14:textId="3CBBE428" w:rsidR="00FD391E" w:rsidRPr="00A45BAD" w:rsidRDefault="00FD391E" w:rsidP="00FD391E">
            <w:pPr>
              <w:spacing w:after="2"/>
              <w:jc w:val="center"/>
              <w:rPr>
                <w:sz w:val="20"/>
                <w:szCs w:val="20"/>
              </w:rPr>
            </w:pPr>
            <w:r w:rsidRPr="00A45BAD">
              <w:rPr>
                <w:sz w:val="20"/>
                <w:szCs w:val="20"/>
              </w:rPr>
              <w:t>0.191</w:t>
            </w:r>
          </w:p>
        </w:tc>
        <w:tc>
          <w:tcPr>
            <w:tcW w:w="1525" w:type="dxa"/>
          </w:tcPr>
          <w:p w14:paraId="2D676A89" w14:textId="0F2CA794" w:rsidR="00FD391E" w:rsidRPr="00A45BAD" w:rsidRDefault="00FD391E" w:rsidP="00FD391E">
            <w:pPr>
              <w:spacing w:after="2"/>
              <w:jc w:val="center"/>
              <w:rPr>
                <w:sz w:val="20"/>
                <w:szCs w:val="20"/>
              </w:rPr>
            </w:pPr>
            <w:r w:rsidRPr="00A45BAD">
              <w:rPr>
                <w:sz w:val="20"/>
                <w:szCs w:val="20"/>
              </w:rPr>
              <w:t>0.499</w:t>
            </w:r>
          </w:p>
        </w:tc>
      </w:tr>
      <w:tr w:rsidR="00FD391E" w:rsidRPr="00A45BAD" w14:paraId="3A2A945D" w14:textId="77777777" w:rsidTr="00401A31">
        <w:tc>
          <w:tcPr>
            <w:tcW w:w="2340" w:type="dxa"/>
          </w:tcPr>
          <w:p w14:paraId="150D0B8C" w14:textId="38023933" w:rsidR="00FD391E" w:rsidRPr="00A45BAD" w:rsidRDefault="00FD391E" w:rsidP="00FD391E">
            <w:pPr>
              <w:spacing w:after="2"/>
              <w:jc w:val="center"/>
              <w:rPr>
                <w:sz w:val="20"/>
                <w:szCs w:val="20"/>
              </w:rPr>
            </w:pPr>
            <w:r w:rsidRPr="00A45BAD">
              <w:rPr>
                <w:sz w:val="20"/>
                <w:szCs w:val="20"/>
              </w:rPr>
              <w:t>Random forest</w:t>
            </w:r>
          </w:p>
        </w:tc>
        <w:tc>
          <w:tcPr>
            <w:tcW w:w="1710" w:type="dxa"/>
          </w:tcPr>
          <w:p w14:paraId="2E091597" w14:textId="5BF46CED" w:rsidR="00FD391E" w:rsidRPr="00A45BAD" w:rsidRDefault="00FD391E" w:rsidP="00FD391E">
            <w:pPr>
              <w:spacing w:after="2"/>
              <w:jc w:val="center"/>
              <w:rPr>
                <w:sz w:val="20"/>
                <w:szCs w:val="20"/>
              </w:rPr>
            </w:pPr>
            <w:r w:rsidRPr="00A45BAD">
              <w:rPr>
                <w:sz w:val="20"/>
                <w:szCs w:val="20"/>
              </w:rPr>
              <w:t>0.</w:t>
            </w:r>
            <w:r w:rsidR="00EF7850" w:rsidRPr="00A45BAD">
              <w:rPr>
                <w:sz w:val="20"/>
                <w:szCs w:val="20"/>
              </w:rPr>
              <w:t>598</w:t>
            </w:r>
          </w:p>
        </w:tc>
        <w:tc>
          <w:tcPr>
            <w:tcW w:w="1440" w:type="dxa"/>
          </w:tcPr>
          <w:p w14:paraId="2D8DFD80" w14:textId="66EA35B1" w:rsidR="00FD391E" w:rsidRPr="00A45BAD" w:rsidRDefault="00FD391E" w:rsidP="00FD391E">
            <w:pPr>
              <w:spacing w:after="2"/>
              <w:jc w:val="center"/>
              <w:rPr>
                <w:sz w:val="20"/>
                <w:szCs w:val="20"/>
              </w:rPr>
            </w:pPr>
            <w:r w:rsidRPr="00A45BAD">
              <w:rPr>
                <w:sz w:val="20"/>
                <w:szCs w:val="20"/>
              </w:rPr>
              <w:t>0.06</w:t>
            </w:r>
            <w:r w:rsidR="00EF7850" w:rsidRPr="00A45BAD">
              <w:rPr>
                <w:sz w:val="20"/>
                <w:szCs w:val="20"/>
              </w:rPr>
              <w:t>2</w:t>
            </w:r>
          </w:p>
        </w:tc>
        <w:tc>
          <w:tcPr>
            <w:tcW w:w="1530" w:type="dxa"/>
          </w:tcPr>
          <w:p w14:paraId="3B42E174" w14:textId="179B3A97" w:rsidR="00FD391E" w:rsidRPr="00A45BAD" w:rsidRDefault="00FD391E" w:rsidP="00FD391E">
            <w:pPr>
              <w:spacing w:after="2"/>
              <w:jc w:val="center"/>
              <w:rPr>
                <w:sz w:val="20"/>
                <w:szCs w:val="20"/>
              </w:rPr>
            </w:pPr>
            <w:r w:rsidRPr="00A45BAD">
              <w:rPr>
                <w:sz w:val="20"/>
                <w:szCs w:val="20"/>
              </w:rPr>
              <w:t>0.11</w:t>
            </w:r>
            <w:r w:rsidR="00EF7850" w:rsidRPr="00A45BAD">
              <w:rPr>
                <w:sz w:val="20"/>
                <w:szCs w:val="20"/>
              </w:rPr>
              <w:t>3</w:t>
            </w:r>
          </w:p>
        </w:tc>
        <w:tc>
          <w:tcPr>
            <w:tcW w:w="1525" w:type="dxa"/>
          </w:tcPr>
          <w:p w14:paraId="0FD003B3" w14:textId="2104FAEE" w:rsidR="00FD391E" w:rsidRPr="00A45BAD" w:rsidRDefault="00FD391E" w:rsidP="00FD391E">
            <w:pPr>
              <w:spacing w:after="2"/>
              <w:jc w:val="center"/>
              <w:rPr>
                <w:sz w:val="20"/>
                <w:szCs w:val="20"/>
              </w:rPr>
            </w:pPr>
            <w:r w:rsidRPr="00A45BAD">
              <w:rPr>
                <w:sz w:val="20"/>
                <w:szCs w:val="20"/>
              </w:rPr>
              <w:t>0.77</w:t>
            </w:r>
            <w:r w:rsidR="00EF7850" w:rsidRPr="00A45BAD">
              <w:rPr>
                <w:sz w:val="20"/>
                <w:szCs w:val="20"/>
              </w:rPr>
              <w:t>2</w:t>
            </w:r>
          </w:p>
        </w:tc>
      </w:tr>
      <w:tr w:rsidR="00FD391E" w:rsidRPr="00A45BAD" w14:paraId="50725E96" w14:textId="77777777" w:rsidTr="00401A31">
        <w:tc>
          <w:tcPr>
            <w:tcW w:w="2340" w:type="dxa"/>
          </w:tcPr>
          <w:p w14:paraId="5480A2A9" w14:textId="48593863" w:rsidR="00FD391E" w:rsidRPr="00A45BAD" w:rsidRDefault="00FD391E" w:rsidP="00FD391E">
            <w:pPr>
              <w:spacing w:after="2"/>
              <w:jc w:val="center"/>
              <w:rPr>
                <w:sz w:val="20"/>
                <w:szCs w:val="20"/>
              </w:rPr>
            </w:pPr>
            <w:r w:rsidRPr="00A45BAD">
              <w:rPr>
                <w:sz w:val="20"/>
                <w:szCs w:val="20"/>
              </w:rPr>
              <w:t>XGBoost</w:t>
            </w:r>
          </w:p>
        </w:tc>
        <w:tc>
          <w:tcPr>
            <w:tcW w:w="1710" w:type="dxa"/>
          </w:tcPr>
          <w:p w14:paraId="0E8A7F51" w14:textId="01661DA8" w:rsidR="00FD391E" w:rsidRPr="00A45BAD" w:rsidRDefault="00FD391E" w:rsidP="00FD391E">
            <w:pPr>
              <w:spacing w:after="2"/>
              <w:jc w:val="center"/>
              <w:rPr>
                <w:sz w:val="20"/>
                <w:szCs w:val="20"/>
              </w:rPr>
            </w:pPr>
            <w:r w:rsidRPr="00A45BAD">
              <w:rPr>
                <w:sz w:val="20"/>
                <w:szCs w:val="20"/>
              </w:rPr>
              <w:t>0.56</w:t>
            </w:r>
            <w:r w:rsidR="00E7210A" w:rsidRPr="00A45BAD">
              <w:rPr>
                <w:sz w:val="20"/>
                <w:szCs w:val="20"/>
              </w:rPr>
              <w:t>8</w:t>
            </w:r>
          </w:p>
        </w:tc>
        <w:tc>
          <w:tcPr>
            <w:tcW w:w="1440" w:type="dxa"/>
          </w:tcPr>
          <w:p w14:paraId="7242FD7F" w14:textId="38030307" w:rsidR="00FD391E" w:rsidRPr="00A45BAD" w:rsidRDefault="00FD391E" w:rsidP="00FD391E">
            <w:pPr>
              <w:spacing w:after="2"/>
              <w:jc w:val="center"/>
              <w:rPr>
                <w:sz w:val="20"/>
                <w:szCs w:val="20"/>
              </w:rPr>
            </w:pPr>
            <w:r w:rsidRPr="00A45BAD">
              <w:rPr>
                <w:sz w:val="20"/>
                <w:szCs w:val="20"/>
              </w:rPr>
              <w:t>0.09</w:t>
            </w:r>
            <w:r w:rsidR="00E7210A" w:rsidRPr="00A45BAD">
              <w:rPr>
                <w:sz w:val="20"/>
                <w:szCs w:val="20"/>
              </w:rPr>
              <w:t>7</w:t>
            </w:r>
          </w:p>
        </w:tc>
        <w:tc>
          <w:tcPr>
            <w:tcW w:w="1530" w:type="dxa"/>
          </w:tcPr>
          <w:p w14:paraId="0F03DE63" w14:textId="6F7EAEAB" w:rsidR="00FD391E" w:rsidRPr="00A45BAD" w:rsidRDefault="00FD391E" w:rsidP="00FD391E">
            <w:pPr>
              <w:spacing w:after="2"/>
              <w:jc w:val="center"/>
              <w:rPr>
                <w:sz w:val="20"/>
                <w:szCs w:val="20"/>
              </w:rPr>
            </w:pPr>
            <w:r w:rsidRPr="00A45BAD">
              <w:rPr>
                <w:sz w:val="20"/>
                <w:szCs w:val="20"/>
              </w:rPr>
              <w:t>0.16</w:t>
            </w:r>
            <w:r w:rsidR="00E7210A" w:rsidRPr="00A45BAD">
              <w:rPr>
                <w:sz w:val="20"/>
                <w:szCs w:val="20"/>
              </w:rPr>
              <w:t>5</w:t>
            </w:r>
          </w:p>
        </w:tc>
        <w:tc>
          <w:tcPr>
            <w:tcW w:w="1525" w:type="dxa"/>
          </w:tcPr>
          <w:p w14:paraId="22772926" w14:textId="14BD17B3" w:rsidR="00FD391E" w:rsidRPr="00A45BAD" w:rsidRDefault="00FD391E" w:rsidP="00FD391E">
            <w:pPr>
              <w:spacing w:after="2"/>
              <w:jc w:val="center"/>
              <w:rPr>
                <w:sz w:val="20"/>
                <w:szCs w:val="20"/>
              </w:rPr>
            </w:pPr>
            <w:r w:rsidRPr="00A45BAD">
              <w:rPr>
                <w:sz w:val="20"/>
                <w:szCs w:val="20"/>
              </w:rPr>
              <w:t>0.78</w:t>
            </w:r>
            <w:r w:rsidR="00E7210A" w:rsidRPr="00A45BAD">
              <w:rPr>
                <w:sz w:val="20"/>
                <w:szCs w:val="20"/>
              </w:rPr>
              <w:t>4</w:t>
            </w:r>
          </w:p>
        </w:tc>
      </w:tr>
    </w:tbl>
    <w:p w14:paraId="54D86547" w14:textId="77777777" w:rsidR="005C1E37" w:rsidRDefault="005C1E37" w:rsidP="005C1E37">
      <w:pPr>
        <w:pStyle w:val="AMIABodyText"/>
      </w:pPr>
    </w:p>
    <w:p w14:paraId="64435B90" w14:textId="77777777" w:rsidR="005A7CC7" w:rsidRPr="00A45BAD" w:rsidRDefault="005A7CC7" w:rsidP="008B73AD">
      <w:pPr>
        <w:spacing w:after="181" w:line="259" w:lineRule="auto"/>
        <w:rPr>
          <w:color w:val="FF0000"/>
          <w:sz w:val="20"/>
          <w:szCs w:val="20"/>
        </w:rPr>
      </w:pPr>
    </w:p>
    <w:p w14:paraId="5CDD9D39" w14:textId="6B59399B" w:rsidR="00624FB6" w:rsidRPr="00A45BAD" w:rsidRDefault="00E37B18" w:rsidP="008B73AD">
      <w:pPr>
        <w:spacing w:after="181" w:line="259" w:lineRule="auto"/>
        <w:rPr>
          <w:b/>
          <w:bCs/>
          <w:color w:val="000000" w:themeColor="text1"/>
          <w:sz w:val="20"/>
          <w:szCs w:val="20"/>
        </w:rPr>
      </w:pPr>
      <w:r>
        <w:rPr>
          <w:b/>
          <w:bCs/>
          <w:color w:val="000000" w:themeColor="text1"/>
          <w:sz w:val="20"/>
          <w:szCs w:val="20"/>
        </w:rPr>
        <w:t>C</w:t>
      </w:r>
      <w:r w:rsidR="00334A1D">
        <w:rPr>
          <w:b/>
          <w:bCs/>
          <w:color w:val="000000" w:themeColor="text1"/>
          <w:sz w:val="20"/>
          <w:szCs w:val="20"/>
        </w:rPr>
        <w:t>onclusions</w:t>
      </w:r>
    </w:p>
    <w:p w14:paraId="79417801" w14:textId="4C84D7F2" w:rsidR="008B73AD" w:rsidRDefault="00070AEE" w:rsidP="007D650D">
      <w:pPr>
        <w:pStyle w:val="AMIABodyText"/>
        <w:rPr>
          <w:color w:val="000000" w:themeColor="text1"/>
        </w:rPr>
      </w:pPr>
      <w:r w:rsidRPr="00070AEE">
        <w:rPr>
          <w:color w:val="000000" w:themeColor="text1"/>
        </w:rPr>
        <w:t>In th</w:t>
      </w:r>
      <w:r>
        <w:rPr>
          <w:color w:val="000000" w:themeColor="text1"/>
        </w:rPr>
        <w:t xml:space="preserve">is work we analyzed </w:t>
      </w:r>
      <w:r w:rsidR="004439C1">
        <w:rPr>
          <w:color w:val="000000" w:themeColor="text1"/>
        </w:rPr>
        <w:t xml:space="preserve">Stanford healthcare </w:t>
      </w:r>
      <w:r w:rsidR="00093D6A">
        <w:rPr>
          <w:color w:val="000000" w:themeColor="text1"/>
        </w:rPr>
        <w:t>EHR</w:t>
      </w:r>
      <w:r>
        <w:rPr>
          <w:color w:val="000000" w:themeColor="text1"/>
        </w:rPr>
        <w:t xml:space="preserve"> data </w:t>
      </w:r>
      <w:r w:rsidR="004439C1">
        <w:rPr>
          <w:color w:val="000000" w:themeColor="text1"/>
        </w:rPr>
        <w:t xml:space="preserve">from more than 4.2K MCI and 82K cognitively unimpaired patients over 20 </w:t>
      </w:r>
      <w:r w:rsidR="00731894">
        <w:rPr>
          <w:color w:val="000000" w:themeColor="text1"/>
        </w:rPr>
        <w:t>years and</w:t>
      </w:r>
      <w:r>
        <w:rPr>
          <w:color w:val="000000" w:themeColor="text1"/>
        </w:rPr>
        <w:t xml:space="preserve"> created machine learning based models to predict MCI onset as well as </w:t>
      </w:r>
      <w:r w:rsidR="001116C9">
        <w:rPr>
          <w:color w:val="000000" w:themeColor="text1"/>
        </w:rPr>
        <w:t xml:space="preserve">creating </w:t>
      </w:r>
      <w:r>
        <w:rPr>
          <w:color w:val="000000" w:themeColor="text1"/>
        </w:rPr>
        <w:t>diagnostic procedure recommendation</w:t>
      </w:r>
      <w:r w:rsidR="004439C1">
        <w:rPr>
          <w:color w:val="000000" w:themeColor="text1"/>
        </w:rPr>
        <w:t xml:space="preserve"> systems</w:t>
      </w:r>
      <w:r>
        <w:rPr>
          <w:color w:val="000000" w:themeColor="text1"/>
        </w:rPr>
        <w:t>. XGBoost model could predict MCI reasonably effective</w:t>
      </w:r>
      <w:r w:rsidR="00881D42">
        <w:rPr>
          <w:color w:val="000000" w:themeColor="text1"/>
        </w:rPr>
        <w:t>ly</w:t>
      </w:r>
      <w:r>
        <w:rPr>
          <w:color w:val="000000" w:themeColor="text1"/>
        </w:rPr>
        <w:t xml:space="preserve"> (ROCAUC=0.683) and produce</w:t>
      </w:r>
      <w:r w:rsidR="00674BA6">
        <w:rPr>
          <w:color w:val="000000" w:themeColor="text1"/>
        </w:rPr>
        <w:t xml:space="preserve"> </w:t>
      </w:r>
      <w:r w:rsidR="004439C1">
        <w:rPr>
          <w:color w:val="000000" w:themeColor="text1"/>
        </w:rPr>
        <w:t xml:space="preserve">a rather effective </w:t>
      </w:r>
      <w:r w:rsidR="00674BA6">
        <w:rPr>
          <w:color w:val="000000" w:themeColor="text1"/>
        </w:rPr>
        <w:t>diagnostic procedure recommendation</w:t>
      </w:r>
      <w:r w:rsidR="00DC3A1C">
        <w:rPr>
          <w:color w:val="000000" w:themeColor="text1"/>
        </w:rPr>
        <w:t xml:space="preserve"> </w:t>
      </w:r>
      <w:r w:rsidR="004439C1">
        <w:rPr>
          <w:color w:val="000000" w:themeColor="text1"/>
        </w:rPr>
        <w:t xml:space="preserve">system for patients at the risk of MCI </w:t>
      </w:r>
      <w:r w:rsidR="00DC3A1C">
        <w:rPr>
          <w:color w:val="000000" w:themeColor="text1"/>
        </w:rPr>
        <w:t>(ROCAUC=0.784)</w:t>
      </w:r>
      <w:r w:rsidR="00674BA6">
        <w:rPr>
          <w:color w:val="000000" w:themeColor="text1"/>
        </w:rPr>
        <w:t xml:space="preserve">. </w:t>
      </w:r>
      <w:r w:rsidR="001116C9">
        <w:rPr>
          <w:color w:val="000000" w:themeColor="text1"/>
        </w:rPr>
        <w:t>These</w:t>
      </w:r>
      <w:r w:rsidR="00810553">
        <w:rPr>
          <w:color w:val="000000" w:themeColor="text1"/>
        </w:rPr>
        <w:t xml:space="preserve"> machine learning</w:t>
      </w:r>
      <w:r w:rsidR="00A61687">
        <w:rPr>
          <w:color w:val="000000" w:themeColor="text1"/>
        </w:rPr>
        <w:t xml:space="preserve"> models trained using thousands of </w:t>
      </w:r>
      <w:r w:rsidR="007D650D">
        <w:rPr>
          <w:color w:val="000000" w:themeColor="text1"/>
        </w:rPr>
        <w:t>patients’</w:t>
      </w:r>
      <w:r w:rsidR="00A61687">
        <w:rPr>
          <w:color w:val="000000" w:themeColor="text1"/>
        </w:rPr>
        <w:t xml:space="preserve"> records</w:t>
      </w:r>
      <w:r w:rsidR="00810553">
        <w:rPr>
          <w:color w:val="000000" w:themeColor="text1"/>
        </w:rPr>
        <w:t xml:space="preserve"> can automatically screen patients EHR data </w:t>
      </w:r>
      <w:r w:rsidR="00810553" w:rsidRPr="007D650D">
        <w:t>and</w:t>
      </w:r>
      <w:r w:rsidR="00810553">
        <w:rPr>
          <w:color w:val="000000" w:themeColor="text1"/>
        </w:rPr>
        <w:t xml:space="preserve"> detect those at the</w:t>
      </w:r>
      <w:r w:rsidR="001116C9">
        <w:rPr>
          <w:color w:val="000000" w:themeColor="text1"/>
        </w:rPr>
        <w:t xml:space="preserve"> risk</w:t>
      </w:r>
      <w:r w:rsidR="00810553">
        <w:rPr>
          <w:color w:val="000000" w:themeColor="text1"/>
        </w:rPr>
        <w:t xml:space="preserve">. </w:t>
      </w:r>
      <w:r w:rsidR="007D650D">
        <w:rPr>
          <w:color w:val="000000" w:themeColor="text1"/>
        </w:rPr>
        <w:t xml:space="preserve">While there are </w:t>
      </w:r>
      <w:r w:rsidR="00BE402D">
        <w:rPr>
          <w:color w:val="000000" w:themeColor="text1"/>
        </w:rPr>
        <w:t xml:space="preserve">already </w:t>
      </w:r>
      <w:r w:rsidR="007D650D">
        <w:rPr>
          <w:color w:val="000000" w:themeColor="text1"/>
        </w:rPr>
        <w:t xml:space="preserve">a few clinical tools developed to detect </w:t>
      </w:r>
      <w:r w:rsidR="007D650D">
        <w:rPr>
          <w:color w:val="000000" w:themeColor="text1"/>
        </w:rPr>
        <w:lastRenderedPageBreak/>
        <w:t xml:space="preserve">MCI such as </w:t>
      </w:r>
      <w:r w:rsidR="00810553">
        <w:rPr>
          <w:color w:val="000000" w:themeColor="text1"/>
        </w:rPr>
        <w:t>the Montreal cognitive assessment</w:t>
      </w:r>
      <w:r w:rsidR="00881D42">
        <w:rPr>
          <w:color w:val="000000" w:themeColor="text1"/>
        </w:rPr>
        <w:t xml:space="preserve"> (MoCA)</w:t>
      </w:r>
      <w:r w:rsidR="00810553">
        <w:rPr>
          <w:color w:val="000000" w:themeColor="text1"/>
        </w:rPr>
        <w:t xml:space="preserve"> tool </w:t>
      </w:r>
      <w:r w:rsidR="00810553">
        <w:rPr>
          <w:color w:val="000000" w:themeColor="text1"/>
        </w:rPr>
        <w:fldChar w:fldCharType="begin"/>
      </w:r>
      <w:r w:rsidR="00810553">
        <w:rPr>
          <w:color w:val="000000" w:themeColor="text1"/>
        </w:rPr>
        <w:instrText xml:space="preserve"> ADDIN ZOTERO_ITEM CSL_CITATION {"citationID":"YSpBK7Tj","properties":{"formattedCitation":"(19)","plainCitation":"(19)","noteIndex":0},"citationItems":[{"id":57,"uris":["http://zotero.org/users/local/3oEVuZBY/items/3NDMTK5Z"],"uri":["http://zotero.org/users/local/3oEVuZBY/items/3NDMTK5Z"],"itemData":{"id":57,"type":"article-journal","abstract":"Objectives: To develop a 10-minute cognitive screening tool (Montreal Cognitive Assessment, MoCA) to assist first-line physicians in detection of mild cognitive impairment (MCI), a clinical state that often progresses to dementia. Design: Validation study. Setting: A community clinic and an academic center. Participants: Ninety-four patients meeting MCI clinical criteria supported by psychometric measures, 93 patients with mild Alzheimer's disease (AD) (Mini-Mental State Examination (MMSE) score≥17), and 90 healthy elderly controls (NC). Measurements: The MoCA and MMSE were administered to all participants, and sensitivity and specificity of both measures were assessed for detection of MCI and mild AD. Results: Using a cutoff score 26, the MMSE had a sensitivity of 18% to detect MCI, whereas the MoCA detected 90% of MCI subjects. In the mild AD group, the MMSE had a sensitivity of 78%, whereas the MoCA detected 100%. Specificity was excellent for both MMSE and MoCA (100% and 87%, respectively). Conclusion: MCI as an entity is evolving and somewhat controversial. The MoCA is a brief cognitive screening tool with high sensitivity and specificity for detecting MCI as currently conceptualized in patients performing in the normal range on the MMSE.","container-title":"Journal of the American Geriatrics Society","DOI":"10.1111/j.1532-5415.2005.53221.x","ISSN":"1532-5415","issue":"4","language":"en","note":"_eprint: https://onlinelibrary.wiley.com/doi/pdf/10.1111/j.1532-5415.2005.53221.x","page":"695-699","source":"Wiley Online Library","title":"The Montreal Cognitive Assessment, MoCA: A Brief Screening Tool For Mild Cognitive Impairment","title-short":"The Montreal Cognitive Assessment, MoCA","volume":"53","author":[{"family":"Nasreddine","given":"Ziad S."},{"family":"Phillips","given":"Natalie A."},{"family":"Bédirian","given":"Valérie"},{"family":"Charbonneau","given":"Simon"},{"family":"Whitehead","given":"Victor"},{"family":"Collin","given":"Isabelle"},{"family":"Cummings","given":"Jeffrey L."},{"family":"Chertkow","given":"Howard"}],"issued":{"date-parts":[["2005"]]}}}],"schema":"https://github.com/citation-style-language/schema/raw/master/csl-citation.json"} </w:instrText>
      </w:r>
      <w:r w:rsidR="00810553">
        <w:rPr>
          <w:color w:val="000000" w:themeColor="text1"/>
        </w:rPr>
        <w:fldChar w:fldCharType="separate"/>
      </w:r>
      <w:r w:rsidR="00810553">
        <w:rPr>
          <w:noProof/>
          <w:color w:val="000000" w:themeColor="text1"/>
        </w:rPr>
        <w:t>(19)</w:t>
      </w:r>
      <w:r w:rsidR="00810553">
        <w:rPr>
          <w:color w:val="000000" w:themeColor="text1"/>
        </w:rPr>
        <w:fldChar w:fldCharType="end"/>
      </w:r>
      <w:r w:rsidR="007D650D">
        <w:rPr>
          <w:color w:val="000000" w:themeColor="text1"/>
        </w:rPr>
        <w:t xml:space="preserve">, </w:t>
      </w:r>
      <w:r w:rsidR="00BE402D">
        <w:rPr>
          <w:color w:val="000000" w:themeColor="text1"/>
        </w:rPr>
        <w:t>these tools</w:t>
      </w:r>
      <w:r w:rsidR="007D650D">
        <w:rPr>
          <w:color w:val="000000" w:themeColor="text1"/>
        </w:rPr>
        <w:t xml:space="preserve"> </w:t>
      </w:r>
      <w:r w:rsidR="00810553">
        <w:rPr>
          <w:color w:val="000000" w:themeColor="text1"/>
        </w:rPr>
        <w:t xml:space="preserve">have typically been produced using </w:t>
      </w:r>
      <w:r w:rsidR="00881D42">
        <w:rPr>
          <w:color w:val="000000" w:themeColor="text1"/>
        </w:rPr>
        <w:t xml:space="preserve">small and </w:t>
      </w:r>
      <w:r w:rsidR="00810553">
        <w:rPr>
          <w:color w:val="000000" w:themeColor="text1"/>
        </w:rPr>
        <w:t>underrepresented sample size</w:t>
      </w:r>
      <w:r w:rsidR="00881D42">
        <w:rPr>
          <w:color w:val="000000" w:themeColor="text1"/>
        </w:rPr>
        <w:t xml:space="preserve"> (e.g</w:t>
      </w:r>
      <w:r w:rsidR="00BE402D">
        <w:rPr>
          <w:color w:val="000000" w:themeColor="text1"/>
        </w:rPr>
        <w:t>.</w:t>
      </w:r>
      <w:r w:rsidR="00881D42">
        <w:rPr>
          <w:color w:val="000000" w:themeColor="text1"/>
        </w:rPr>
        <w:t xml:space="preserve"> only 94 MCI patients </w:t>
      </w:r>
      <w:r w:rsidR="00BE402D">
        <w:rPr>
          <w:color w:val="000000" w:themeColor="text1"/>
        </w:rPr>
        <w:t xml:space="preserve">data </w:t>
      </w:r>
      <w:r w:rsidR="00881D42">
        <w:rPr>
          <w:color w:val="000000" w:themeColor="text1"/>
        </w:rPr>
        <w:t>have been used to create MoCA). Further</w:t>
      </w:r>
      <w:r w:rsidR="007D650D">
        <w:rPr>
          <w:color w:val="000000" w:themeColor="text1"/>
        </w:rPr>
        <w:t xml:space="preserve">, </w:t>
      </w:r>
      <w:r w:rsidR="00881D42">
        <w:rPr>
          <w:color w:val="000000" w:themeColor="text1"/>
        </w:rPr>
        <w:t>these tools</w:t>
      </w:r>
      <w:r w:rsidR="007D650D">
        <w:rPr>
          <w:color w:val="000000" w:themeColor="text1"/>
        </w:rPr>
        <w:t xml:space="preserve"> need to be administered by healthcare professionals</w:t>
      </w:r>
      <w:r w:rsidR="00881D42">
        <w:rPr>
          <w:color w:val="000000" w:themeColor="text1"/>
        </w:rPr>
        <w:t xml:space="preserve"> </w:t>
      </w:r>
      <w:r w:rsidR="00BE402D">
        <w:rPr>
          <w:color w:val="000000" w:themeColor="text1"/>
        </w:rPr>
        <w:t>with the patient in front of them (or online)</w:t>
      </w:r>
      <w:r w:rsidR="00CD2DCA">
        <w:rPr>
          <w:color w:val="000000" w:themeColor="text1"/>
        </w:rPr>
        <w:t>,</w:t>
      </w:r>
      <w:r w:rsidR="00BE402D">
        <w:rPr>
          <w:color w:val="000000" w:themeColor="text1"/>
        </w:rPr>
        <w:t xml:space="preserve"> which limits their applicability and feasibility. </w:t>
      </w:r>
      <w:r w:rsidR="001116C9">
        <w:rPr>
          <w:color w:val="000000" w:themeColor="text1"/>
        </w:rPr>
        <w:t>Our</w:t>
      </w:r>
      <w:r w:rsidR="00BE402D">
        <w:rPr>
          <w:color w:val="000000" w:themeColor="text1"/>
        </w:rPr>
        <w:t xml:space="preserve"> automated machine learning based tools </w:t>
      </w:r>
      <w:r w:rsidR="00B2486B">
        <w:rPr>
          <w:color w:val="000000" w:themeColor="text1"/>
        </w:rPr>
        <w:t xml:space="preserve">may be more effective </w:t>
      </w:r>
      <w:r w:rsidR="001116C9">
        <w:rPr>
          <w:color w:val="000000" w:themeColor="text1"/>
        </w:rPr>
        <w:t xml:space="preserve">and feasible to use </w:t>
      </w:r>
      <w:r w:rsidR="00B2486B">
        <w:rPr>
          <w:color w:val="000000" w:themeColor="text1"/>
        </w:rPr>
        <w:t xml:space="preserve">in predicting MCI and recommending diagnostic procedures in clinical care than traditional tools. </w:t>
      </w:r>
    </w:p>
    <w:p w14:paraId="7912386F" w14:textId="14C4EB07" w:rsidR="00E174ED" w:rsidRPr="005770E7" w:rsidRDefault="00B2486B" w:rsidP="005770E7">
      <w:pPr>
        <w:pStyle w:val="AMIABodyText"/>
        <w:rPr>
          <w:color w:val="000000" w:themeColor="text1"/>
        </w:rPr>
      </w:pPr>
      <w:r>
        <w:rPr>
          <w:color w:val="000000" w:themeColor="text1"/>
        </w:rPr>
        <w:t xml:space="preserve">There are a few limitations that need to be considered before using or deploying our proposed framework in this study. Although we thoroughly tested the models using randomly selected held-out test sets, more prospective study is needed to test our models’ performances in a clinical care environment. </w:t>
      </w:r>
      <w:r w:rsidR="00D51459">
        <w:rPr>
          <w:color w:val="000000" w:themeColor="text1"/>
        </w:rPr>
        <w:t xml:space="preserve">Testing both the MCI prediction and diagnostic procedure recommender system in real-time and in a real-world environment can re-assure the generalizability of our models. Further, in this study patients </w:t>
      </w:r>
      <w:r w:rsidR="00380631">
        <w:rPr>
          <w:color w:val="000000" w:themeColor="text1"/>
        </w:rPr>
        <w:t>EHR</w:t>
      </w:r>
      <w:r w:rsidR="00D51459">
        <w:rPr>
          <w:color w:val="000000" w:themeColor="text1"/>
        </w:rPr>
        <w:t xml:space="preserve"> data including their past diagnosis, medication and procedure</w:t>
      </w:r>
      <w:r w:rsidR="00AB0B33">
        <w:rPr>
          <w:color w:val="000000" w:themeColor="text1"/>
        </w:rPr>
        <w:t xml:space="preserve"> records</w:t>
      </w:r>
      <w:r w:rsidR="00D51459">
        <w:rPr>
          <w:color w:val="000000" w:themeColor="text1"/>
        </w:rPr>
        <w:t xml:space="preserve"> were used in a structured format. However, other resources such as patients brain MRI images as well as </w:t>
      </w:r>
      <w:r w:rsidR="005770E7">
        <w:rPr>
          <w:color w:val="000000" w:themeColor="text1"/>
        </w:rPr>
        <w:t>patients’</w:t>
      </w:r>
      <w:r w:rsidR="00D51459">
        <w:rPr>
          <w:color w:val="000000" w:themeColor="text1"/>
        </w:rPr>
        <w:t xml:space="preserve"> clinical notes may provide more insights and provide increased power in predicting MCI. </w:t>
      </w:r>
    </w:p>
    <w:p w14:paraId="788B5B3B" w14:textId="77777777" w:rsidR="00E174ED" w:rsidRPr="00A45BAD" w:rsidRDefault="00E174ED" w:rsidP="00917D05">
      <w:pPr>
        <w:rPr>
          <w:sz w:val="20"/>
          <w:szCs w:val="20"/>
        </w:rPr>
      </w:pPr>
    </w:p>
    <w:p w14:paraId="54385A06" w14:textId="77777777" w:rsidR="00624FB6" w:rsidRPr="00A45BAD" w:rsidRDefault="00624FB6">
      <w:pPr>
        <w:pStyle w:val="Heading1"/>
        <w:spacing w:after="123"/>
        <w:ind w:left="-5"/>
        <w:rPr>
          <w:rFonts w:ascii="Times New Roman" w:hAnsi="Times New Roman" w:cs="Times New Roman"/>
          <w:b/>
          <w:bCs/>
          <w:szCs w:val="20"/>
        </w:rPr>
      </w:pPr>
    </w:p>
    <w:p w14:paraId="618AA118" w14:textId="47CB102D" w:rsidR="00667DA9" w:rsidRPr="00A45BAD" w:rsidRDefault="00820F03">
      <w:pPr>
        <w:pStyle w:val="Heading1"/>
        <w:spacing w:after="123"/>
        <w:ind w:left="-5"/>
        <w:rPr>
          <w:rFonts w:ascii="Times New Roman" w:hAnsi="Times New Roman" w:cs="Times New Roman"/>
          <w:b/>
          <w:bCs/>
          <w:szCs w:val="20"/>
        </w:rPr>
      </w:pPr>
      <w:r w:rsidRPr="00A45BAD">
        <w:rPr>
          <w:rFonts w:ascii="Times New Roman" w:hAnsi="Times New Roman" w:cs="Times New Roman"/>
          <w:b/>
          <w:bCs/>
          <w:szCs w:val="20"/>
        </w:rPr>
        <w:t>References</w:t>
      </w:r>
    </w:p>
    <w:p w14:paraId="1618D048" w14:textId="77777777" w:rsidR="00AF61D0" w:rsidRPr="00AF61D0" w:rsidRDefault="00AF178A" w:rsidP="00AF61D0">
      <w:pPr>
        <w:pStyle w:val="Bibliography"/>
        <w:rPr>
          <w:rFonts w:ascii="Times New Roman" w:hAnsi="Times New Roman" w:cs="Times New Roman"/>
        </w:rPr>
      </w:pPr>
      <w:r w:rsidRPr="00A45BAD">
        <w:rPr>
          <w:szCs w:val="20"/>
        </w:rPr>
        <w:t xml:space="preserve"> </w:t>
      </w:r>
      <w:r w:rsidR="000358B0" w:rsidRPr="00A45BAD">
        <w:rPr>
          <w:szCs w:val="20"/>
        </w:rPr>
        <w:fldChar w:fldCharType="begin"/>
      </w:r>
      <w:r w:rsidR="00AF61D0">
        <w:rPr>
          <w:szCs w:val="20"/>
        </w:rPr>
        <w:instrText xml:space="preserve"> ADDIN ZOTERO_BIBL {"uncited":[],"omitted":[],"custom":[]} CSL_BIBLIOGRAPHY </w:instrText>
      </w:r>
      <w:r w:rsidR="000358B0" w:rsidRPr="00A45BAD">
        <w:rPr>
          <w:szCs w:val="20"/>
        </w:rPr>
        <w:fldChar w:fldCharType="separate"/>
      </w:r>
      <w:r w:rsidR="00AF61D0" w:rsidRPr="00AF61D0">
        <w:rPr>
          <w:rFonts w:ascii="Times New Roman" w:hAnsi="Times New Roman" w:cs="Times New Roman"/>
        </w:rPr>
        <w:t xml:space="preserve">1. </w:t>
      </w:r>
      <w:r w:rsidR="00AF61D0" w:rsidRPr="00AF61D0">
        <w:rPr>
          <w:rFonts w:ascii="Times New Roman" w:hAnsi="Times New Roman" w:cs="Times New Roman"/>
        </w:rPr>
        <w:tab/>
        <w:t xml:space="preserve">Gauthier S, Rosa-Neto P, Morais JA, Webster C. World Alzheimer Report 2021: Journey through the diagnosis of dementia. London: Alzheimer’s Disease International; 2021. </w:t>
      </w:r>
    </w:p>
    <w:p w14:paraId="50FB23CF"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2. </w:t>
      </w:r>
      <w:r w:rsidRPr="00AF61D0">
        <w:rPr>
          <w:rFonts w:ascii="Times New Roman" w:hAnsi="Times New Roman" w:cs="Times New Roman"/>
        </w:rPr>
        <w:tab/>
        <w:t>Robinson L, Tang E, Taylor J-P. Dementia: timely diagnosis and early intervention. BMJ [Internet]. 2015 Jun 16 [cited 2022 Mar 2];350. Available from: https://www.bmj.com/content/350/bmj.h3029</w:t>
      </w:r>
    </w:p>
    <w:p w14:paraId="4D99AB3E"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3. </w:t>
      </w:r>
      <w:r w:rsidRPr="00AF61D0">
        <w:rPr>
          <w:rFonts w:ascii="Times New Roman" w:hAnsi="Times New Roman" w:cs="Times New Roman"/>
        </w:rPr>
        <w:tab/>
        <w:t xml:space="preserve">Fouladvand S, Mielke MM, Vassilaki M, Sauver JSt, Petersen RC, Sohn S. Deep Learning Prediction of Mild Cognitive Impairment using Electronic Health Records. Proceedings (IEEE Int Conf Bioinformatics Biomed). 2019 Nov;2019:799–806. </w:t>
      </w:r>
    </w:p>
    <w:p w14:paraId="1B4B4AB5"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4. </w:t>
      </w:r>
      <w:r w:rsidRPr="00AF61D0">
        <w:rPr>
          <w:rFonts w:ascii="Times New Roman" w:hAnsi="Times New Roman" w:cs="Times New Roman"/>
        </w:rPr>
        <w:tab/>
        <w:t xml:space="preserve">Goudarzvand S, Sauver JSt, Mielke MM, Takahashi PY, Sohn S. Analyzing Early Signals of Older Adult Cognitive Impairment in Electronic Health Records. In: 2018 IEEE International Conference on Bioinformatics and Biomedicine (BIBM). 2018. p. 1636–40. </w:t>
      </w:r>
    </w:p>
    <w:p w14:paraId="327DCBC9"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5. </w:t>
      </w:r>
      <w:r w:rsidRPr="00AF61D0">
        <w:rPr>
          <w:rFonts w:ascii="Times New Roman" w:hAnsi="Times New Roman" w:cs="Times New Roman"/>
        </w:rPr>
        <w:tab/>
        <w:t xml:space="preserve">Goudarzvand S, St Sauver J, Mielke MM, Takahashi PY, Lee Y, Sohn S. Early temporal characteristics of elderly patient cognitive impairment in electronic health records. BMC Med Inform Decis Mak. 2019 Aug 8;19(Suppl 4):149. </w:t>
      </w:r>
    </w:p>
    <w:p w14:paraId="1EFFA32E"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6. </w:t>
      </w:r>
      <w:r w:rsidRPr="00AF61D0">
        <w:rPr>
          <w:rFonts w:ascii="Times New Roman" w:hAnsi="Times New Roman" w:cs="Times New Roman"/>
        </w:rPr>
        <w:tab/>
        <w:t xml:space="preserve">Zhang R, Simon G, Yu F. Advancing Alzheimer’s research: A review of big data promises. Int J Med Inform. 2017 Oct;106:48–56. </w:t>
      </w:r>
    </w:p>
    <w:p w14:paraId="5023E849"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7. </w:t>
      </w:r>
      <w:r w:rsidRPr="00AF61D0">
        <w:rPr>
          <w:rFonts w:ascii="Times New Roman" w:hAnsi="Times New Roman" w:cs="Times New Roman"/>
        </w:rPr>
        <w:tab/>
        <w:t xml:space="preserve">Kohannim O, Hua X, Hibar DP, Lee S, Chou Y-Y, Toga AW, et al. Boosting power for clinical trials using classifiers based on multiple biomarkers. Neurobiol Aging. 2010 Aug;31(8):1429–42. </w:t>
      </w:r>
    </w:p>
    <w:p w14:paraId="0C932ACA"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8. </w:t>
      </w:r>
      <w:r w:rsidRPr="00AF61D0">
        <w:rPr>
          <w:rFonts w:ascii="Times New Roman" w:hAnsi="Times New Roman" w:cs="Times New Roman"/>
        </w:rPr>
        <w:tab/>
        <w:t xml:space="preserve">Li M, Oishi K, He X, Qin Y, Gao F, Mori S, et al. An Efficient Approach for Differentiating Alzheimer’s Disease from Normal Elderly Based on Multicenter MRI Using Gray-Level Invariant Features. PLOS ONE. 2014 Aug 20;9(8):e105563. </w:t>
      </w:r>
    </w:p>
    <w:p w14:paraId="04DD3AF0"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9. </w:t>
      </w:r>
      <w:r w:rsidRPr="00AF61D0">
        <w:rPr>
          <w:rFonts w:ascii="Times New Roman" w:hAnsi="Times New Roman" w:cs="Times New Roman"/>
        </w:rPr>
        <w:tab/>
        <w:t xml:space="preserve">van Gils M, Koikkalainen J, Mattila J, Herukka S, Lotjonen J, Soininen H. Discovery and use of efficient biomarkers for objective disease state assessment in Alzheimer’s disease. Annu Int Conf IEEE Eng Med Biol Soc. 2010;2010:2886–9. </w:t>
      </w:r>
    </w:p>
    <w:p w14:paraId="362ABB77"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10. </w:t>
      </w:r>
      <w:r w:rsidRPr="00AF61D0">
        <w:rPr>
          <w:rFonts w:ascii="Times New Roman" w:hAnsi="Times New Roman" w:cs="Times New Roman"/>
        </w:rPr>
        <w:tab/>
        <w:t>Alzheimer’s Disease Neuroimaging Initiative [Internet]. [cited 2022 Mar 3]. Available from: http://adni.loni.usc.edu/</w:t>
      </w:r>
    </w:p>
    <w:p w14:paraId="20669980"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lastRenderedPageBreak/>
        <w:t xml:space="preserve">11. </w:t>
      </w:r>
      <w:r w:rsidRPr="00AF61D0">
        <w:rPr>
          <w:rFonts w:ascii="Times New Roman" w:hAnsi="Times New Roman" w:cs="Times New Roman"/>
        </w:rPr>
        <w:tab/>
        <w:t xml:space="preserve">Lovestone S, Francis P, Kloszewska I, Mecocci P, Simmons A, Soininen H, et al. AddNeuroMed--the European collaboration for the discovery of novel biomarkers for Alzheimer’s disease. Ann N Y Acad Sci. 2009 Oct;1180:36–46. </w:t>
      </w:r>
    </w:p>
    <w:p w14:paraId="1B1B921A"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12. </w:t>
      </w:r>
      <w:r w:rsidRPr="00AF61D0">
        <w:rPr>
          <w:rFonts w:ascii="Times New Roman" w:hAnsi="Times New Roman" w:cs="Times New Roman"/>
        </w:rPr>
        <w:tab/>
        <w:t xml:space="preserve">Chen P-H, Lien C-W, Wu W-C, Lee L-S, Shaw J-S. Gait-Based Machine Learning for Classifying Patients with Different Types of Mild Cognitive Impairment. J Med Syst. 2020 Apr 23;44(6):107. </w:t>
      </w:r>
    </w:p>
    <w:p w14:paraId="0BC0B7AE"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13. </w:t>
      </w:r>
      <w:r w:rsidRPr="00AF61D0">
        <w:rPr>
          <w:rFonts w:ascii="Times New Roman" w:hAnsi="Times New Roman" w:cs="Times New Roman"/>
        </w:rPr>
        <w:tab/>
        <w:t xml:space="preserve">Bergeron MF, Landset S, Zhou X, Ding T, Khoshgoftaar TM, Zhao F, et al. Utility of MemTrax and Machine Learning Modeling in Classification of Mild Cognitive Impairment. Journal of Alzheimer’s Disease. 2020 Jan 1;77(4):1545–58. </w:t>
      </w:r>
    </w:p>
    <w:p w14:paraId="7B534594"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14. </w:t>
      </w:r>
      <w:r w:rsidRPr="00AF61D0">
        <w:rPr>
          <w:rFonts w:ascii="Times New Roman" w:hAnsi="Times New Roman" w:cs="Times New Roman"/>
        </w:rPr>
        <w:tab/>
        <w:t xml:space="preserve">Zhao X, Zhou F, Ou-Yang L, Wang T, Lei B. Graph Convolutional Network Analysis for Mild Cognitive Impairment Prediction. In: 2019 IEEE 16th International Symposium on Biomedical Imaging (ISBI 2019). 2019. p. 1598–601. </w:t>
      </w:r>
    </w:p>
    <w:p w14:paraId="44A147E2"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15. </w:t>
      </w:r>
      <w:r w:rsidRPr="00AF61D0">
        <w:rPr>
          <w:rFonts w:ascii="Times New Roman" w:hAnsi="Times New Roman" w:cs="Times New Roman"/>
        </w:rPr>
        <w:tab/>
        <w:t xml:space="preserve">Wang L, Laurentiev J, Yang J, Lo Y-C, Amariglio RE, Blacker D, et al. Development and Validation of a Deep Learning Model for Earlier Detection of Cognitive Decline From Clinical Notes in Electronic Health Records. JAMA Network Open. 2021 Nov 18;4(11):e2135174. </w:t>
      </w:r>
    </w:p>
    <w:p w14:paraId="7A4F9286"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16. </w:t>
      </w:r>
      <w:r w:rsidRPr="00AF61D0">
        <w:rPr>
          <w:rFonts w:ascii="Times New Roman" w:hAnsi="Times New Roman" w:cs="Times New Roman"/>
        </w:rPr>
        <w:tab/>
        <w:t xml:space="preserve">Pedregosa F, Varoquaux G, Gramfort A, Michel V, Thirion B, Grisel O, et al. Scikit-learn: Machine Learning in Python. Journal of Machine Learning Research. 2011;12(85):2825–30. </w:t>
      </w:r>
    </w:p>
    <w:p w14:paraId="59B50E52"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17. </w:t>
      </w:r>
      <w:r w:rsidRPr="00AF61D0">
        <w:rPr>
          <w:rFonts w:ascii="Times New Roman" w:hAnsi="Times New Roman" w:cs="Times New Roman"/>
        </w:rPr>
        <w:tab/>
        <w:t xml:space="preserve">Breiman L. Random Forests. Machine Learning. 2001 Oct 1;45(1):5–32. </w:t>
      </w:r>
    </w:p>
    <w:p w14:paraId="11F35282"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18. </w:t>
      </w:r>
      <w:r w:rsidRPr="00AF61D0">
        <w:rPr>
          <w:rFonts w:ascii="Times New Roman" w:hAnsi="Times New Roman" w:cs="Times New Roman"/>
        </w:rPr>
        <w:tab/>
        <w:t>Chen T, Guestrin C. XGBoost: A Scalable Tree Boosting System. In: Proceedings of the 22nd ACM SIGKDD International Conference on Knowledge Discovery and Data Mining [Internet]. New York, NY, USA: Association for Computing Machinery; 2016 [cited 2022 Mar 3]. p. 785–94. (KDD ’16). Available from: https://doi.org/10.1145/2939672.2939785</w:t>
      </w:r>
    </w:p>
    <w:p w14:paraId="3EB0FC39" w14:textId="77777777" w:rsidR="00AF61D0" w:rsidRPr="00AF61D0" w:rsidRDefault="00AF61D0" w:rsidP="00AF61D0">
      <w:pPr>
        <w:pStyle w:val="Bibliography"/>
        <w:rPr>
          <w:rFonts w:ascii="Times New Roman" w:hAnsi="Times New Roman" w:cs="Times New Roman"/>
        </w:rPr>
      </w:pPr>
      <w:r w:rsidRPr="00AF61D0">
        <w:rPr>
          <w:rFonts w:ascii="Times New Roman" w:hAnsi="Times New Roman" w:cs="Times New Roman"/>
        </w:rPr>
        <w:t xml:space="preserve">19. </w:t>
      </w:r>
      <w:r w:rsidRPr="00AF61D0">
        <w:rPr>
          <w:rFonts w:ascii="Times New Roman" w:hAnsi="Times New Roman" w:cs="Times New Roman"/>
        </w:rPr>
        <w:tab/>
        <w:t xml:space="preserve">Nasreddine ZS, Phillips NA, Bédirian V, Charbonneau S, Whitehead V, Collin I, et al. The Montreal Cognitive Assessment, MoCA: A Brief Screening Tool For Mild Cognitive Impairment. Journal of the American Geriatrics Society. 2005;53(4):695–9. </w:t>
      </w:r>
    </w:p>
    <w:p w14:paraId="630649F2" w14:textId="5380D915" w:rsidR="00667DA9" w:rsidRPr="00A45BAD" w:rsidRDefault="000358B0" w:rsidP="00E174ED">
      <w:pPr>
        <w:rPr>
          <w:sz w:val="20"/>
          <w:szCs w:val="20"/>
        </w:rPr>
      </w:pPr>
      <w:r w:rsidRPr="00A45BAD">
        <w:rPr>
          <w:sz w:val="20"/>
          <w:szCs w:val="20"/>
        </w:rPr>
        <w:fldChar w:fldCharType="end"/>
      </w:r>
    </w:p>
    <w:sectPr w:rsidR="00667DA9" w:rsidRPr="00A45BAD">
      <w:pgSz w:w="12240" w:h="15840"/>
      <w:pgMar w:top="1417" w:right="1440" w:bottom="19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A2C"/>
    <w:multiLevelType w:val="hybridMultilevel"/>
    <w:tmpl w:val="0F6ADB50"/>
    <w:lvl w:ilvl="0" w:tplc="0AE662A2">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0B2C4BC">
      <w:start w:val="1"/>
      <w:numFmt w:val="lowerLetter"/>
      <w:lvlText w:val="%2"/>
      <w:lvlJc w:val="left"/>
      <w:pPr>
        <w:ind w:left="1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B34D238">
      <w:start w:val="1"/>
      <w:numFmt w:val="lowerRoman"/>
      <w:lvlText w:val="%3"/>
      <w:lvlJc w:val="left"/>
      <w:pPr>
        <w:ind w:left="1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380F116">
      <w:start w:val="1"/>
      <w:numFmt w:val="decimal"/>
      <w:lvlText w:val="%4"/>
      <w:lvlJc w:val="left"/>
      <w:pPr>
        <w:ind w:left="25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3661402">
      <w:start w:val="1"/>
      <w:numFmt w:val="lowerLetter"/>
      <w:lvlText w:val="%5"/>
      <w:lvlJc w:val="left"/>
      <w:pPr>
        <w:ind w:left="32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E925290">
      <w:start w:val="1"/>
      <w:numFmt w:val="lowerRoman"/>
      <w:lvlText w:val="%6"/>
      <w:lvlJc w:val="left"/>
      <w:pPr>
        <w:ind w:left="39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EAE1FA">
      <w:start w:val="1"/>
      <w:numFmt w:val="decimal"/>
      <w:lvlText w:val="%7"/>
      <w:lvlJc w:val="left"/>
      <w:pPr>
        <w:ind w:left="47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7407A0">
      <w:start w:val="1"/>
      <w:numFmt w:val="lowerLetter"/>
      <w:lvlText w:val="%8"/>
      <w:lvlJc w:val="left"/>
      <w:pPr>
        <w:ind w:left="54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D360C8C">
      <w:start w:val="1"/>
      <w:numFmt w:val="lowerRoman"/>
      <w:lvlText w:val="%9"/>
      <w:lvlJc w:val="left"/>
      <w:pPr>
        <w:ind w:left="61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E13590"/>
    <w:multiLevelType w:val="hybridMultilevel"/>
    <w:tmpl w:val="1B282690"/>
    <w:lvl w:ilvl="0" w:tplc="D0A60060">
      <w:start w:val="6"/>
      <w:numFmt w:val="lowerLetter"/>
      <w:lvlText w:val="%1"/>
      <w:lvlJc w:val="left"/>
      <w:pPr>
        <w:ind w:left="632"/>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1" w:tplc="AC20D3A4">
      <w:start w:val="1"/>
      <w:numFmt w:val="lowerLetter"/>
      <w:lvlText w:val="%2"/>
      <w:lvlJc w:val="left"/>
      <w:pPr>
        <w:ind w:left="338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tplc="DB5AC7F4">
      <w:start w:val="1"/>
      <w:numFmt w:val="lowerRoman"/>
      <w:lvlText w:val="%3"/>
      <w:lvlJc w:val="left"/>
      <w:pPr>
        <w:ind w:left="410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tplc="967209AC">
      <w:start w:val="1"/>
      <w:numFmt w:val="decimal"/>
      <w:lvlText w:val="%4"/>
      <w:lvlJc w:val="left"/>
      <w:pPr>
        <w:ind w:left="482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tplc="87A2EACC">
      <w:start w:val="1"/>
      <w:numFmt w:val="lowerLetter"/>
      <w:lvlText w:val="%5"/>
      <w:lvlJc w:val="left"/>
      <w:pPr>
        <w:ind w:left="554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tplc="32F2E460">
      <w:start w:val="1"/>
      <w:numFmt w:val="lowerRoman"/>
      <w:lvlText w:val="%6"/>
      <w:lvlJc w:val="left"/>
      <w:pPr>
        <w:ind w:left="626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tplc="DDE68284">
      <w:start w:val="1"/>
      <w:numFmt w:val="decimal"/>
      <w:lvlText w:val="%7"/>
      <w:lvlJc w:val="left"/>
      <w:pPr>
        <w:ind w:left="698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tplc="890E62A6">
      <w:start w:val="1"/>
      <w:numFmt w:val="lowerLetter"/>
      <w:lvlText w:val="%8"/>
      <w:lvlJc w:val="left"/>
      <w:pPr>
        <w:ind w:left="770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tplc="0EA401FA">
      <w:start w:val="1"/>
      <w:numFmt w:val="lowerRoman"/>
      <w:lvlText w:val="%9"/>
      <w:lvlJc w:val="left"/>
      <w:pPr>
        <w:ind w:left="842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0EF5601"/>
    <w:multiLevelType w:val="hybridMultilevel"/>
    <w:tmpl w:val="40F45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57F12"/>
    <w:multiLevelType w:val="hybridMultilevel"/>
    <w:tmpl w:val="66E0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F6BDC"/>
    <w:multiLevelType w:val="multilevel"/>
    <w:tmpl w:val="5DB8C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DA9"/>
    <w:rsid w:val="000358B0"/>
    <w:rsid w:val="00040673"/>
    <w:rsid w:val="000570E5"/>
    <w:rsid w:val="000576DA"/>
    <w:rsid w:val="0006513D"/>
    <w:rsid w:val="00067537"/>
    <w:rsid w:val="00070AEE"/>
    <w:rsid w:val="000809DA"/>
    <w:rsid w:val="0008418D"/>
    <w:rsid w:val="00093D6A"/>
    <w:rsid w:val="000A2F7A"/>
    <w:rsid w:val="000A5E9A"/>
    <w:rsid w:val="000A76F8"/>
    <w:rsid w:val="000B2EE7"/>
    <w:rsid w:val="000B5F60"/>
    <w:rsid w:val="000B7122"/>
    <w:rsid w:val="000B780E"/>
    <w:rsid w:val="000C3C4F"/>
    <w:rsid w:val="000D3250"/>
    <w:rsid w:val="000D6B2D"/>
    <w:rsid w:val="001040A8"/>
    <w:rsid w:val="001052BA"/>
    <w:rsid w:val="001116C9"/>
    <w:rsid w:val="001149FE"/>
    <w:rsid w:val="00117EC7"/>
    <w:rsid w:val="001210AE"/>
    <w:rsid w:val="00130B1B"/>
    <w:rsid w:val="001315EC"/>
    <w:rsid w:val="001325D1"/>
    <w:rsid w:val="00135035"/>
    <w:rsid w:val="00140822"/>
    <w:rsid w:val="00150D6D"/>
    <w:rsid w:val="001660D2"/>
    <w:rsid w:val="0017346C"/>
    <w:rsid w:val="0018383D"/>
    <w:rsid w:val="00186FBC"/>
    <w:rsid w:val="00187DE1"/>
    <w:rsid w:val="001905AE"/>
    <w:rsid w:val="001A0B3B"/>
    <w:rsid w:val="001A213E"/>
    <w:rsid w:val="001B3A05"/>
    <w:rsid w:val="001D5667"/>
    <w:rsid w:val="001F04D5"/>
    <w:rsid w:val="001F0D5C"/>
    <w:rsid w:val="0020757E"/>
    <w:rsid w:val="00212EBC"/>
    <w:rsid w:val="002173F3"/>
    <w:rsid w:val="00217F17"/>
    <w:rsid w:val="00221E18"/>
    <w:rsid w:val="0023228D"/>
    <w:rsid w:val="0024093A"/>
    <w:rsid w:val="002470EE"/>
    <w:rsid w:val="002478F2"/>
    <w:rsid w:val="00257632"/>
    <w:rsid w:val="00274B52"/>
    <w:rsid w:val="002778E7"/>
    <w:rsid w:val="00280386"/>
    <w:rsid w:val="002931FC"/>
    <w:rsid w:val="002B4AB9"/>
    <w:rsid w:val="002D4305"/>
    <w:rsid w:val="002D5ADD"/>
    <w:rsid w:val="002D6B59"/>
    <w:rsid w:val="002F0386"/>
    <w:rsid w:val="00310A61"/>
    <w:rsid w:val="003178C4"/>
    <w:rsid w:val="00324784"/>
    <w:rsid w:val="003320E9"/>
    <w:rsid w:val="00334A1D"/>
    <w:rsid w:val="003424E0"/>
    <w:rsid w:val="00347C5D"/>
    <w:rsid w:val="003671B9"/>
    <w:rsid w:val="00373275"/>
    <w:rsid w:val="003735A4"/>
    <w:rsid w:val="00373CF7"/>
    <w:rsid w:val="00380631"/>
    <w:rsid w:val="003D69CD"/>
    <w:rsid w:val="003F1693"/>
    <w:rsid w:val="003F2E07"/>
    <w:rsid w:val="003F5AF9"/>
    <w:rsid w:val="00401A31"/>
    <w:rsid w:val="00410A00"/>
    <w:rsid w:val="004118A3"/>
    <w:rsid w:val="00430E8A"/>
    <w:rsid w:val="00443303"/>
    <w:rsid w:val="004439C1"/>
    <w:rsid w:val="00443C3A"/>
    <w:rsid w:val="004455A9"/>
    <w:rsid w:val="004545E2"/>
    <w:rsid w:val="0047242D"/>
    <w:rsid w:val="00472718"/>
    <w:rsid w:val="004750BB"/>
    <w:rsid w:val="00475FEC"/>
    <w:rsid w:val="004873A8"/>
    <w:rsid w:val="00491DF5"/>
    <w:rsid w:val="004921CD"/>
    <w:rsid w:val="004975B6"/>
    <w:rsid w:val="004C3493"/>
    <w:rsid w:val="004C6E5F"/>
    <w:rsid w:val="004D0F15"/>
    <w:rsid w:val="004D2CB0"/>
    <w:rsid w:val="004E3D38"/>
    <w:rsid w:val="004E669C"/>
    <w:rsid w:val="004F0141"/>
    <w:rsid w:val="004F556D"/>
    <w:rsid w:val="00501B65"/>
    <w:rsid w:val="00504B2D"/>
    <w:rsid w:val="00507D69"/>
    <w:rsid w:val="005126D4"/>
    <w:rsid w:val="00533019"/>
    <w:rsid w:val="00554B9B"/>
    <w:rsid w:val="00572E35"/>
    <w:rsid w:val="005756DA"/>
    <w:rsid w:val="005770E7"/>
    <w:rsid w:val="00587016"/>
    <w:rsid w:val="005A366F"/>
    <w:rsid w:val="005A7CC7"/>
    <w:rsid w:val="005B23CC"/>
    <w:rsid w:val="005C17BE"/>
    <w:rsid w:val="005C1E37"/>
    <w:rsid w:val="005C33CA"/>
    <w:rsid w:val="005C3F6C"/>
    <w:rsid w:val="005C5532"/>
    <w:rsid w:val="005D555D"/>
    <w:rsid w:val="005F322D"/>
    <w:rsid w:val="00620B97"/>
    <w:rsid w:val="00624FB6"/>
    <w:rsid w:val="006261ED"/>
    <w:rsid w:val="00636DF5"/>
    <w:rsid w:val="00667DA9"/>
    <w:rsid w:val="00674BA6"/>
    <w:rsid w:val="00674E7F"/>
    <w:rsid w:val="00675B79"/>
    <w:rsid w:val="00682E6D"/>
    <w:rsid w:val="00690B99"/>
    <w:rsid w:val="006A1194"/>
    <w:rsid w:val="006A4A51"/>
    <w:rsid w:val="006A5AB4"/>
    <w:rsid w:val="006D05E4"/>
    <w:rsid w:val="006D1860"/>
    <w:rsid w:val="006D3CBD"/>
    <w:rsid w:val="006D4188"/>
    <w:rsid w:val="006E51F7"/>
    <w:rsid w:val="00704C06"/>
    <w:rsid w:val="0071126F"/>
    <w:rsid w:val="00713835"/>
    <w:rsid w:val="0073031C"/>
    <w:rsid w:val="00731894"/>
    <w:rsid w:val="00736F0B"/>
    <w:rsid w:val="00752A87"/>
    <w:rsid w:val="00756B57"/>
    <w:rsid w:val="00757E68"/>
    <w:rsid w:val="007656E9"/>
    <w:rsid w:val="00795809"/>
    <w:rsid w:val="00797D73"/>
    <w:rsid w:val="007B4A54"/>
    <w:rsid w:val="007B7E4F"/>
    <w:rsid w:val="007C745D"/>
    <w:rsid w:val="007D04A8"/>
    <w:rsid w:val="007D0ADE"/>
    <w:rsid w:val="007D1FC2"/>
    <w:rsid w:val="007D360B"/>
    <w:rsid w:val="007D5E45"/>
    <w:rsid w:val="007D650D"/>
    <w:rsid w:val="007D6BFC"/>
    <w:rsid w:val="00803A3C"/>
    <w:rsid w:val="00803C7A"/>
    <w:rsid w:val="0080403F"/>
    <w:rsid w:val="00810553"/>
    <w:rsid w:val="008116DE"/>
    <w:rsid w:val="008134C1"/>
    <w:rsid w:val="00813E59"/>
    <w:rsid w:val="00820F03"/>
    <w:rsid w:val="00850A67"/>
    <w:rsid w:val="008607A7"/>
    <w:rsid w:val="008771DF"/>
    <w:rsid w:val="00881B4A"/>
    <w:rsid w:val="00881D42"/>
    <w:rsid w:val="00887A36"/>
    <w:rsid w:val="00896832"/>
    <w:rsid w:val="00897F2D"/>
    <w:rsid w:val="008A17E0"/>
    <w:rsid w:val="008A5866"/>
    <w:rsid w:val="008B6915"/>
    <w:rsid w:val="008B73AD"/>
    <w:rsid w:val="008D513E"/>
    <w:rsid w:val="008E0DCC"/>
    <w:rsid w:val="008E1C1F"/>
    <w:rsid w:val="008E3631"/>
    <w:rsid w:val="008F2096"/>
    <w:rsid w:val="00903753"/>
    <w:rsid w:val="00917D05"/>
    <w:rsid w:val="009317EB"/>
    <w:rsid w:val="009350DF"/>
    <w:rsid w:val="009378F1"/>
    <w:rsid w:val="00947C87"/>
    <w:rsid w:val="00947F17"/>
    <w:rsid w:val="0098507E"/>
    <w:rsid w:val="0098741E"/>
    <w:rsid w:val="0099544B"/>
    <w:rsid w:val="00996D09"/>
    <w:rsid w:val="009A1CB9"/>
    <w:rsid w:val="009A545B"/>
    <w:rsid w:val="009B326B"/>
    <w:rsid w:val="009B40B8"/>
    <w:rsid w:val="009C3082"/>
    <w:rsid w:val="009C330C"/>
    <w:rsid w:val="009E444D"/>
    <w:rsid w:val="009E6452"/>
    <w:rsid w:val="009E7C43"/>
    <w:rsid w:val="00A13E1E"/>
    <w:rsid w:val="00A2386C"/>
    <w:rsid w:val="00A26449"/>
    <w:rsid w:val="00A264FB"/>
    <w:rsid w:val="00A45BAD"/>
    <w:rsid w:val="00A577BA"/>
    <w:rsid w:val="00A61687"/>
    <w:rsid w:val="00A67569"/>
    <w:rsid w:val="00A72E1B"/>
    <w:rsid w:val="00A86E0C"/>
    <w:rsid w:val="00A97AE5"/>
    <w:rsid w:val="00AA17F5"/>
    <w:rsid w:val="00AB0B33"/>
    <w:rsid w:val="00AD4AFD"/>
    <w:rsid w:val="00AE08C9"/>
    <w:rsid w:val="00AE52B8"/>
    <w:rsid w:val="00AF178A"/>
    <w:rsid w:val="00AF61D0"/>
    <w:rsid w:val="00B00404"/>
    <w:rsid w:val="00B0195E"/>
    <w:rsid w:val="00B047C2"/>
    <w:rsid w:val="00B2486B"/>
    <w:rsid w:val="00B24F29"/>
    <w:rsid w:val="00B30183"/>
    <w:rsid w:val="00B31906"/>
    <w:rsid w:val="00B35B3B"/>
    <w:rsid w:val="00B37B43"/>
    <w:rsid w:val="00B448B8"/>
    <w:rsid w:val="00B64064"/>
    <w:rsid w:val="00B72281"/>
    <w:rsid w:val="00B82C20"/>
    <w:rsid w:val="00B84F6B"/>
    <w:rsid w:val="00B96DCE"/>
    <w:rsid w:val="00B972B5"/>
    <w:rsid w:val="00BA1E66"/>
    <w:rsid w:val="00BA3A83"/>
    <w:rsid w:val="00BA4094"/>
    <w:rsid w:val="00BD09ED"/>
    <w:rsid w:val="00BE402D"/>
    <w:rsid w:val="00BE45E7"/>
    <w:rsid w:val="00BE4892"/>
    <w:rsid w:val="00BE62FA"/>
    <w:rsid w:val="00BF1F9E"/>
    <w:rsid w:val="00BF45FA"/>
    <w:rsid w:val="00C03F02"/>
    <w:rsid w:val="00C270D7"/>
    <w:rsid w:val="00C306A7"/>
    <w:rsid w:val="00C349EE"/>
    <w:rsid w:val="00C34AEB"/>
    <w:rsid w:val="00C34AFA"/>
    <w:rsid w:val="00C512B8"/>
    <w:rsid w:val="00C52ECE"/>
    <w:rsid w:val="00C54891"/>
    <w:rsid w:val="00C65212"/>
    <w:rsid w:val="00C8668A"/>
    <w:rsid w:val="00C937A5"/>
    <w:rsid w:val="00CA546C"/>
    <w:rsid w:val="00CC1542"/>
    <w:rsid w:val="00CC26FB"/>
    <w:rsid w:val="00CD2DCA"/>
    <w:rsid w:val="00CD4F57"/>
    <w:rsid w:val="00CF65A7"/>
    <w:rsid w:val="00CF6809"/>
    <w:rsid w:val="00D029A0"/>
    <w:rsid w:val="00D04873"/>
    <w:rsid w:val="00D26D97"/>
    <w:rsid w:val="00D4315D"/>
    <w:rsid w:val="00D46FB4"/>
    <w:rsid w:val="00D51459"/>
    <w:rsid w:val="00D5369D"/>
    <w:rsid w:val="00D627C6"/>
    <w:rsid w:val="00D67258"/>
    <w:rsid w:val="00D802A4"/>
    <w:rsid w:val="00D809F0"/>
    <w:rsid w:val="00D86998"/>
    <w:rsid w:val="00DA16A7"/>
    <w:rsid w:val="00DB620C"/>
    <w:rsid w:val="00DC28F5"/>
    <w:rsid w:val="00DC3A1C"/>
    <w:rsid w:val="00DD5F54"/>
    <w:rsid w:val="00DE43E9"/>
    <w:rsid w:val="00E03F8A"/>
    <w:rsid w:val="00E174ED"/>
    <w:rsid w:val="00E32583"/>
    <w:rsid w:val="00E3312D"/>
    <w:rsid w:val="00E37B18"/>
    <w:rsid w:val="00E41EF8"/>
    <w:rsid w:val="00E46CE5"/>
    <w:rsid w:val="00E536C1"/>
    <w:rsid w:val="00E54C35"/>
    <w:rsid w:val="00E60382"/>
    <w:rsid w:val="00E618AD"/>
    <w:rsid w:val="00E7210A"/>
    <w:rsid w:val="00E75F8B"/>
    <w:rsid w:val="00E93A6D"/>
    <w:rsid w:val="00EA3260"/>
    <w:rsid w:val="00EB4185"/>
    <w:rsid w:val="00EC3247"/>
    <w:rsid w:val="00ED2488"/>
    <w:rsid w:val="00EF39B1"/>
    <w:rsid w:val="00EF7850"/>
    <w:rsid w:val="00F07D3B"/>
    <w:rsid w:val="00F10248"/>
    <w:rsid w:val="00F16529"/>
    <w:rsid w:val="00F2036C"/>
    <w:rsid w:val="00F30FFF"/>
    <w:rsid w:val="00F324F3"/>
    <w:rsid w:val="00F41D60"/>
    <w:rsid w:val="00F43671"/>
    <w:rsid w:val="00F4645D"/>
    <w:rsid w:val="00F545DB"/>
    <w:rsid w:val="00F60DFD"/>
    <w:rsid w:val="00F76848"/>
    <w:rsid w:val="00F83037"/>
    <w:rsid w:val="00F849FE"/>
    <w:rsid w:val="00F879D2"/>
    <w:rsid w:val="00F92327"/>
    <w:rsid w:val="00F947EE"/>
    <w:rsid w:val="00FB6C46"/>
    <w:rsid w:val="00FC4AED"/>
    <w:rsid w:val="00FD391E"/>
    <w:rsid w:val="00FE377C"/>
    <w:rsid w:val="00FE7A6C"/>
    <w:rsid w:val="00FF1D24"/>
    <w:rsid w:val="00FF72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EA93B00"/>
  <w15:docId w15:val="{72079665-E233-7049-9439-8EF11B8E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F54"/>
    <w:rPr>
      <w:rFonts w:ascii="Times New Roman" w:eastAsia="Times New Roman" w:hAnsi="Times New Roman" w:cs="Times New Roman"/>
    </w:rPr>
  </w:style>
  <w:style w:type="paragraph" w:styleId="Heading1">
    <w:name w:val="heading 1"/>
    <w:next w:val="Normal"/>
    <w:link w:val="Heading1Char"/>
    <w:uiPriority w:val="9"/>
    <w:qFormat/>
    <w:pPr>
      <w:keepNext/>
      <w:keepLines/>
      <w:spacing w:after="97" w:line="259" w:lineRule="auto"/>
      <w:ind w:left="10" w:hanging="10"/>
      <w:outlineLvl w:val="0"/>
    </w:pPr>
    <w:rPr>
      <w:rFonts w:ascii="Calibri" w:eastAsia="Calibri" w:hAnsi="Calibri" w:cs="Calibri"/>
      <w:color w:val="000000"/>
      <w:sz w:val="20"/>
    </w:rPr>
  </w:style>
  <w:style w:type="paragraph" w:styleId="Heading2">
    <w:name w:val="heading 2"/>
    <w:next w:val="Normal"/>
    <w:link w:val="Heading2Char"/>
    <w:uiPriority w:val="9"/>
    <w:unhideWhenUsed/>
    <w:qFormat/>
    <w:pPr>
      <w:keepNext/>
      <w:keepLines/>
      <w:spacing w:after="106" w:line="248" w:lineRule="auto"/>
      <w:ind w:left="10" w:hanging="10"/>
      <w:jc w:val="both"/>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i/>
      <w:color w:val="000000"/>
      <w:sz w:val="20"/>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D5369D"/>
    <w:rPr>
      <w:color w:val="808080"/>
    </w:rPr>
  </w:style>
  <w:style w:type="character" w:customStyle="1" w:styleId="apple-converted-space">
    <w:name w:val="apple-converted-space"/>
    <w:basedOn w:val="DefaultParagraphFont"/>
    <w:rsid w:val="0098507E"/>
  </w:style>
  <w:style w:type="table" w:styleId="TableGrid0">
    <w:name w:val="Table Grid"/>
    <w:basedOn w:val="TableNormal"/>
    <w:uiPriority w:val="39"/>
    <w:rsid w:val="00C65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10A00"/>
    <w:pPr>
      <w:tabs>
        <w:tab w:val="left" w:pos="380"/>
      </w:tabs>
      <w:spacing w:after="240"/>
      <w:ind w:left="384" w:hanging="384"/>
      <w:jc w:val="both"/>
    </w:pPr>
    <w:rPr>
      <w:rFonts w:ascii="Calibri" w:eastAsia="Calibri" w:hAnsi="Calibri" w:cs="Calibri"/>
      <w:color w:val="000000"/>
      <w:sz w:val="20"/>
    </w:rPr>
  </w:style>
  <w:style w:type="paragraph" w:customStyle="1" w:styleId="AMIATitle">
    <w:name w:val="AMIA Title"/>
    <w:basedOn w:val="Normal"/>
    <w:next w:val="Normal"/>
    <w:rsid w:val="00A72E1B"/>
    <w:pPr>
      <w:spacing w:after="280"/>
      <w:jc w:val="center"/>
    </w:pPr>
    <w:rPr>
      <w:b/>
      <w:sz w:val="28"/>
      <w:szCs w:val="20"/>
    </w:rPr>
  </w:style>
  <w:style w:type="paragraph" w:customStyle="1" w:styleId="AMIAAuthors">
    <w:name w:val="AMIA Authors"/>
    <w:basedOn w:val="Normal"/>
    <w:next w:val="Normal"/>
    <w:rsid w:val="00A72E1B"/>
    <w:pPr>
      <w:jc w:val="center"/>
    </w:pPr>
    <w:rPr>
      <w:b/>
      <w:szCs w:val="20"/>
    </w:rPr>
  </w:style>
  <w:style w:type="paragraph" w:customStyle="1" w:styleId="AMIAAbstractHeading">
    <w:name w:val="AMIA Abstract Heading"/>
    <w:basedOn w:val="Normal"/>
    <w:rsid w:val="00A72E1B"/>
    <w:pPr>
      <w:keepNext/>
      <w:spacing w:after="120"/>
      <w:jc w:val="both"/>
      <w:outlineLvl w:val="0"/>
    </w:pPr>
    <w:rPr>
      <w:b/>
      <w:sz w:val="20"/>
      <w:szCs w:val="20"/>
    </w:rPr>
  </w:style>
  <w:style w:type="paragraph" w:customStyle="1" w:styleId="AMIAAbstract">
    <w:name w:val="AMIA Abstract"/>
    <w:basedOn w:val="Normal"/>
    <w:rsid w:val="00430E8A"/>
    <w:pPr>
      <w:spacing w:after="120"/>
      <w:jc w:val="both"/>
    </w:pPr>
    <w:rPr>
      <w:i/>
      <w:sz w:val="20"/>
      <w:szCs w:val="20"/>
    </w:rPr>
  </w:style>
  <w:style w:type="paragraph" w:styleId="ListParagraph">
    <w:name w:val="List Paragraph"/>
    <w:basedOn w:val="Normal"/>
    <w:uiPriority w:val="34"/>
    <w:qFormat/>
    <w:rsid w:val="00756B57"/>
    <w:pPr>
      <w:spacing w:after="178" w:line="248" w:lineRule="auto"/>
      <w:ind w:left="720" w:hanging="10"/>
      <w:contextualSpacing/>
      <w:jc w:val="both"/>
    </w:pPr>
    <w:rPr>
      <w:rFonts w:ascii="Calibri" w:eastAsia="Calibri" w:hAnsi="Calibri" w:cs="Calibri"/>
      <w:color w:val="000000"/>
      <w:sz w:val="20"/>
    </w:rPr>
  </w:style>
  <w:style w:type="character" w:styleId="Hyperlink">
    <w:name w:val="Hyperlink"/>
    <w:basedOn w:val="DefaultParagraphFont"/>
    <w:uiPriority w:val="99"/>
    <w:semiHidden/>
    <w:unhideWhenUsed/>
    <w:rsid w:val="00E3312D"/>
    <w:rPr>
      <w:color w:val="0000FF"/>
      <w:u w:val="single"/>
    </w:rPr>
  </w:style>
  <w:style w:type="paragraph" w:styleId="NormalWeb">
    <w:name w:val="Normal (Web)"/>
    <w:basedOn w:val="Normal"/>
    <w:uiPriority w:val="99"/>
    <w:semiHidden/>
    <w:unhideWhenUsed/>
    <w:rsid w:val="00DB620C"/>
    <w:pPr>
      <w:spacing w:before="100" w:beforeAutospacing="1" w:after="100" w:afterAutospacing="1"/>
    </w:pPr>
  </w:style>
  <w:style w:type="paragraph" w:customStyle="1" w:styleId="AMIABodyText">
    <w:name w:val="AMIA Body Text"/>
    <w:basedOn w:val="Normal"/>
    <w:rsid w:val="00A45BAD"/>
    <w:pPr>
      <w:suppressAutoHyphens/>
      <w:spacing w:after="120"/>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149">
      <w:bodyDiv w:val="1"/>
      <w:marLeft w:val="0"/>
      <w:marRight w:val="0"/>
      <w:marTop w:val="0"/>
      <w:marBottom w:val="0"/>
      <w:divBdr>
        <w:top w:val="none" w:sz="0" w:space="0" w:color="auto"/>
        <w:left w:val="none" w:sz="0" w:space="0" w:color="auto"/>
        <w:bottom w:val="none" w:sz="0" w:space="0" w:color="auto"/>
        <w:right w:val="none" w:sz="0" w:space="0" w:color="auto"/>
      </w:divBdr>
    </w:div>
    <w:div w:id="191693547">
      <w:bodyDiv w:val="1"/>
      <w:marLeft w:val="0"/>
      <w:marRight w:val="0"/>
      <w:marTop w:val="0"/>
      <w:marBottom w:val="0"/>
      <w:divBdr>
        <w:top w:val="none" w:sz="0" w:space="0" w:color="auto"/>
        <w:left w:val="none" w:sz="0" w:space="0" w:color="auto"/>
        <w:bottom w:val="none" w:sz="0" w:space="0" w:color="auto"/>
        <w:right w:val="none" w:sz="0" w:space="0" w:color="auto"/>
      </w:divBdr>
    </w:div>
    <w:div w:id="257756467">
      <w:bodyDiv w:val="1"/>
      <w:marLeft w:val="0"/>
      <w:marRight w:val="0"/>
      <w:marTop w:val="0"/>
      <w:marBottom w:val="0"/>
      <w:divBdr>
        <w:top w:val="none" w:sz="0" w:space="0" w:color="auto"/>
        <w:left w:val="none" w:sz="0" w:space="0" w:color="auto"/>
        <w:bottom w:val="none" w:sz="0" w:space="0" w:color="auto"/>
        <w:right w:val="none" w:sz="0" w:space="0" w:color="auto"/>
      </w:divBdr>
    </w:div>
    <w:div w:id="260726259">
      <w:bodyDiv w:val="1"/>
      <w:marLeft w:val="0"/>
      <w:marRight w:val="0"/>
      <w:marTop w:val="0"/>
      <w:marBottom w:val="0"/>
      <w:divBdr>
        <w:top w:val="none" w:sz="0" w:space="0" w:color="auto"/>
        <w:left w:val="none" w:sz="0" w:space="0" w:color="auto"/>
        <w:bottom w:val="none" w:sz="0" w:space="0" w:color="auto"/>
        <w:right w:val="none" w:sz="0" w:space="0" w:color="auto"/>
      </w:divBdr>
    </w:div>
    <w:div w:id="274220290">
      <w:bodyDiv w:val="1"/>
      <w:marLeft w:val="0"/>
      <w:marRight w:val="0"/>
      <w:marTop w:val="0"/>
      <w:marBottom w:val="0"/>
      <w:divBdr>
        <w:top w:val="none" w:sz="0" w:space="0" w:color="auto"/>
        <w:left w:val="none" w:sz="0" w:space="0" w:color="auto"/>
        <w:bottom w:val="none" w:sz="0" w:space="0" w:color="auto"/>
        <w:right w:val="none" w:sz="0" w:space="0" w:color="auto"/>
      </w:divBdr>
    </w:div>
    <w:div w:id="349842242">
      <w:bodyDiv w:val="1"/>
      <w:marLeft w:val="0"/>
      <w:marRight w:val="0"/>
      <w:marTop w:val="0"/>
      <w:marBottom w:val="0"/>
      <w:divBdr>
        <w:top w:val="none" w:sz="0" w:space="0" w:color="auto"/>
        <w:left w:val="none" w:sz="0" w:space="0" w:color="auto"/>
        <w:bottom w:val="none" w:sz="0" w:space="0" w:color="auto"/>
        <w:right w:val="none" w:sz="0" w:space="0" w:color="auto"/>
      </w:divBdr>
    </w:div>
    <w:div w:id="395669124">
      <w:bodyDiv w:val="1"/>
      <w:marLeft w:val="0"/>
      <w:marRight w:val="0"/>
      <w:marTop w:val="0"/>
      <w:marBottom w:val="0"/>
      <w:divBdr>
        <w:top w:val="none" w:sz="0" w:space="0" w:color="auto"/>
        <w:left w:val="none" w:sz="0" w:space="0" w:color="auto"/>
        <w:bottom w:val="none" w:sz="0" w:space="0" w:color="auto"/>
        <w:right w:val="none" w:sz="0" w:space="0" w:color="auto"/>
      </w:divBdr>
    </w:div>
    <w:div w:id="451483441">
      <w:bodyDiv w:val="1"/>
      <w:marLeft w:val="0"/>
      <w:marRight w:val="0"/>
      <w:marTop w:val="0"/>
      <w:marBottom w:val="0"/>
      <w:divBdr>
        <w:top w:val="none" w:sz="0" w:space="0" w:color="auto"/>
        <w:left w:val="none" w:sz="0" w:space="0" w:color="auto"/>
        <w:bottom w:val="none" w:sz="0" w:space="0" w:color="auto"/>
        <w:right w:val="none" w:sz="0" w:space="0" w:color="auto"/>
      </w:divBdr>
      <w:divsChild>
        <w:div w:id="440606793">
          <w:marLeft w:val="0"/>
          <w:marRight w:val="0"/>
          <w:marTop w:val="0"/>
          <w:marBottom w:val="0"/>
          <w:divBdr>
            <w:top w:val="none" w:sz="0" w:space="0" w:color="auto"/>
            <w:left w:val="none" w:sz="0" w:space="0" w:color="auto"/>
            <w:bottom w:val="none" w:sz="0" w:space="0" w:color="auto"/>
            <w:right w:val="none" w:sz="0" w:space="0" w:color="auto"/>
          </w:divBdr>
        </w:div>
        <w:div w:id="467742544">
          <w:marLeft w:val="0"/>
          <w:marRight w:val="0"/>
          <w:marTop w:val="0"/>
          <w:marBottom w:val="0"/>
          <w:divBdr>
            <w:top w:val="none" w:sz="0" w:space="0" w:color="auto"/>
            <w:left w:val="none" w:sz="0" w:space="0" w:color="auto"/>
            <w:bottom w:val="none" w:sz="0" w:space="0" w:color="auto"/>
            <w:right w:val="none" w:sz="0" w:space="0" w:color="auto"/>
          </w:divBdr>
        </w:div>
      </w:divsChild>
    </w:div>
    <w:div w:id="491026842">
      <w:bodyDiv w:val="1"/>
      <w:marLeft w:val="0"/>
      <w:marRight w:val="0"/>
      <w:marTop w:val="0"/>
      <w:marBottom w:val="0"/>
      <w:divBdr>
        <w:top w:val="none" w:sz="0" w:space="0" w:color="auto"/>
        <w:left w:val="none" w:sz="0" w:space="0" w:color="auto"/>
        <w:bottom w:val="none" w:sz="0" w:space="0" w:color="auto"/>
        <w:right w:val="none" w:sz="0" w:space="0" w:color="auto"/>
      </w:divBdr>
    </w:div>
    <w:div w:id="567347892">
      <w:bodyDiv w:val="1"/>
      <w:marLeft w:val="0"/>
      <w:marRight w:val="0"/>
      <w:marTop w:val="0"/>
      <w:marBottom w:val="0"/>
      <w:divBdr>
        <w:top w:val="none" w:sz="0" w:space="0" w:color="auto"/>
        <w:left w:val="none" w:sz="0" w:space="0" w:color="auto"/>
        <w:bottom w:val="none" w:sz="0" w:space="0" w:color="auto"/>
        <w:right w:val="none" w:sz="0" w:space="0" w:color="auto"/>
      </w:divBdr>
    </w:div>
    <w:div w:id="567573699">
      <w:bodyDiv w:val="1"/>
      <w:marLeft w:val="0"/>
      <w:marRight w:val="0"/>
      <w:marTop w:val="0"/>
      <w:marBottom w:val="0"/>
      <w:divBdr>
        <w:top w:val="none" w:sz="0" w:space="0" w:color="auto"/>
        <w:left w:val="none" w:sz="0" w:space="0" w:color="auto"/>
        <w:bottom w:val="none" w:sz="0" w:space="0" w:color="auto"/>
        <w:right w:val="none" w:sz="0" w:space="0" w:color="auto"/>
      </w:divBdr>
    </w:div>
    <w:div w:id="694773918">
      <w:bodyDiv w:val="1"/>
      <w:marLeft w:val="0"/>
      <w:marRight w:val="0"/>
      <w:marTop w:val="0"/>
      <w:marBottom w:val="0"/>
      <w:divBdr>
        <w:top w:val="none" w:sz="0" w:space="0" w:color="auto"/>
        <w:left w:val="none" w:sz="0" w:space="0" w:color="auto"/>
        <w:bottom w:val="none" w:sz="0" w:space="0" w:color="auto"/>
        <w:right w:val="none" w:sz="0" w:space="0" w:color="auto"/>
      </w:divBdr>
    </w:div>
    <w:div w:id="735977190">
      <w:bodyDiv w:val="1"/>
      <w:marLeft w:val="0"/>
      <w:marRight w:val="0"/>
      <w:marTop w:val="0"/>
      <w:marBottom w:val="0"/>
      <w:divBdr>
        <w:top w:val="none" w:sz="0" w:space="0" w:color="auto"/>
        <w:left w:val="none" w:sz="0" w:space="0" w:color="auto"/>
        <w:bottom w:val="none" w:sz="0" w:space="0" w:color="auto"/>
        <w:right w:val="none" w:sz="0" w:space="0" w:color="auto"/>
      </w:divBdr>
    </w:div>
    <w:div w:id="752900315">
      <w:bodyDiv w:val="1"/>
      <w:marLeft w:val="0"/>
      <w:marRight w:val="0"/>
      <w:marTop w:val="0"/>
      <w:marBottom w:val="0"/>
      <w:divBdr>
        <w:top w:val="none" w:sz="0" w:space="0" w:color="auto"/>
        <w:left w:val="none" w:sz="0" w:space="0" w:color="auto"/>
        <w:bottom w:val="none" w:sz="0" w:space="0" w:color="auto"/>
        <w:right w:val="none" w:sz="0" w:space="0" w:color="auto"/>
      </w:divBdr>
    </w:div>
    <w:div w:id="800805411">
      <w:bodyDiv w:val="1"/>
      <w:marLeft w:val="0"/>
      <w:marRight w:val="0"/>
      <w:marTop w:val="0"/>
      <w:marBottom w:val="0"/>
      <w:divBdr>
        <w:top w:val="none" w:sz="0" w:space="0" w:color="auto"/>
        <w:left w:val="none" w:sz="0" w:space="0" w:color="auto"/>
        <w:bottom w:val="none" w:sz="0" w:space="0" w:color="auto"/>
        <w:right w:val="none" w:sz="0" w:space="0" w:color="auto"/>
      </w:divBdr>
    </w:div>
    <w:div w:id="804467953">
      <w:bodyDiv w:val="1"/>
      <w:marLeft w:val="0"/>
      <w:marRight w:val="0"/>
      <w:marTop w:val="0"/>
      <w:marBottom w:val="0"/>
      <w:divBdr>
        <w:top w:val="none" w:sz="0" w:space="0" w:color="auto"/>
        <w:left w:val="none" w:sz="0" w:space="0" w:color="auto"/>
        <w:bottom w:val="none" w:sz="0" w:space="0" w:color="auto"/>
        <w:right w:val="none" w:sz="0" w:space="0" w:color="auto"/>
      </w:divBdr>
    </w:div>
    <w:div w:id="850608109">
      <w:bodyDiv w:val="1"/>
      <w:marLeft w:val="0"/>
      <w:marRight w:val="0"/>
      <w:marTop w:val="0"/>
      <w:marBottom w:val="0"/>
      <w:divBdr>
        <w:top w:val="none" w:sz="0" w:space="0" w:color="auto"/>
        <w:left w:val="none" w:sz="0" w:space="0" w:color="auto"/>
        <w:bottom w:val="none" w:sz="0" w:space="0" w:color="auto"/>
        <w:right w:val="none" w:sz="0" w:space="0" w:color="auto"/>
      </w:divBdr>
    </w:div>
    <w:div w:id="866987959">
      <w:bodyDiv w:val="1"/>
      <w:marLeft w:val="0"/>
      <w:marRight w:val="0"/>
      <w:marTop w:val="0"/>
      <w:marBottom w:val="0"/>
      <w:divBdr>
        <w:top w:val="none" w:sz="0" w:space="0" w:color="auto"/>
        <w:left w:val="none" w:sz="0" w:space="0" w:color="auto"/>
        <w:bottom w:val="none" w:sz="0" w:space="0" w:color="auto"/>
        <w:right w:val="none" w:sz="0" w:space="0" w:color="auto"/>
      </w:divBdr>
      <w:divsChild>
        <w:div w:id="316690395">
          <w:marLeft w:val="0"/>
          <w:marRight w:val="0"/>
          <w:marTop w:val="0"/>
          <w:marBottom w:val="0"/>
          <w:divBdr>
            <w:top w:val="none" w:sz="0" w:space="0" w:color="auto"/>
            <w:left w:val="none" w:sz="0" w:space="0" w:color="auto"/>
            <w:bottom w:val="none" w:sz="0" w:space="0" w:color="auto"/>
            <w:right w:val="none" w:sz="0" w:space="0" w:color="auto"/>
          </w:divBdr>
          <w:divsChild>
            <w:div w:id="13148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99960">
      <w:bodyDiv w:val="1"/>
      <w:marLeft w:val="0"/>
      <w:marRight w:val="0"/>
      <w:marTop w:val="0"/>
      <w:marBottom w:val="0"/>
      <w:divBdr>
        <w:top w:val="none" w:sz="0" w:space="0" w:color="auto"/>
        <w:left w:val="none" w:sz="0" w:space="0" w:color="auto"/>
        <w:bottom w:val="none" w:sz="0" w:space="0" w:color="auto"/>
        <w:right w:val="none" w:sz="0" w:space="0" w:color="auto"/>
      </w:divBdr>
    </w:div>
    <w:div w:id="1003242637">
      <w:bodyDiv w:val="1"/>
      <w:marLeft w:val="0"/>
      <w:marRight w:val="0"/>
      <w:marTop w:val="0"/>
      <w:marBottom w:val="0"/>
      <w:divBdr>
        <w:top w:val="none" w:sz="0" w:space="0" w:color="auto"/>
        <w:left w:val="none" w:sz="0" w:space="0" w:color="auto"/>
        <w:bottom w:val="none" w:sz="0" w:space="0" w:color="auto"/>
        <w:right w:val="none" w:sz="0" w:space="0" w:color="auto"/>
      </w:divBdr>
    </w:div>
    <w:div w:id="1027020619">
      <w:bodyDiv w:val="1"/>
      <w:marLeft w:val="0"/>
      <w:marRight w:val="0"/>
      <w:marTop w:val="0"/>
      <w:marBottom w:val="0"/>
      <w:divBdr>
        <w:top w:val="none" w:sz="0" w:space="0" w:color="auto"/>
        <w:left w:val="none" w:sz="0" w:space="0" w:color="auto"/>
        <w:bottom w:val="none" w:sz="0" w:space="0" w:color="auto"/>
        <w:right w:val="none" w:sz="0" w:space="0" w:color="auto"/>
      </w:divBdr>
    </w:div>
    <w:div w:id="1045443454">
      <w:bodyDiv w:val="1"/>
      <w:marLeft w:val="0"/>
      <w:marRight w:val="0"/>
      <w:marTop w:val="0"/>
      <w:marBottom w:val="0"/>
      <w:divBdr>
        <w:top w:val="none" w:sz="0" w:space="0" w:color="auto"/>
        <w:left w:val="none" w:sz="0" w:space="0" w:color="auto"/>
        <w:bottom w:val="none" w:sz="0" w:space="0" w:color="auto"/>
        <w:right w:val="none" w:sz="0" w:space="0" w:color="auto"/>
      </w:divBdr>
    </w:div>
    <w:div w:id="1068767509">
      <w:bodyDiv w:val="1"/>
      <w:marLeft w:val="0"/>
      <w:marRight w:val="0"/>
      <w:marTop w:val="0"/>
      <w:marBottom w:val="0"/>
      <w:divBdr>
        <w:top w:val="none" w:sz="0" w:space="0" w:color="auto"/>
        <w:left w:val="none" w:sz="0" w:space="0" w:color="auto"/>
        <w:bottom w:val="none" w:sz="0" w:space="0" w:color="auto"/>
        <w:right w:val="none" w:sz="0" w:space="0" w:color="auto"/>
      </w:divBdr>
    </w:div>
    <w:div w:id="1129082122">
      <w:bodyDiv w:val="1"/>
      <w:marLeft w:val="0"/>
      <w:marRight w:val="0"/>
      <w:marTop w:val="0"/>
      <w:marBottom w:val="0"/>
      <w:divBdr>
        <w:top w:val="none" w:sz="0" w:space="0" w:color="auto"/>
        <w:left w:val="none" w:sz="0" w:space="0" w:color="auto"/>
        <w:bottom w:val="none" w:sz="0" w:space="0" w:color="auto"/>
        <w:right w:val="none" w:sz="0" w:space="0" w:color="auto"/>
      </w:divBdr>
    </w:div>
    <w:div w:id="1192180752">
      <w:bodyDiv w:val="1"/>
      <w:marLeft w:val="0"/>
      <w:marRight w:val="0"/>
      <w:marTop w:val="0"/>
      <w:marBottom w:val="0"/>
      <w:divBdr>
        <w:top w:val="none" w:sz="0" w:space="0" w:color="auto"/>
        <w:left w:val="none" w:sz="0" w:space="0" w:color="auto"/>
        <w:bottom w:val="none" w:sz="0" w:space="0" w:color="auto"/>
        <w:right w:val="none" w:sz="0" w:space="0" w:color="auto"/>
      </w:divBdr>
    </w:div>
    <w:div w:id="1226188839">
      <w:bodyDiv w:val="1"/>
      <w:marLeft w:val="0"/>
      <w:marRight w:val="0"/>
      <w:marTop w:val="0"/>
      <w:marBottom w:val="0"/>
      <w:divBdr>
        <w:top w:val="none" w:sz="0" w:space="0" w:color="auto"/>
        <w:left w:val="none" w:sz="0" w:space="0" w:color="auto"/>
        <w:bottom w:val="none" w:sz="0" w:space="0" w:color="auto"/>
        <w:right w:val="none" w:sz="0" w:space="0" w:color="auto"/>
      </w:divBdr>
    </w:div>
    <w:div w:id="1254319568">
      <w:bodyDiv w:val="1"/>
      <w:marLeft w:val="0"/>
      <w:marRight w:val="0"/>
      <w:marTop w:val="0"/>
      <w:marBottom w:val="0"/>
      <w:divBdr>
        <w:top w:val="none" w:sz="0" w:space="0" w:color="auto"/>
        <w:left w:val="none" w:sz="0" w:space="0" w:color="auto"/>
        <w:bottom w:val="none" w:sz="0" w:space="0" w:color="auto"/>
        <w:right w:val="none" w:sz="0" w:space="0" w:color="auto"/>
      </w:divBdr>
    </w:div>
    <w:div w:id="1337416579">
      <w:bodyDiv w:val="1"/>
      <w:marLeft w:val="0"/>
      <w:marRight w:val="0"/>
      <w:marTop w:val="0"/>
      <w:marBottom w:val="0"/>
      <w:divBdr>
        <w:top w:val="none" w:sz="0" w:space="0" w:color="auto"/>
        <w:left w:val="none" w:sz="0" w:space="0" w:color="auto"/>
        <w:bottom w:val="none" w:sz="0" w:space="0" w:color="auto"/>
        <w:right w:val="none" w:sz="0" w:space="0" w:color="auto"/>
      </w:divBdr>
    </w:div>
    <w:div w:id="1343437697">
      <w:bodyDiv w:val="1"/>
      <w:marLeft w:val="0"/>
      <w:marRight w:val="0"/>
      <w:marTop w:val="0"/>
      <w:marBottom w:val="0"/>
      <w:divBdr>
        <w:top w:val="none" w:sz="0" w:space="0" w:color="auto"/>
        <w:left w:val="none" w:sz="0" w:space="0" w:color="auto"/>
        <w:bottom w:val="none" w:sz="0" w:space="0" w:color="auto"/>
        <w:right w:val="none" w:sz="0" w:space="0" w:color="auto"/>
      </w:divBdr>
    </w:div>
    <w:div w:id="1403941140">
      <w:bodyDiv w:val="1"/>
      <w:marLeft w:val="0"/>
      <w:marRight w:val="0"/>
      <w:marTop w:val="0"/>
      <w:marBottom w:val="0"/>
      <w:divBdr>
        <w:top w:val="none" w:sz="0" w:space="0" w:color="auto"/>
        <w:left w:val="none" w:sz="0" w:space="0" w:color="auto"/>
        <w:bottom w:val="none" w:sz="0" w:space="0" w:color="auto"/>
        <w:right w:val="none" w:sz="0" w:space="0" w:color="auto"/>
      </w:divBdr>
    </w:div>
    <w:div w:id="1463114595">
      <w:bodyDiv w:val="1"/>
      <w:marLeft w:val="0"/>
      <w:marRight w:val="0"/>
      <w:marTop w:val="0"/>
      <w:marBottom w:val="0"/>
      <w:divBdr>
        <w:top w:val="none" w:sz="0" w:space="0" w:color="auto"/>
        <w:left w:val="none" w:sz="0" w:space="0" w:color="auto"/>
        <w:bottom w:val="none" w:sz="0" w:space="0" w:color="auto"/>
        <w:right w:val="none" w:sz="0" w:space="0" w:color="auto"/>
      </w:divBdr>
    </w:div>
    <w:div w:id="1475027488">
      <w:bodyDiv w:val="1"/>
      <w:marLeft w:val="0"/>
      <w:marRight w:val="0"/>
      <w:marTop w:val="0"/>
      <w:marBottom w:val="0"/>
      <w:divBdr>
        <w:top w:val="none" w:sz="0" w:space="0" w:color="auto"/>
        <w:left w:val="none" w:sz="0" w:space="0" w:color="auto"/>
        <w:bottom w:val="none" w:sz="0" w:space="0" w:color="auto"/>
        <w:right w:val="none" w:sz="0" w:space="0" w:color="auto"/>
      </w:divBdr>
    </w:div>
    <w:div w:id="1660190404">
      <w:bodyDiv w:val="1"/>
      <w:marLeft w:val="0"/>
      <w:marRight w:val="0"/>
      <w:marTop w:val="0"/>
      <w:marBottom w:val="0"/>
      <w:divBdr>
        <w:top w:val="none" w:sz="0" w:space="0" w:color="auto"/>
        <w:left w:val="none" w:sz="0" w:space="0" w:color="auto"/>
        <w:bottom w:val="none" w:sz="0" w:space="0" w:color="auto"/>
        <w:right w:val="none" w:sz="0" w:space="0" w:color="auto"/>
      </w:divBdr>
    </w:div>
    <w:div w:id="1696268401">
      <w:bodyDiv w:val="1"/>
      <w:marLeft w:val="0"/>
      <w:marRight w:val="0"/>
      <w:marTop w:val="0"/>
      <w:marBottom w:val="0"/>
      <w:divBdr>
        <w:top w:val="none" w:sz="0" w:space="0" w:color="auto"/>
        <w:left w:val="none" w:sz="0" w:space="0" w:color="auto"/>
        <w:bottom w:val="none" w:sz="0" w:space="0" w:color="auto"/>
        <w:right w:val="none" w:sz="0" w:space="0" w:color="auto"/>
      </w:divBdr>
    </w:div>
    <w:div w:id="1734087735">
      <w:bodyDiv w:val="1"/>
      <w:marLeft w:val="0"/>
      <w:marRight w:val="0"/>
      <w:marTop w:val="0"/>
      <w:marBottom w:val="0"/>
      <w:divBdr>
        <w:top w:val="none" w:sz="0" w:space="0" w:color="auto"/>
        <w:left w:val="none" w:sz="0" w:space="0" w:color="auto"/>
        <w:bottom w:val="none" w:sz="0" w:space="0" w:color="auto"/>
        <w:right w:val="none" w:sz="0" w:space="0" w:color="auto"/>
      </w:divBdr>
    </w:div>
    <w:div w:id="1791973649">
      <w:bodyDiv w:val="1"/>
      <w:marLeft w:val="0"/>
      <w:marRight w:val="0"/>
      <w:marTop w:val="0"/>
      <w:marBottom w:val="0"/>
      <w:divBdr>
        <w:top w:val="none" w:sz="0" w:space="0" w:color="auto"/>
        <w:left w:val="none" w:sz="0" w:space="0" w:color="auto"/>
        <w:bottom w:val="none" w:sz="0" w:space="0" w:color="auto"/>
        <w:right w:val="none" w:sz="0" w:space="0" w:color="auto"/>
      </w:divBdr>
    </w:div>
    <w:div w:id="1806047922">
      <w:bodyDiv w:val="1"/>
      <w:marLeft w:val="0"/>
      <w:marRight w:val="0"/>
      <w:marTop w:val="0"/>
      <w:marBottom w:val="0"/>
      <w:divBdr>
        <w:top w:val="none" w:sz="0" w:space="0" w:color="auto"/>
        <w:left w:val="none" w:sz="0" w:space="0" w:color="auto"/>
        <w:bottom w:val="none" w:sz="0" w:space="0" w:color="auto"/>
        <w:right w:val="none" w:sz="0" w:space="0" w:color="auto"/>
      </w:divBdr>
    </w:div>
    <w:div w:id="1808427408">
      <w:bodyDiv w:val="1"/>
      <w:marLeft w:val="0"/>
      <w:marRight w:val="0"/>
      <w:marTop w:val="0"/>
      <w:marBottom w:val="0"/>
      <w:divBdr>
        <w:top w:val="none" w:sz="0" w:space="0" w:color="auto"/>
        <w:left w:val="none" w:sz="0" w:space="0" w:color="auto"/>
        <w:bottom w:val="none" w:sz="0" w:space="0" w:color="auto"/>
        <w:right w:val="none" w:sz="0" w:space="0" w:color="auto"/>
      </w:divBdr>
      <w:divsChild>
        <w:div w:id="1267158651">
          <w:marLeft w:val="0"/>
          <w:marRight w:val="0"/>
          <w:marTop w:val="0"/>
          <w:marBottom w:val="0"/>
          <w:divBdr>
            <w:top w:val="none" w:sz="0" w:space="0" w:color="auto"/>
            <w:left w:val="none" w:sz="0" w:space="0" w:color="auto"/>
            <w:bottom w:val="none" w:sz="0" w:space="0" w:color="auto"/>
            <w:right w:val="none" w:sz="0" w:space="0" w:color="auto"/>
          </w:divBdr>
          <w:divsChild>
            <w:div w:id="1986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3261">
      <w:bodyDiv w:val="1"/>
      <w:marLeft w:val="0"/>
      <w:marRight w:val="0"/>
      <w:marTop w:val="0"/>
      <w:marBottom w:val="0"/>
      <w:divBdr>
        <w:top w:val="none" w:sz="0" w:space="0" w:color="auto"/>
        <w:left w:val="none" w:sz="0" w:space="0" w:color="auto"/>
        <w:bottom w:val="none" w:sz="0" w:space="0" w:color="auto"/>
        <w:right w:val="none" w:sz="0" w:space="0" w:color="auto"/>
      </w:divBdr>
    </w:div>
    <w:div w:id="1822499483">
      <w:bodyDiv w:val="1"/>
      <w:marLeft w:val="0"/>
      <w:marRight w:val="0"/>
      <w:marTop w:val="0"/>
      <w:marBottom w:val="0"/>
      <w:divBdr>
        <w:top w:val="none" w:sz="0" w:space="0" w:color="auto"/>
        <w:left w:val="none" w:sz="0" w:space="0" w:color="auto"/>
        <w:bottom w:val="none" w:sz="0" w:space="0" w:color="auto"/>
        <w:right w:val="none" w:sz="0" w:space="0" w:color="auto"/>
      </w:divBdr>
    </w:div>
    <w:div w:id="1881160523">
      <w:bodyDiv w:val="1"/>
      <w:marLeft w:val="0"/>
      <w:marRight w:val="0"/>
      <w:marTop w:val="0"/>
      <w:marBottom w:val="0"/>
      <w:divBdr>
        <w:top w:val="none" w:sz="0" w:space="0" w:color="auto"/>
        <w:left w:val="none" w:sz="0" w:space="0" w:color="auto"/>
        <w:bottom w:val="none" w:sz="0" w:space="0" w:color="auto"/>
        <w:right w:val="none" w:sz="0" w:space="0" w:color="auto"/>
      </w:divBdr>
    </w:div>
    <w:div w:id="1938975074">
      <w:bodyDiv w:val="1"/>
      <w:marLeft w:val="0"/>
      <w:marRight w:val="0"/>
      <w:marTop w:val="0"/>
      <w:marBottom w:val="0"/>
      <w:divBdr>
        <w:top w:val="none" w:sz="0" w:space="0" w:color="auto"/>
        <w:left w:val="none" w:sz="0" w:space="0" w:color="auto"/>
        <w:bottom w:val="none" w:sz="0" w:space="0" w:color="auto"/>
        <w:right w:val="none" w:sz="0" w:space="0" w:color="auto"/>
      </w:divBdr>
    </w:div>
    <w:div w:id="1941178048">
      <w:bodyDiv w:val="1"/>
      <w:marLeft w:val="0"/>
      <w:marRight w:val="0"/>
      <w:marTop w:val="0"/>
      <w:marBottom w:val="0"/>
      <w:divBdr>
        <w:top w:val="none" w:sz="0" w:space="0" w:color="auto"/>
        <w:left w:val="none" w:sz="0" w:space="0" w:color="auto"/>
        <w:bottom w:val="none" w:sz="0" w:space="0" w:color="auto"/>
        <w:right w:val="none" w:sz="0" w:space="0" w:color="auto"/>
      </w:divBdr>
    </w:div>
    <w:div w:id="1944534298">
      <w:bodyDiv w:val="1"/>
      <w:marLeft w:val="0"/>
      <w:marRight w:val="0"/>
      <w:marTop w:val="0"/>
      <w:marBottom w:val="0"/>
      <w:divBdr>
        <w:top w:val="none" w:sz="0" w:space="0" w:color="auto"/>
        <w:left w:val="none" w:sz="0" w:space="0" w:color="auto"/>
        <w:bottom w:val="none" w:sz="0" w:space="0" w:color="auto"/>
        <w:right w:val="none" w:sz="0" w:space="0" w:color="auto"/>
      </w:divBdr>
    </w:div>
    <w:div w:id="1979530394">
      <w:bodyDiv w:val="1"/>
      <w:marLeft w:val="0"/>
      <w:marRight w:val="0"/>
      <w:marTop w:val="0"/>
      <w:marBottom w:val="0"/>
      <w:divBdr>
        <w:top w:val="none" w:sz="0" w:space="0" w:color="auto"/>
        <w:left w:val="none" w:sz="0" w:space="0" w:color="auto"/>
        <w:bottom w:val="none" w:sz="0" w:space="0" w:color="auto"/>
        <w:right w:val="none" w:sz="0" w:space="0" w:color="auto"/>
      </w:divBdr>
    </w:div>
    <w:div w:id="2044281531">
      <w:bodyDiv w:val="1"/>
      <w:marLeft w:val="0"/>
      <w:marRight w:val="0"/>
      <w:marTop w:val="0"/>
      <w:marBottom w:val="0"/>
      <w:divBdr>
        <w:top w:val="none" w:sz="0" w:space="0" w:color="auto"/>
        <w:left w:val="none" w:sz="0" w:space="0" w:color="auto"/>
        <w:bottom w:val="none" w:sz="0" w:space="0" w:color="auto"/>
        <w:right w:val="none" w:sz="0" w:space="0" w:color="auto"/>
      </w:divBdr>
    </w:div>
    <w:div w:id="2103447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8</Pages>
  <Words>9870</Words>
  <Characters>56260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Fouladvand, Sajjad</dc:creator>
  <cp:keywords/>
  <cp:lastModifiedBy>Sajjad Fouladvand</cp:lastModifiedBy>
  <cp:revision>132</cp:revision>
  <dcterms:created xsi:type="dcterms:W3CDTF">2021-03-06T06:07:00Z</dcterms:created>
  <dcterms:modified xsi:type="dcterms:W3CDTF">2022-03-07T09:20:00Z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id="urvkvgYB"/&gt;&lt;style id="http://www.zotero.org/styles/vancouver" locale="en-US"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