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HEALTHTECH</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Chávez Gave Jose Luis</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Lozano Paredes Renzo Jeanpier Santos</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Mendoza Gómez, Carlos Daniel</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Rosillo Ramirez Jeremy Andrew</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Obando Salinas Enmanuel Jose</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Torres Rivera Richard Maycol</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Alva Miguel Angel</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19/09/2024</w:t>
            </w:r>
          </w:p>
        </w:tc>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Miguel Vera Alva</w:t>
            </w:r>
          </w:p>
        </w:tc>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 avances del punto 1 hasta el punto 2.2</w:t>
            </w:r>
          </w:p>
        </w:tc>
      </w:tr>
      <w:tr>
        <w:trPr>
          <w:cantSplit w:val="0"/>
          <w:tblHeader w:val="0"/>
        </w:trPr>
        <w:tc>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Richard Maycol Torres Rivera</w:t>
            </w:r>
          </w:p>
        </w:tc>
        <w:tc>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Avance del punto 3.1 “identificación” del apartado “Actividades de GCS”</w:t>
            </w:r>
          </w:p>
        </w:tc>
      </w:tr>
      <w:tr>
        <w:trPr>
          <w:cantSplit w:val="0"/>
          <w:tblHeader w:val="0"/>
        </w:trPr>
        <w:tc>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Introducción</w:t>
      </w:r>
    </w:p>
    <w:p w:rsidR="00000000" w:rsidDel="00000000" w:rsidP="00000000" w:rsidRDefault="00000000" w:rsidRPr="00000000" w14:paraId="0000003F">
      <w:pPr>
        <w:numPr>
          <w:ilvl w:val="1"/>
          <w:numId w:val="2"/>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Situación de la empresa y problemática</w:t>
      </w:r>
      <w:r w:rsidDel="00000000" w:rsidR="00000000" w:rsidRPr="00000000">
        <w:rPr>
          <w:rtl w:val="0"/>
        </w:rPr>
      </w:r>
    </w:p>
    <w:p w:rsidR="00000000" w:rsidDel="00000000" w:rsidP="00000000" w:rsidRDefault="00000000" w:rsidRPr="00000000" w14:paraId="00000040">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HealthTech S.A es una consultoría de software la cual lleva desde el año 2019 dedicada al desarrollo de aplicaciones web para pequeñas y medianas empresas especializadas en el sector salud. Durante estos años, asesoramos a quienes buscan una solución a la tardía ejecución y administración de sus operaciones clínicas y administrativas. Esto permite seguir eficientes estrategias de optimización, ajustadas a los contextos de cada cliente. Además, contamos con el compromiso del sector público y privado para la creación de diversos proyectos de software en paralelo, los cuales están enfocados a ofrecer una mejor gestión de citas para pacientes con problemas de salud mental. Los proyectos que hemos desarrollado anteriormente son </w:t>
      </w:r>
      <w:r w:rsidDel="00000000" w:rsidR="00000000" w:rsidRPr="00000000">
        <w:rPr>
          <w:rFonts w:ascii="Times New Roman" w:cs="Times New Roman" w:eastAsia="Times New Roman" w:hAnsi="Times New Roman"/>
          <w:b w:val="1"/>
          <w:sz w:val="24"/>
          <w:szCs w:val="24"/>
          <w:rtl w:val="0"/>
        </w:rPr>
        <w:t xml:space="preserve">FisiMental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DigitalHealth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MindCare</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CognitivaPro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Mientras que el proyecto en desarrollo actual es </w:t>
      </w:r>
      <w:r w:rsidDel="00000000" w:rsidR="00000000" w:rsidRPr="00000000">
        <w:rPr>
          <w:rFonts w:ascii="Times New Roman" w:cs="Times New Roman" w:eastAsia="Times New Roman" w:hAnsi="Times New Roman"/>
          <w:b w:val="1"/>
          <w:sz w:val="24"/>
          <w:szCs w:val="24"/>
          <w:rtl w:val="0"/>
        </w:rPr>
        <w:t xml:space="preserve">MentalSync</w:t>
      </w:r>
      <w:r w:rsidDel="00000000" w:rsidR="00000000" w:rsidRPr="00000000">
        <w:rPr>
          <w:rFonts w:ascii="Times New Roman" w:cs="Times New Roman" w:eastAsia="Times New Roman" w:hAnsi="Times New Roman"/>
          <w:sz w:val="24"/>
          <w:szCs w:val="24"/>
          <w:rtl w:val="0"/>
        </w:rPr>
        <w:t xml:space="preserve"> para la organización De-Mentes, una asociación pionera en el campo de la salud mental en Latinoamérica.</w:t>
      </w:r>
      <w:r w:rsidDel="00000000" w:rsidR="00000000" w:rsidRPr="00000000">
        <w:rPr>
          <w:rtl w:val="0"/>
        </w:rPr>
      </w:r>
    </w:p>
    <w:p w:rsidR="00000000" w:rsidDel="00000000" w:rsidP="00000000" w:rsidRDefault="00000000" w:rsidRPr="00000000" w14:paraId="00000041">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dichos proyectos y sus archivos principales se encuentran centralizados en computadoras, las cuales deben ser únicamente accedidas por los miembros de cada equipo de desarrollo. Por otra parte, cada equipo tiene disposición para usar las herramientas, dependencias y librerías que les parezcan más convenientes. Al tratarse de pocas unidades, se establecieron horarios y turnos para que cada desarrollador avance las actividades correspondientes a sus iteraciones. Este panorama ha generado en estos últimos meses problemas en la gestión de los proyectos de software, así como la falta de estandarización en herramientas, y un grave peligro de sobreescribir los avances aprobados, ocasionando una mayor cantidad de errores y la inutilidad de funcionalidades de las aplicaciones.</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El objetivo del plan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fin de abordar las problemáticas detectadas en la gestión de proyectos de HealthTech S.A., se propone implementar un sistema centralizado en la nube que permita a todos los equipos de desarrollo acceder de manera segura y organizada a los recursos necesarios. Este sistema integrará herramientas de control de versiones y gestión colaborativa, garantizando que los equipos puedan trabajar de manera eficiente y sin interferencias. Además, se establecerá un estándar común para el uso de librerías y dependencias, lo que permitirá una mayor coherencia en el desarrollo, reducirá los errores de sobreescritura y mejorará la estabilidad de las funcionalidades aprobadas.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selección de una herramienta de control de versiones adecuada será clave para evitar conflictos de código y asegurar la correcta aprobación de cambios, manteniendo así la integridad y calidad de los proyectos. Este enfoque busca optimizar el desarrollo, minimizando retrasos y confusiones, y asegurando una mayor confiabilidad en los productos entregados a los clientes.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Roles y responsabilidades</w:t>
      </w:r>
      <w:r w:rsidDel="00000000" w:rsidR="00000000" w:rsidRPr="00000000">
        <w:rPr>
          <w:rtl w:val="0"/>
        </w:rPr>
      </w:r>
    </w:p>
    <w:sdt>
      <w:sdtPr>
        <w:lock w:val="contentLocked"/>
        <w:tag w:val="goog_rdk_0"/>
      </w:sdtPr>
      <w:sdtContent>
        <w:tbl>
          <w:tblPr>
            <w:tblStyle w:val="Table2"/>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5730"/>
            <w:tblGridChange w:id="0">
              <w:tblGrid>
                <w:gridCol w:w="1935"/>
                <w:gridCol w:w="5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 (es)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Supervisar el funcionamiento de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Gestor de Configuración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todas las tareas de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Inspector de Aseguramiento de Calidad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Auditar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Bibliotecario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un repositorio centralizado y seguro donde se almacenen los artefactos de configuración, como el código fuente, documentos de diseño,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Miembros del Equipo del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Seguir los procedimientos y políticas de configuración establecidos por el Gestor de Configuración y el Project Manager</w:t>
                </w:r>
              </w:p>
            </w:tc>
          </w:tr>
        </w:tbl>
      </w:sdtContent>
    </w:sd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sz w:val="26"/>
          <w:szCs w:val="26"/>
        </w:rPr>
      </w:pPr>
      <w:r w:rsidDel="00000000" w:rsidR="00000000" w:rsidRPr="00000000">
        <w:rPr>
          <w:rtl w:val="0"/>
        </w:rPr>
      </w:r>
    </w:p>
    <w:tbl>
      <w:tblPr>
        <w:tblStyle w:val="Table3"/>
        <w:tblW w:w="829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6"/>
        <w:gridCol w:w="2121"/>
        <w:gridCol w:w="2121"/>
        <w:gridCol w:w="2121"/>
        <w:tblGridChange w:id="0">
          <w:tblGrid>
            <w:gridCol w:w="1936"/>
            <w:gridCol w:w="2121"/>
            <w:gridCol w:w="2121"/>
            <w:gridCol w:w="2121"/>
          </w:tblGrid>
        </w:tblGridChange>
      </w:tblGrid>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Git Hub</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Git Lab</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Bitbucket</w:t>
            </w: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Gratuito</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Repositorios privados y públicos, con limitaciones en funcionalidades avanzadas como la integración continua (CI) y límites de almacenamiento.</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Incluye integración continua y despliegue continuo</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Repositorios públicos y privados ilimitados de max. 5 colaboradores. Integracion con Jira, Confluence y productos de Atlassian</w:t>
            </w: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Curva de aprendizaje</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Moderada, posee una interfaz web amigable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 poco avanzada debido a la inclusión de muchas más funcionalidades integradas.</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Moderada, interfaz moderna. La integración con Jira facilita procesos.</w:t>
            </w: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Centralizado</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Repositorios alojados en servidores de GitHub</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Repositorios alojados en su plataforma o en un self-hosted.</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Repositorios alojados en los servidores de Atlassian</w:t>
            </w: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Distribuido</w:t>
            </w:r>
          </w:p>
        </w:tc>
        <w:tc>
          <w:tcPr/>
          <w:p w:rsidR="00000000" w:rsidDel="00000000" w:rsidP="00000000" w:rsidRDefault="00000000" w:rsidRPr="00000000" w14:paraId="00000069">
            <w:pPr>
              <w:spacing w:after="26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clonar repositorios en máquinas locales, realizar commits offline, y subir cambios a un servidor central.</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Los desarrolladores pueden trabajar localmente y sincronizar cambios con el servidor remoto.</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Los colaboradores pueden trabajar localmente y posteriormente subir los cambios al repositorio remoto.</w:t>
            </w:r>
            <w:r w:rsidDel="00000000" w:rsidR="00000000" w:rsidRPr="00000000">
              <w:rPr>
                <w:rtl w:val="0"/>
              </w:rPr>
            </w:r>
          </w:p>
        </w:tc>
      </w:tr>
    </w:tbl>
    <w:p w:rsidR="00000000" w:rsidDel="00000000" w:rsidP="00000000" w:rsidRDefault="00000000" w:rsidRPr="00000000" w14:paraId="0000006C">
      <w:pPr>
        <w:spacing w:before="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herramienta elegida para este proyecto será GitHub, debido a su equilibrio entre funcionalidad y accesibilidad. GitHub ofrece un plan gratuito que cubre las necesidades básicas del control de versiones, tanto para repositorios públicos como privados. Su interfaz intuitiva facilita su adopción, incluso para aquellos con poca experiencia en Git, y permite una gestión eficiente de proyectos.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8827" cy="273340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18827" cy="273340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Arquitectura de trabajo de GitHub</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Actividades de la GCS</w:t>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Identificación</w:t>
      </w:r>
    </w:p>
    <w:p w:rsidR="00000000" w:rsidDel="00000000" w:rsidP="00000000" w:rsidRDefault="00000000" w:rsidRPr="00000000" w14:paraId="0000007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Definición de la estructura de las librerías</w:t>
      </w:r>
    </w:p>
    <w:p w:rsidR="00000000" w:rsidDel="00000000" w:rsidP="00000000" w:rsidRDefault="00000000" w:rsidRPr="00000000" w14:paraId="0000007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20709" cy="2480965"/>
            <wp:effectExtent b="0" l="0" r="0" t="0"/>
            <wp:docPr id="5" name="image2.png"/>
            <a:graphic>
              <a:graphicData uri="http://schemas.openxmlformats.org/drawingml/2006/picture">
                <pic:pic>
                  <pic:nvPicPr>
                    <pic:cNvPr id="0" name="image2.png"/>
                    <pic:cNvPicPr preferRelativeResize="0"/>
                  </pic:nvPicPr>
                  <pic:blipFill>
                    <a:blip r:embed="rId8"/>
                    <a:srcRect b="42583" l="5105" r="3621" t="7076"/>
                    <a:stretch>
                      <a:fillRect/>
                    </a:stretch>
                  </pic:blipFill>
                  <pic:spPr>
                    <a:xfrm>
                      <a:off x="0" y="0"/>
                      <a:ext cx="5920709" cy="248096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2"/>
          <w:numId w:val="2"/>
        </w:numPr>
        <w:spacing w:after="16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la línea base</w:t>
      </w:r>
    </w:p>
    <w:p w:rsidR="00000000" w:rsidDel="00000000" w:rsidP="00000000" w:rsidRDefault="00000000" w:rsidRPr="00000000" w14:paraId="00000074">
      <w:pPr>
        <w:spacing w:after="160" w:line="259"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 </w:t>
      </w:r>
      <w:r w:rsidDel="00000000" w:rsidR="00000000" w:rsidRPr="00000000">
        <w:rPr>
          <w:rFonts w:ascii="Times New Roman" w:cs="Times New Roman" w:eastAsia="Times New Roman" w:hAnsi="Times New Roman"/>
          <w:sz w:val="24"/>
          <w:szCs w:val="24"/>
          <w:rtl w:val="0"/>
        </w:rPr>
        <w:t xml:space="preserve">Sistema de Gestión de Citas de Salud Mental (SGCSM)</w:t>
      </w:r>
    </w:p>
    <w:sdt>
      <w:sdtPr>
        <w:lock w:val="contentLocked"/>
        <w:tag w:val="goog_rdk_1"/>
      </w:sdtPr>
      <w:sdtContent>
        <w:tbl>
          <w:tblPr>
            <w:tblStyle w:val="Table4"/>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95"/>
            <w:gridCol w:w="5610"/>
            <w:tblGridChange w:id="0">
              <w:tblGrid>
                <w:gridCol w:w="1500"/>
                <w:gridCol w:w="1695"/>
                <w:gridCol w:w="5610"/>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1: 29 /09/24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SGCSM-PC.docx</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SGSCM-CP.xlsx</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SGCSM-DN.docx</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SGSCM-RFNF.docx</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SGCSM-DDCU.docx</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DECU001</w:t>
                </w:r>
                <w:r w:rsidDel="00000000" w:rsidR="00000000" w:rsidRPr="00000000">
                  <w:rPr>
                    <w:rFonts w:ascii="Times New Roman" w:cs="Times New Roman" w:eastAsia="Times New Roman" w:hAnsi="Times New Roman"/>
                    <w:sz w:val="24"/>
                    <w:szCs w:val="24"/>
                    <w:rtl w:val="0"/>
                  </w:rPr>
                  <w:t xml:space="preserve">.docx</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2.docx</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3.docx</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SGCSM-DECU004.docx</w:t>
                </w: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5.docx</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6.docx</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7.docx</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8.docx</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w:t>
                </w:r>
                <w:r w:rsidDel="00000000" w:rsidR="00000000" w:rsidRPr="00000000">
                  <w:rPr>
                    <w:rFonts w:ascii="Times New Roman" w:cs="Times New Roman" w:eastAsia="Times New Roman" w:hAnsi="Times New Roman"/>
                    <w:sz w:val="24"/>
                    <w:szCs w:val="24"/>
                    <w:rtl w:val="0"/>
                  </w:rPr>
                  <w:t xml:space="preserve">9.docx</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DECU01</w:t>
                </w:r>
                <w:r w:rsidDel="00000000" w:rsidR="00000000" w:rsidRPr="00000000">
                  <w:rPr>
                    <w:rFonts w:ascii="Times New Roman" w:cs="Times New Roman" w:eastAsia="Times New Roman" w:hAnsi="Times New Roman"/>
                    <w:sz w:val="24"/>
                    <w:szCs w:val="24"/>
                    <w:rtl w:val="0"/>
                  </w:rPr>
                  <w:t xml:space="preserve">0.docx</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DECU01</w:t>
                </w:r>
                <w:r w:rsidDel="00000000" w:rsidR="00000000" w:rsidRPr="00000000">
                  <w:rPr>
                    <w:rFonts w:ascii="Times New Roman" w:cs="Times New Roman" w:eastAsia="Times New Roman" w:hAnsi="Times New Roman"/>
                    <w:sz w:val="24"/>
                    <w:szCs w:val="24"/>
                    <w:rtl w:val="0"/>
                  </w:rPr>
                  <w:t xml:space="preserve">1.docx</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DECU01</w:t>
                </w:r>
                <w:r w:rsidDel="00000000" w:rsidR="00000000" w:rsidRPr="00000000">
                  <w:rPr>
                    <w:rFonts w:ascii="Times New Roman" w:cs="Times New Roman" w:eastAsia="Times New Roman" w:hAnsi="Times New Roman"/>
                    <w:sz w:val="24"/>
                    <w:szCs w:val="24"/>
                    <w:rtl w:val="0"/>
                  </w:rPr>
                  <w:t xml:space="preserve">2.docx</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DECU01</w:t>
                </w:r>
                <w:r w:rsidDel="00000000" w:rsidR="00000000" w:rsidRPr="00000000">
                  <w:rPr>
                    <w:rFonts w:ascii="Times New Roman" w:cs="Times New Roman" w:eastAsia="Times New Roman" w:hAnsi="Times New Roman"/>
                    <w:sz w:val="24"/>
                    <w:szCs w:val="24"/>
                    <w:rtl w:val="0"/>
                  </w:rPr>
                  <w:t xml:space="preserve">3.docx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2:</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SGCSM-DMBD.docx</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SGCSM-DAS.docx</w:t>
                </w:r>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SGCSM-DDW.docx</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SGCSM-DDUI.docx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3:</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SGCSM-DDCP.docx</w:t>
                </w: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SGCSM-DECP.xslx</w:t>
                </w: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SGCSM-DICC.docx</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SGCSM-MDS.docx</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w:t>
                </w:r>
              </w:p>
            </w:tc>
          </w:tr>
        </w:tbl>
      </w:sdtContent>
    </w:sdt>
    <w:p w:rsidR="00000000" w:rsidDel="00000000" w:rsidP="00000000" w:rsidRDefault="00000000" w:rsidRPr="00000000" w14:paraId="0000009C">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numPr>
          <w:ilvl w:val="2"/>
          <w:numId w:val="2"/>
        </w:numPr>
        <w:spacing w:after="16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nomenclaturas de ítems</w:t>
      </w:r>
    </w:p>
    <w:p w:rsidR="00000000" w:rsidDel="00000000" w:rsidP="00000000" w:rsidRDefault="00000000" w:rsidRPr="00000000" w14:paraId="0000009E">
      <w:pPr>
        <w:numPr>
          <w:ilvl w:val="0"/>
          <w:numId w:val="1"/>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1: Para ítems que pertenecen a un proyecto</w:t>
      </w:r>
    </w:p>
    <w:p w:rsidR="00000000" w:rsidDel="00000000" w:rsidP="00000000" w:rsidRDefault="00000000" w:rsidRPr="00000000" w14:paraId="0000009F">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proyecto + “-” + Acrónimo del ítem + “.” + extensión</w:t>
      </w:r>
    </w:p>
    <w:p w:rsidR="00000000" w:rsidDel="00000000" w:rsidP="00000000" w:rsidRDefault="00000000" w:rsidRPr="00000000" w14:paraId="000000A0">
      <w:pPr>
        <w:numPr>
          <w:ilvl w:val="0"/>
          <w:numId w:val="1"/>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2: Para ítems que pertenecen a un proyecto, los nombres se repiten y los ítems se prestan para una enumeración</w:t>
      </w:r>
    </w:p>
    <w:p w:rsidR="00000000" w:rsidDel="00000000" w:rsidP="00000000" w:rsidRDefault="00000000" w:rsidRPr="00000000" w14:paraId="000000A1">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proyecto + “-” + Acrónimo del ítem + etiqueta numerada + “.” + extensión</w:t>
      </w:r>
    </w:p>
    <w:p w:rsidR="00000000" w:rsidDel="00000000" w:rsidP="00000000" w:rsidRDefault="00000000" w:rsidRPr="00000000" w14:paraId="000000A2">
      <w:pPr>
        <w:numPr>
          <w:ilvl w:val="0"/>
          <w:numId w:val="1"/>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3: Para ítems que pertenecen a un proyecto y los nombres se repiten</w:t>
      </w:r>
    </w:p>
    <w:p w:rsidR="00000000" w:rsidDel="00000000" w:rsidP="00000000" w:rsidRDefault="00000000" w:rsidRPr="00000000" w14:paraId="000000A3">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proyecto + “-” + Acrónimo del ítem + Primeras 3 letras de la última palabra del acrónimo + “.”  extensión</w:t>
      </w:r>
    </w:p>
    <w:p w:rsidR="00000000" w:rsidDel="00000000" w:rsidP="00000000" w:rsidRDefault="00000000" w:rsidRPr="00000000" w14:paraId="000000A4">
      <w:pPr>
        <w:numPr>
          <w:ilvl w:val="0"/>
          <w:numId w:val="1"/>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4: Para ítems generales</w:t>
      </w:r>
    </w:p>
    <w:p w:rsidR="00000000" w:rsidDel="00000000" w:rsidP="00000000" w:rsidRDefault="00000000" w:rsidRPr="00000000" w14:paraId="000000A5">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ítem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 extensión</w:t>
      </w:r>
    </w:p>
    <w:p w:rsidR="00000000" w:rsidDel="00000000" w:rsidP="00000000" w:rsidRDefault="00000000" w:rsidRPr="00000000" w14:paraId="000000A6">
      <w:pPr>
        <w:numPr>
          <w:ilvl w:val="0"/>
          <w:numId w:val="1"/>
        </w:numPr>
        <w:spacing w:after="160" w:line="360" w:lineRule="auto"/>
        <w:ind w:left="2551.181102362204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Caso 5: Para ítems generales y los nombres se repiten</w:t>
      </w:r>
    </w:p>
    <w:p w:rsidR="00000000" w:rsidDel="00000000" w:rsidP="00000000" w:rsidRDefault="00000000" w:rsidRPr="00000000" w14:paraId="000000A7">
      <w:pPr>
        <w:spacing w:after="160" w:line="360" w:lineRule="auto"/>
        <w:ind w:left="2551.1811023622045"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Acrónimo del ítem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 Primeras 3 letras de la última palabra del acrónimo + “.”  extensión</w:t>
      </w:r>
    </w:p>
    <w:p w:rsidR="00000000" w:rsidDel="00000000" w:rsidP="00000000" w:rsidRDefault="00000000" w:rsidRPr="00000000" w14:paraId="000000A8">
      <w:pPr>
        <w:numPr>
          <w:ilvl w:val="2"/>
          <w:numId w:val="2"/>
        </w:numPr>
        <w:spacing w:after="16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Lista de ítem con la nomenclatura</w:t>
      </w:r>
      <w:r w:rsidDel="00000000" w:rsidR="00000000" w:rsidRPr="00000000">
        <w:rPr>
          <w:rtl w:val="0"/>
        </w:rPr>
      </w:r>
    </w:p>
    <w:p w:rsidR="00000000" w:rsidDel="00000000" w:rsidP="00000000" w:rsidRDefault="00000000" w:rsidRPr="00000000" w14:paraId="000000A9">
      <w:pPr>
        <w:spacing w:after="16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 </w:t>
      </w:r>
      <w:r w:rsidDel="00000000" w:rsidR="00000000" w:rsidRPr="00000000">
        <w:rPr>
          <w:rFonts w:ascii="Times New Roman" w:cs="Times New Roman" w:eastAsia="Times New Roman" w:hAnsi="Times New Roman"/>
          <w:sz w:val="24"/>
          <w:szCs w:val="24"/>
          <w:rtl w:val="0"/>
        </w:rPr>
        <w:t xml:space="preserve">Sistema de Gestión de Citas de Salud Mental (SGCSM)</w:t>
      </w:r>
    </w:p>
    <w:sdt>
      <w:sdtPr>
        <w:lock w:val="contentLocked"/>
        <w:tag w:val="goog_rdk_2"/>
      </w:sdtPr>
      <w:sdtContent>
        <w:tbl>
          <w:tblPr>
            <w:tblStyle w:val="Table5"/>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385"/>
            <w:gridCol w:w="2295"/>
            <w:gridCol w:w="1260"/>
            <w:gridCol w:w="1185"/>
            <w:tblGridChange w:id="0">
              <w:tblGrid>
                <w:gridCol w:w="1695"/>
                <w:gridCol w:w="2385"/>
                <w:gridCol w:w="2295"/>
                <w:gridCol w:w="126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B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Plan de la Gestión de la Configuración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B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Charter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SGCSM-PC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B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Cronograma de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SGCSM-CP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.xslx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B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Negocio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C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Requisitos funcionales y no funcionales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SGCSM-RFNF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rHeight w:val="1127.929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C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Diagrama de casos de uso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SGCSM-DDCU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C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D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D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vAlign w:val="center"/>
              </w:tcPr>
              <w:p w:rsidR="00000000" w:rsidDel="00000000" w:rsidP="00000000" w:rsidRDefault="00000000" w:rsidRPr="00000000" w14:paraId="000000D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r w:rsidDel="00000000" w:rsidR="00000000" w:rsidRPr="00000000">
                  <w:rPr>
                    <w:rFonts w:ascii="Times New Roman" w:cs="Times New Roman" w:eastAsia="Times New Roman" w:hAnsi="Times New Roman"/>
                    <w:sz w:val="24"/>
                    <w:szCs w:val="24"/>
                    <w:rtl w:val="0"/>
                  </w:rPr>
                  <w:t xml:space="preserve">DECU008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especificación de casos de uso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SGCSM-DECU012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Documento de Modelo de Base de datos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SGCSM-DMBD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Documento de Arquitectura de Software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Diseños de Wireframes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Diseños de 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diseño de casos de prueba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SGCSM-DDCP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ejecución de casos de prueba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SGCSM-DECP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.xslx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Documento de informe de calidad de código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SGCSM-DICC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rHeight w:val="746.9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Código fuente del lado del 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y .js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Código fuente del lado del servidor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y .js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Manual de despliegue y soporte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SGCSM-MDS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SGCSM</w:t>
                </w:r>
              </w:p>
            </w:tc>
          </w:tr>
        </w:tbl>
      </w:sdtContent>
    </w:sdt>
    <w:p w:rsidR="00000000" w:rsidDel="00000000" w:rsidP="00000000" w:rsidRDefault="00000000" w:rsidRPr="00000000" w14:paraId="0000013B">
      <w:pPr>
        <w:spacing w:line="259" w:lineRule="auto"/>
        <w:rPr>
          <w:rFonts w:ascii="Times New Roman" w:cs="Times New Roman" w:eastAsia="Times New Roman" w:hAnsi="Times New Roman"/>
          <w:b w:val="1"/>
          <w:sz w:val="24"/>
          <w:szCs w:val="24"/>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AS2++eMnqsK0iE4KuOyzIOnZgA==">CgMxLjAaHwoBMBIaChgICVIUChJ0YWJsZS5mZWx5bTg4ZzB2ZjAaHwoBMRIaChgICVIUChJ0YWJsZS44M29lMHVrcThtOTMaHwoBMhIaChgICVIUChJ0YWJsZS4yaGhkb2c5dXdjMDY4AHIhMUJGLVVwQXJncHdEVHMxM2xNS1Zia1JNOWJCcURJS2RY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