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HEALTHTECH</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Chávez Gave Jose Luis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Lozano Paredes Renzo Jeanpier Santos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1.2</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Vera Alva</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avances del punto 1 hasta el punto 2.2</w:t>
            </w:r>
          </w:p>
        </w:tc>
      </w:tr>
      <w:tr>
        <w:trPr>
          <w:cantSplit w:val="0"/>
          <w:tblHeader w:val="0"/>
        </w:trPr>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Maycol Torres Rivera</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3.1 “Identificación” del apartado “Actividades de GCS”</w:t>
            </w:r>
          </w:p>
        </w:tc>
      </w:tr>
      <w:tr>
        <w:trPr>
          <w:cantSplit w:val="0"/>
          <w:tblHeader w:val="0"/>
        </w:trPr>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07/11/2024</w:t>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Rosillo Ramirez Jeremy Andrew</w:t>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4 “Estado de Contabilidad”</w:t>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F">
      <w:pPr>
        <w:numPr>
          <w:ilvl w:val="1"/>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 y problemática</w:t>
      </w:r>
      <w:r w:rsidDel="00000000" w:rsidR="00000000" w:rsidRPr="00000000">
        <w:rPr>
          <w:rtl w:val="0"/>
        </w:rPr>
      </w:r>
    </w:p>
    <w:p w:rsidR="00000000" w:rsidDel="00000000" w:rsidP="00000000" w:rsidRDefault="00000000" w:rsidRPr="00000000" w14:paraId="0000004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S.A es una consultoría de software la cual lleva desde el año 2019 dedicada al desarrollo de aplicaciones web para pequeñas y medianas empresas especializadas en el sector salud. Durante estos años, asesoramos a quienes buscan una solución a la tardía ejecución y administración de sus operaciones clínicas y administrativas. Esto permite seguir eficientes estrategias de optimización, ajustadas a los contextos de cada cliente. Además, contamos con el compromiso del sector público y privado para la creación de diversos proyectos de software en paralelo, los cuales están enfocados a ofrecer una mejor gestión de citas para pacientes con problemas de salud mental. Los proyectos que hemos desarrollado anteriormente son </w:t>
      </w:r>
      <w:r w:rsidDel="00000000" w:rsidR="00000000" w:rsidRPr="00000000">
        <w:rPr>
          <w:rFonts w:ascii="Times New Roman" w:cs="Times New Roman" w:eastAsia="Times New Roman" w:hAnsi="Times New Roman"/>
          <w:b w:val="1"/>
          <w:sz w:val="24"/>
          <w:szCs w:val="24"/>
          <w:rtl w:val="0"/>
        </w:rPr>
        <w:t xml:space="preserve">FisiMental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DigitalHealth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MindCare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CognitivaPro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el proyecto en desarrollo actual es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para la organización De-Mentes, una asociación pionera en el campo de la salud mental en Latinoamérica.</w:t>
      </w:r>
      <w:r w:rsidDel="00000000" w:rsidR="00000000" w:rsidRPr="00000000">
        <w:rPr>
          <w:rtl w:val="0"/>
        </w:rPr>
      </w:r>
    </w:p>
    <w:p w:rsidR="00000000" w:rsidDel="00000000" w:rsidP="00000000" w:rsidRDefault="00000000" w:rsidRPr="00000000" w14:paraId="0000004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dichos proyectos y sus archivos principales se encuentran centralizados en computadoras, las cuales deben ser únicamente accedidas por los miembros de cada equipo de desarrollo. Por otra parte, cada equipo tiene disposición para usar las herramientas, dependencias y librerías que les parezcan más convenientes. Al tratarse de pocas unidades, se establecieron horarios y turnos para que cada desarrollador avance las actividades correspondientes a sus iteraciones. Este panorama ha generado en estos últimos meses problemas en la gestión de los proyectos de software, así como la falta de estandarización en herramientas, y un grave peligro de sobreescribir los avances aprobados, ocasionando una mayor cantidad de errores y la inutilidad de funcionalidades de las aplicaciones.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abordar las problemáticas detectadas en la gestión de proyectos de HealthTech S.A., se propone implementar un sistema centralizado en la nube que permita a todos los equipos de desarrollo acceder de manera segura y organizada a los recursos necesarios. Este sistema integrará herramientas de control de versiones y gestión colaborativa, garantizando que los equipos puedan trabajar de manera eficiente y sin interferencias. Además, se establecerá un estándar común para el uso de librerías y dependencias, lo que permitirá una mayor coherencia en el desarrollo, reducirá los errores de sobreescritura y mejorará la estabilidad de las funcionalidades aprobadas.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una herramienta de control de versiones adecuada será clave para evitar conflictos de código y asegurar la correcta aprobación de cambios, manteniendo así la integridad y calidad de los proyectos. Este enfoque busca optimizar el desarrollo, minimizando retrasos y confusiones, y asegurando una mayor confiabilidad en los productos entregados a los clientes.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y responsabilidades</w:t>
      </w:r>
      <w:r w:rsidDel="00000000" w:rsidR="00000000" w:rsidRPr="00000000">
        <w:rPr>
          <w:rtl w:val="0"/>
        </w:rPr>
      </w:r>
    </w:p>
    <w:sdt>
      <w:sdtPr>
        <w:lock w:val="contentLocked"/>
        <w:tag w:val="goog_rdk_0"/>
      </w:sdtPr>
      <w:sdtContent>
        <w:tbl>
          <w:tblPr>
            <w:tblStyle w:val="Table2"/>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730"/>
            <w:tblGridChange w:id="0">
              <w:tblGrid>
                <w:gridCol w:w="1935"/>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el funcionamiento de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Gestor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todas las tareas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Inspector de Aseguramiento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Bibliotecario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repositorio centralizado y seguro donde se almacenen los artefactos de configuración, como el código fuente, documentos de diseño,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 del Equipo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los procedimientos y políticas de configuración establecidos por el Gestor de Configuración y el Project Manager</w:t>
                </w:r>
              </w:p>
            </w:tc>
          </w:tr>
        </w:tbl>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Hub</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Lab</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Bitbucket</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 y públicos, con limitaciones en funcionalidades avanzadas como la integración continua (CI) y límites de almacenamiento.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Incluye integración continua y despliegue continuo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públicos y privados ilimitados de max. 5 colaboradores. Integracion con Jira, Confluence y productos de Atlassian</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posee una interfaz web amigable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poco avanzada debido a la inclusión de muchas más funcionalidades integradas.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interfaz moderna. La integración con Jira facilita procesos.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Centralizado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servidores de GitHub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su plataforma o en un self-hosted.</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los servidores de Atlassian</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Distribuido</w:t>
            </w:r>
          </w:p>
        </w:tc>
        <w:tc>
          <w:tcPr/>
          <w:p w:rsidR="00000000" w:rsidDel="00000000" w:rsidP="00000000" w:rsidRDefault="00000000" w:rsidRPr="00000000" w14:paraId="00000069">
            <w:pPr>
              <w:spacing w:after="26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clonar repositorios en máquinas locales, realizar commits offline, y subir cambios a un servidor central.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desarrolladores pueden trabajar localmente y sincronizar cambios con el servidor remoto.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colaboradores pueden trabajar localmente y posteriormente subir los cambios al repositorio remoto.</w:t>
            </w:r>
            <w:r w:rsidDel="00000000" w:rsidR="00000000" w:rsidRPr="00000000">
              <w:rPr>
                <w:rtl w:val="0"/>
              </w:rPr>
            </w:r>
          </w:p>
        </w:tc>
      </w:tr>
    </w:tbl>
    <w:p w:rsidR="00000000" w:rsidDel="00000000" w:rsidP="00000000" w:rsidRDefault="00000000" w:rsidRPr="00000000" w14:paraId="0000006C">
      <w:pPr>
        <w:spacing w:before="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elegida para este proyecto será GitHub, debido a su equilibrio entre funcionalidad y accesibilidad. GitHub ofrece un plan gratuito que cubre las necesidades básicas del control de versiones, tanto para repositorios públicos como privados. Su interfaz intuitiva facilita su adopción, incluso para aquellos con poca experiencia en Git, y permite una gestión eficiente de proyectos.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8827" cy="273340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18827" cy="27334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Arquitectura de trabajo de GitHub</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de la GCS</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la estructura de las librerías</w:t>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0709" cy="2480965"/>
            <wp:effectExtent b="0" l="0" r="0" t="0"/>
            <wp:docPr id="9" name="image6.png"/>
            <a:graphic>
              <a:graphicData uri="http://schemas.openxmlformats.org/drawingml/2006/picture">
                <pic:pic>
                  <pic:nvPicPr>
                    <pic:cNvPr id="0" name="image6.png"/>
                    <pic:cNvPicPr preferRelativeResize="0"/>
                  </pic:nvPicPr>
                  <pic:blipFill>
                    <a:blip r:embed="rId8"/>
                    <a:srcRect b="42583" l="5105" r="3621" t="7076"/>
                    <a:stretch>
                      <a:fillRect/>
                    </a:stretch>
                  </pic:blipFill>
                  <pic:spPr>
                    <a:xfrm>
                      <a:off x="0" y="0"/>
                      <a:ext cx="5920709" cy="24809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la línea base</w:t>
      </w:r>
    </w:p>
    <w:p w:rsidR="00000000" w:rsidDel="00000000" w:rsidP="00000000" w:rsidRDefault="00000000" w:rsidRPr="00000000" w14:paraId="00000074">
      <w:pPr>
        <w:spacing w:after="160" w:line="259"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1"/>
      </w:sdtPr>
      <w:sdtContent>
        <w:tbl>
          <w:tblPr>
            <w:tblStyle w:val="Table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5610"/>
            <w:tblGridChange w:id="0">
              <w:tblGrid>
                <w:gridCol w:w="1500"/>
                <w:gridCol w:w="1695"/>
                <w:gridCol w:w="561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 29 /09/24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SGCSM-PC.docx</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SGSCM-CP.xlsx</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SGCSM-DN.docx</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SGSCM-RFNF.docx</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SGCSM-DDCU.docx</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3.docx</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SGCSM-DECU004.docx</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5.docx</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6.docx</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7.docx</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8.docx</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9.docx</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0.docx</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1.docx</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3.docx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SGCSM-DMBD.docx</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SGCSM-DAS.docx</w:t>
                </w: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SGCSM-DDW.docx</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SGCSM-DDCP.docx</w:t>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SGCSM-DECP.xslx</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SGCSM-DICC.docx</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SGCSM-MDS.docx</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w:t>
                </w:r>
              </w:p>
            </w:tc>
          </w:tr>
        </w:tbl>
      </w:sdtContent>
    </w:sdt>
    <w:p w:rsidR="00000000" w:rsidDel="00000000" w:rsidP="00000000" w:rsidRDefault="00000000" w:rsidRPr="00000000" w14:paraId="0000009C">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nomenclaturas de ítems</w:t>
      </w:r>
    </w:p>
    <w:p w:rsidR="00000000" w:rsidDel="00000000" w:rsidP="00000000" w:rsidRDefault="00000000" w:rsidRPr="00000000" w14:paraId="0000009E">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1: Para ítems que pertenecen a un proyecto</w:t>
      </w:r>
    </w:p>
    <w:p w:rsidR="00000000" w:rsidDel="00000000" w:rsidP="00000000" w:rsidRDefault="00000000" w:rsidRPr="00000000" w14:paraId="0000009F">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 + extensión</w:t>
      </w:r>
    </w:p>
    <w:p w:rsidR="00000000" w:rsidDel="00000000" w:rsidP="00000000" w:rsidRDefault="00000000" w:rsidRPr="00000000" w14:paraId="000000A0">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2: Para ítems que pertenecen a un proyecto, los nombres se repiten y los ítems se prestan para una enumeración</w:t>
      </w:r>
    </w:p>
    <w:p w:rsidR="00000000" w:rsidDel="00000000" w:rsidP="00000000" w:rsidRDefault="00000000" w:rsidRPr="00000000" w14:paraId="000000A1">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etiqueta numerada + “.” + extensión</w:t>
      </w:r>
    </w:p>
    <w:p w:rsidR="00000000" w:rsidDel="00000000" w:rsidP="00000000" w:rsidRDefault="00000000" w:rsidRPr="00000000" w14:paraId="000000A2">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3: Para ítems que pertenecen a un proyecto y los nombres se repiten</w:t>
      </w:r>
    </w:p>
    <w:p w:rsidR="00000000" w:rsidDel="00000000" w:rsidP="00000000" w:rsidRDefault="00000000" w:rsidRPr="00000000" w14:paraId="000000A3">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Primeras 3 letras de la última palabra del acrónimo + “.”  extensión</w:t>
      </w:r>
    </w:p>
    <w:p w:rsidR="00000000" w:rsidDel="00000000" w:rsidP="00000000" w:rsidRDefault="00000000" w:rsidRPr="00000000" w14:paraId="000000A4">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4: Para ítems generales</w:t>
      </w:r>
    </w:p>
    <w:p w:rsidR="00000000" w:rsidDel="00000000" w:rsidP="00000000" w:rsidRDefault="00000000" w:rsidRPr="00000000" w14:paraId="000000A5">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extensión</w:t>
      </w:r>
    </w:p>
    <w:p w:rsidR="00000000" w:rsidDel="00000000" w:rsidP="00000000" w:rsidRDefault="00000000" w:rsidRPr="00000000" w14:paraId="000000A6">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5: Para ítems generales y los nombres se repiten</w:t>
      </w:r>
    </w:p>
    <w:p w:rsidR="00000000" w:rsidDel="00000000" w:rsidP="00000000" w:rsidRDefault="00000000" w:rsidRPr="00000000" w14:paraId="000000A7">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Primeras 3 letras de la última palabra del acrónimo + “.”  extensión</w:t>
      </w:r>
    </w:p>
    <w:p w:rsidR="00000000" w:rsidDel="00000000" w:rsidP="00000000" w:rsidRDefault="00000000" w:rsidRPr="00000000" w14:paraId="000000A8">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0A9">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2"/>
      </w:sdtPr>
      <w:sdtContent>
        <w:tbl>
          <w:tblPr>
            <w:tblStyle w:val="Table5"/>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85"/>
            <w:gridCol w:w="2295"/>
            <w:gridCol w:w="1260"/>
            <w:gridCol w:w="1185"/>
            <w:tblGridChange w:id="0">
              <w:tblGrid>
                <w:gridCol w:w="1695"/>
                <w:gridCol w:w="2385"/>
                <w:gridCol w:w="2295"/>
                <w:gridCol w:w="126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de la Gestión de la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Charter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Cronograma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funcionales y no funcionales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SGCSM-RFNF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1127.92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Diagrama de casos de uso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Modelo de Base de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Arquitectura de Software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diseño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ejecución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informe de calidad de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SGCSM-DICC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74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de despliegue y soporte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bl>
      </w:sdtContent>
    </w:sdt>
    <w:p w:rsidR="00000000" w:rsidDel="00000000" w:rsidP="00000000" w:rsidRDefault="00000000" w:rsidRPr="00000000" w14:paraId="0000013B">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Estado de la Contabilidad</w:t>
      </w:r>
    </w:p>
    <w:p w:rsidR="00000000" w:rsidDel="00000000" w:rsidP="00000000" w:rsidRDefault="00000000" w:rsidRPr="00000000" w14:paraId="00000148">
      <w:pPr>
        <w:numPr>
          <w:ilvl w:val="1"/>
          <w:numId w:val="2"/>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General</w:t>
      </w:r>
    </w:p>
    <w:p w:rsidR="00000000" w:rsidDel="00000000" w:rsidP="00000000" w:rsidRDefault="00000000" w:rsidRPr="00000000" w14:paraId="000001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muestra los Commits a lo largo del tiempo en nuestro repositorio de código, abarcando el periodo desde el 7 de septiembre de 2024 hasta el 2 de noviembre de 2024. La gráfica indica el número de Commits que se realizaron semanalmente y los picos señalan los días que hubo más interacción de Commits, que cuadran con las semanas de finalizar los hitos.</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1419225</wp:posOffset>
            </wp:positionV>
            <wp:extent cx="6186488" cy="249818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6488" cy="2498183"/>
                    </a:xfrm>
                    <a:prstGeom prst="rect"/>
                    <a:ln/>
                  </pic:spPr>
                </pic:pic>
              </a:graphicData>
            </a:graphic>
          </wp:anchor>
        </w:drawing>
      </w:r>
    </w:p>
    <w:p w:rsidR="00000000" w:rsidDel="00000000" w:rsidP="00000000" w:rsidRDefault="00000000" w:rsidRPr="00000000" w14:paraId="000001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numPr>
          <w:ilvl w:val="1"/>
          <w:numId w:val="2"/>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de Contribuciones</w:t>
      </w:r>
    </w:p>
    <w:p w:rsidR="00000000" w:rsidDel="00000000" w:rsidP="00000000" w:rsidRDefault="00000000" w:rsidRPr="00000000" w14:paraId="0000014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captura muestra un desglose de las contribuciones de nuestro equipo en el repositorio, en el mismo periodo de tiempo que la gráfica anterior. Cada cuadro representa las contribuciones individuales de cada miembro del equipo de desarrollo. Aquellas personas que tienen pocas contribuciones con pocas líneas modificadas, significa que han trabajo en documentos y no código; además de no tener asignados muchos ítems para los primeros hitos.</w:t>
      </w:r>
    </w:p>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8388" cy="482397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48388" cy="4823971"/>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F">
      <w:pPr>
        <w:numPr>
          <w:ilvl w:val="1"/>
          <w:numId w:val="2"/>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Network</w:t>
      </w:r>
    </w:p>
    <w:p w:rsidR="00000000" w:rsidDel="00000000" w:rsidP="00000000" w:rsidRDefault="00000000" w:rsidRPr="00000000" w14:paraId="0000015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representa la actividad de las ramas de cada uno de los integrantes del proyecto. Los puntos indican los commits realizados y las flechas, los merges.</w:t>
      </w:r>
    </w:p>
    <w:p w:rsidR="00000000" w:rsidDel="00000000" w:rsidP="00000000" w:rsidRDefault="00000000" w:rsidRPr="00000000" w14:paraId="0000015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135322</wp:posOffset>
            </wp:positionV>
            <wp:extent cx="6168873" cy="205970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68873" cy="2059707"/>
                    </a:xfrm>
                    <a:prstGeom prst="rect"/>
                    <a:ln/>
                  </pic:spPr>
                </pic:pic>
              </a:graphicData>
            </a:graphic>
          </wp:anchor>
        </w:drawing>
      </w:r>
    </w:p>
    <w:p w:rsidR="00000000" w:rsidDel="00000000" w:rsidP="00000000" w:rsidRDefault="00000000" w:rsidRPr="00000000" w14:paraId="00000152">
      <w:pPr>
        <w:numPr>
          <w:ilvl w:val="1"/>
          <w:numId w:val="2"/>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de Commits</w:t>
      </w:r>
    </w:p>
    <w:p w:rsidR="00000000" w:rsidDel="00000000" w:rsidP="00000000" w:rsidRDefault="00000000" w:rsidRPr="00000000" w14:paraId="0000015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imagen muestra que la mayor parte del trabajo en el proyecto se concentró en octubre y se espera aumente en noviembre en la última fase del proyecto (Hito 3). Durante estos meses, hubo un periodo de mucha actividad, especialmente en una semana donde el equipo hizo la mayoría de los cambios.</w:t>
      </w:r>
    </w:p>
    <w:p w:rsidR="00000000" w:rsidDel="00000000" w:rsidP="00000000" w:rsidRDefault="00000000" w:rsidRPr="00000000" w14:paraId="0000015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148679</wp:posOffset>
            </wp:positionV>
            <wp:extent cx="6157913" cy="344572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57913" cy="3445728"/>
                    </a:xfrm>
                    <a:prstGeom prst="rect"/>
                    <a:ln/>
                  </pic:spPr>
                </pic:pic>
              </a:graphicData>
            </a:graphic>
          </wp:anchor>
        </w:drawing>
      </w:r>
    </w:p>
    <w:p w:rsidR="00000000" w:rsidDel="00000000" w:rsidP="00000000" w:rsidRDefault="00000000" w:rsidRPr="00000000" w14:paraId="0000015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S2++eMnqsK0iE4KuOyzIOnZgA==">CgMxLjAaHwoBMBIaChgICVIUChJ0YWJsZS5mZWx5bTg4ZzB2ZjAaHwoBMRIaChgICVIUChJ0YWJsZS44M29lMHVrcThtOTMaHwoBMhIaChgICVIUChJ0YWJsZS4yaGhkb2c5dXdjMDY4AHIhMUJGLVVwQXJncHdEVHMxM2xNS1Zia1JNOWJCcURJS2RY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