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Request (CR-002)</w:t>
      </w:r>
    </w:p>
    <w:p>
      <w:pPr>
        <w:pStyle w:val="Heading2"/>
      </w:pPr>
      <w:r>
        <w:t>HIE-Driven Pre-Visit Intelligence Ingestion Module</w:t>
      </w:r>
    </w:p>
    <w:p>
      <w:r>
        <w:t>System: Easy Health Point of Care Application</w:t>
      </w:r>
    </w:p>
    <w:p>
      <w:r>
        <w:t>Requestor: Jay Baker</w:t>
      </w:r>
    </w:p>
    <w:p>
      <w:r>
        <w:t>Date: February 12, 2026</w:t>
      </w:r>
    </w:p>
    <w:p>
      <w:pPr>
        <w:pStyle w:val="Heading2"/>
      </w:pPr>
      <w:r>
        <w:t>1. Overview</w:t>
      </w:r>
    </w:p>
    <w:p>
      <w:r>
        <w:t>This change request introduces a Pre-Visit HIE Intelligence Ingestion Module that enables the EH POC application to receive structured clinical data retrieved by Easy Health from external Health Information Exchanges (HIEs) prior to the encounter.</w:t>
        <w:br/>
        <w:br/>
        <w:t>Under this model:</w:t>
        <w:br/>
        <w:br/>
        <w:t>• Easy Health retrieves member clinical data from HIEs</w:t>
        <w:br/>
        <w:t>• Health Trixss does not perform HIE queries</w:t>
        <w:br/>
        <w:t>• EH POC exposes a FHIR-based ingestion API</w:t>
        <w:br/>
        <w:t>• Retrieved clinical data is transmitted into EH POC</w:t>
        <w:br/>
        <w:t>• EH POC processes this data into structured Pre-Visit Analytics</w:t>
        <w:br/>
        <w:br/>
        <w:t>This enables operational benefits including medication reconciliation preparation, care gap targeting, chronic condition identification, improved HCC documentation, and visit efficiency gains.</w:t>
        <w:br/>
      </w:r>
    </w:p>
    <w:p>
      <w:pPr>
        <w:pStyle w:val="Heading2"/>
      </w:pPr>
      <w:r>
        <w:t>2. Scope</w:t>
      </w:r>
    </w:p>
    <w:p>
      <w:r>
        <w:t>In Scope:</w:t>
        <w:br/>
        <w:t>• External HIE data ingestion via FHIR</w:t>
        <w:br/>
        <w:t>• Pre-Visit encounter enrichment</w:t>
        <w:br/>
        <w:t>• Medication list pre-population</w:t>
        <w:br/>
        <w:t>• Condition suspecting support</w:t>
        <w:br/>
        <w:t>• Provenance tagging</w:t>
        <w:br/>
        <w:t>• NP visit guidance generation</w:t>
        <w:br/>
        <w:t>• Completeness engine integration</w:t>
        <w:br/>
        <w:br/>
        <w:t>Out of Scope:</w:t>
        <w:br/>
        <w:t>• Direct HIE querying</w:t>
        <w:br/>
        <w:t>• Document retrieval workflows</w:t>
        <w:br/>
        <w:t>• HIE credential management</w:t>
        <w:br/>
        <w:t>• External identity resolution</w:t>
        <w:br/>
      </w:r>
    </w:p>
    <w:p>
      <w:pPr>
        <w:pStyle w:val="Heading2"/>
      </w:pPr>
      <w:r>
        <w:t>3. Architecture Assumptions</w:t>
      </w:r>
    </w:p>
    <w:p>
      <w:r>
        <w:t>Easy Health retrieves member data from HIE</w:t>
        <w:br/>
        <w:t>Easy Health converts HIE data into FHIR</w:t>
        <w:br/>
        <w:t>Easy Health sends data to EH POC</w:t>
        <w:br/>
        <w:t>Health Trixss EH POC accepts inbound FHIR payload</w:t>
        <w:br/>
        <w:t>Health Trixss EH POC processes into encounter analytics</w:t>
        <w:br/>
        <w:t>Health Trixss EH POC tags provenance</w:t>
        <w:br/>
        <w:t>Health Trixss EH POC generates visit guidance</w:t>
        <w:br/>
      </w:r>
    </w:p>
    <w:p>
      <w:pPr>
        <w:pStyle w:val="Heading2"/>
      </w:pPr>
      <w:r>
        <w:t>4. Summary of Changes (MoSCoW)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CR-002-01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External FHIR ingestion API</w:t>
            </w:r>
          </w:p>
        </w:tc>
      </w:tr>
      <w:tr>
        <w:tc>
          <w:tcPr>
            <w:tcW w:type="dxa" w:w="2880"/>
          </w:tcPr>
          <w:p>
            <w:r>
              <w:t>CR-002-02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Medication reconciliation pre-population</w:t>
            </w:r>
          </w:p>
        </w:tc>
      </w:tr>
      <w:tr>
        <w:tc>
          <w:tcPr>
            <w:tcW w:type="dxa" w:w="2880"/>
          </w:tcPr>
          <w:p>
            <w:r>
              <w:t>CR-002-03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HIE-derived condition suspecting</w:t>
            </w:r>
          </w:p>
        </w:tc>
      </w:tr>
      <w:tr>
        <w:tc>
          <w:tcPr>
            <w:tcW w:type="dxa" w:w="2880"/>
          </w:tcPr>
          <w:p>
            <w:r>
              <w:t>CR-002-04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Provenance tagging</w:t>
            </w:r>
          </w:p>
        </w:tc>
      </w:tr>
      <w:tr>
        <w:tc>
          <w:tcPr>
            <w:tcW w:type="dxa" w:w="2880"/>
          </w:tcPr>
          <w:p>
            <w:r>
              <w:t>CR-002-05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Pre-Visit NP guidance panel</w:t>
            </w:r>
          </w:p>
        </w:tc>
      </w:tr>
      <w:tr>
        <w:tc>
          <w:tcPr>
            <w:tcW w:type="dxa" w:w="2880"/>
          </w:tcPr>
          <w:p>
            <w:r>
              <w:t>CR-002-06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  <w:tc>
          <w:tcPr>
            <w:tcW w:type="dxa" w:w="2880"/>
          </w:tcPr>
          <w:p>
            <w:r>
              <w:t>Care gap prioritization</w:t>
            </w:r>
          </w:p>
        </w:tc>
      </w:tr>
      <w:tr>
        <w:tc>
          <w:tcPr>
            <w:tcW w:type="dxa" w:w="2880"/>
          </w:tcPr>
          <w:p>
            <w:r>
              <w:t>CR-002-07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  <w:tc>
          <w:tcPr>
            <w:tcW w:type="dxa" w:w="2880"/>
          </w:tcPr>
          <w:p>
            <w:r>
              <w:t>Completeness engine pre-visit awareness</w:t>
            </w:r>
          </w:p>
        </w:tc>
      </w:tr>
      <w:tr>
        <w:tc>
          <w:tcPr>
            <w:tcW w:type="dxa" w:w="2880"/>
          </w:tcPr>
          <w:p>
            <w:r>
              <w:t>CR-002-08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  <w:tc>
          <w:tcPr>
            <w:tcW w:type="dxa" w:w="2880"/>
          </w:tcPr>
          <w:p>
            <w:r>
              <w:t>Supervisor adjudication enrichment</w:t>
            </w:r>
          </w:p>
        </w:tc>
      </w:tr>
    </w:tbl>
    <w:p>
      <w:pPr>
        <w:pStyle w:val="Heading2"/>
      </w:pPr>
      <w:r>
        <w:t>5. Detailed Change Requirements</w:t>
      </w:r>
    </w:p>
    <w:p>
      <w:pPr>
        <w:pStyle w:val="Heading3"/>
      </w:pPr>
      <w:r>
        <w:t>5.1 External FHIR Ingestion API (CR-002-01)</w:t>
      </w:r>
    </w:p>
    <w:p>
      <w:r>
        <w:t>BRD:</w:t>
        <w:br/>
        <w:t>EH POC shall expose secure FHIR-based API endpoints to receive MedicationStatement, Condition, Observation, Encounter, and Procedure resources retrieved from HIE by Easy Health prior to the visit.</w:t>
        <w:br/>
        <w:br/>
        <w:t>TRD:</w:t>
        <w:br/>
        <w:t>Expose endpoint:</w:t>
        <w:br/>
        <w:t>POST /api/fhir/PrevisitContext</w:t>
        <w:br/>
        <w:br/>
        <w:t>Associate inbound resources with scheduledEncounterId and persist with origin=HIE, ingestionMethod=externalFHIR, and receivedTimestamp.</w:t>
        <w:br/>
        <w:br/>
        <w:t>Acceptance Criteria:</w:t>
        <w:br/>
        <w:t>Inbound FHIR payloads are accepted and linked to scheduled encounter.</w:t>
        <w:br/>
      </w:r>
    </w:p>
    <w:p>
      <w:pPr>
        <w:pStyle w:val="Heading3"/>
      </w:pPr>
      <w:r>
        <w:t>5.2 Medication Reconciliation Pre-Population (CR-002-02)</w:t>
      </w:r>
    </w:p>
    <w:p>
      <w:r>
        <w:t>BRD:</w:t>
        <w:br/>
        <w:t>Medication resources received from EH shall pre-populate reconciliation workflow and display as unverified requiring NP confirmation.</w:t>
        <w:br/>
        <w:br/>
        <w:t>TRD:</w:t>
        <w:br/>
        <w:t>Store medication.source = HIE and medication.verificationStatus = pending.</w:t>
        <w:br/>
        <w:br/>
        <w:t>Acceptance Criteria:</w:t>
        <w:br/>
        <w:t>Provider verifies medications instead of entering manually.</w:t>
        <w:br/>
      </w:r>
    </w:p>
    <w:p>
      <w:pPr>
        <w:pStyle w:val="Heading3"/>
      </w:pPr>
      <w:r>
        <w:t>5.3 HIE-Derived Condition Suspecting (CR-002-03)</w:t>
      </w:r>
    </w:p>
    <w:p>
      <w:r>
        <w:t>BRD:</w:t>
        <w:br/>
        <w:t>Condition resources received but absent in structured encounter shall generate suspect prompts and link to diagnosis support rules.</w:t>
        <w:br/>
        <w:br/>
        <w:t>TRD:</w:t>
        <w:br/>
        <w:t>If inboundCondition is not present in encounterCondition then create suspectedCondition.</w:t>
        <w:br/>
        <w:br/>
        <w:t>Acceptance Criteria:</w:t>
        <w:br/>
        <w:t>NP receives suspected diagnosis prompts.</w:t>
        <w:br/>
      </w:r>
    </w:p>
    <w:p>
      <w:pPr>
        <w:pStyle w:val="Heading3"/>
      </w:pPr>
      <w:r>
        <w:t>5.4 Provenance Tagging (CR-002-04)</w:t>
      </w:r>
    </w:p>
    <w:p>
      <w:r>
        <w:t>BRD:</w:t>
        <w:br/>
        <w:t>Inbound HIE data must be distinguishable from clinician captured or patient reported data.</w:t>
        <w:br/>
        <w:br/>
        <w:t>TRD:</w:t>
        <w:br/>
        <w:t>Persist data.origin = HIE, data.sourceSystem = EH, data.ingestionTimestamp.</w:t>
        <w:br/>
        <w:br/>
        <w:t>Acceptance Criteria:</w:t>
        <w:br/>
        <w:t>Timeline displays origin as HIE.</w:t>
        <w:br/>
      </w:r>
    </w:p>
    <w:p>
      <w:pPr>
        <w:pStyle w:val="Heading3"/>
      </w:pPr>
      <w:r>
        <w:t>5.5 Pre-Visit NP Guidance Panel (CR-002-05)</w:t>
      </w:r>
    </w:p>
    <w:p>
      <w:r>
        <w:t>BRD:</w:t>
        <w:br/>
        <w:t>Encounter dashboard shall surface suspected diagnoses, medication reconciliation tasks, targetable care gaps, and preventive screenings.</w:t>
        <w:br/>
        <w:br/>
        <w:t>TRD:</w:t>
        <w:br/>
        <w:t>Generate EncounterGuidanceSummary Object.</w:t>
        <w:br/>
        <w:br/>
        <w:t>Acceptance Criteria:</w:t>
        <w:br/>
        <w:t>NP can review actionable priorities before visit start.</w:t>
        <w:br/>
      </w:r>
    </w:p>
    <w:p>
      <w:pPr>
        <w:pStyle w:val="Heading3"/>
      </w:pPr>
      <w:r>
        <w:t>5.6 Completeness Engine Pre-Visit Awareness (CR-002-07)</w:t>
      </w:r>
    </w:p>
    <w:p>
      <w:r>
        <w:t>BRD:</w:t>
        <w:br/>
        <w:t>Completeness engine shall evaluate inbound HIE data and identify missing documentation needs.</w:t>
        <w:br/>
        <w:br/>
        <w:t>TRD:</w:t>
        <w:br/>
        <w:t>Run rule engine on ingestion.</w:t>
        <w:br/>
        <w:br/>
        <w:t>Acceptance Criteria:</w:t>
        <w:br/>
        <w:t>Required documentation flagged prior to encounter.</w:t>
        <w:br/>
      </w:r>
    </w:p>
    <w:p>
      <w:pPr>
        <w:pStyle w:val="Heading3"/>
      </w:pPr>
      <w:r>
        <w:t>5.7 Supervisor Adjudication Enrichment (CR-002-08)</w:t>
      </w:r>
    </w:p>
    <w:p>
      <w:r>
        <w:t>BRD:</w:t>
        <w:br/>
        <w:t>Supervisor review shall include HIE verified diagnoses, medication reconciliation status, and care gap opportunities.</w:t>
        <w:br/>
        <w:br/>
        <w:t>TRD:</w:t>
        <w:br/>
        <w:t>Extend EncounterAdjudicationSummary.</w:t>
        <w:br/>
        <w:br/>
        <w:t>Acceptance Criteria:</w:t>
        <w:br/>
        <w:t>Supervisor sees HIE validation indicators.</w:t>
        <w:br/>
      </w:r>
    </w:p>
    <w:p>
      <w:pPr>
        <w:pStyle w:val="Heading2"/>
      </w:pPr>
      <w:r>
        <w:t>6. Expected Impact</w:t>
      </w:r>
    </w:p>
    <w:p>
      <w:r>
        <w:t>Embedding externally retrieved HIE data into the encounter workflow will improve visit preparation, medication accuracy, chronic condition capture, care gap closure, and RAF documentation quality.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F353A0AE4B0849971CC4AC1C86E8AC" ma:contentTypeVersion="9" ma:contentTypeDescription="Create a new document." ma:contentTypeScope="" ma:versionID="e82c121cb9457cec0d5a3dc834708c5a">
  <xsd:schema xmlns:xsd="http://www.w3.org/2001/XMLSchema" xmlns:xs="http://www.w3.org/2001/XMLSchema" xmlns:p="http://schemas.microsoft.com/office/2006/metadata/properties" xmlns:ns2="0335130b-f5da-4008-87bf-7d0ef9cd233e" targetNamespace="http://schemas.microsoft.com/office/2006/metadata/properties" ma:root="true" ma:fieldsID="f88222d740d12ed8e2ed35b50625733f" ns2:_="">
    <xsd:import namespace="0335130b-f5da-4008-87bf-7d0ef9cd2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5130b-f5da-4008-87bf-7d0ef9cd2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c277df9-1e1c-486c-aa02-9119115866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5130b-f5da-4008-87bf-7d0ef9cd23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B1C6B7-B154-4A3B-B750-60DBC6E69F93}"/>
</file>

<file path=customXml/itemProps3.xml><?xml version="1.0" encoding="utf-8"?>
<ds:datastoreItem xmlns:ds="http://schemas.openxmlformats.org/officeDocument/2006/customXml" ds:itemID="{34703974-32FB-4346-9791-F8573F6B5A00}"/>
</file>

<file path=customXml/itemProps4.xml><?xml version="1.0" encoding="utf-8"?>
<ds:datastoreItem xmlns:ds="http://schemas.openxmlformats.org/officeDocument/2006/customXml" ds:itemID="{4208F64D-E326-42F8-8173-C7078038C8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0x0101001DF353A0AE4B0849971CC4AC1C86E8AC</vt:lpwstr>
  </property>
</Properties>
</file>