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Miltenyi PMS — Stakeholder Discussion</w:t>
      </w:r>
    </w:p>
    <w:p>
      <w:pPr>
        <w:jc w:val="center"/>
      </w:pPr>
      <w:r>
        <w:rPr>
          <w:i/>
          <w:color w:val="606060"/>
          <w:sz w:val="26"/>
        </w:rPr>
        <w:t>In-Review Testing Question Bank + Review Window Policy</w:t>
      </w:r>
    </w:p>
    <w:p/>
    <w:tbl>
      <w:tblPr>
        <w:tblW w:type="auto" w:w="0"/>
        <w:tblLayout w:type="fixed"/>
        <w:tblLook w:firstColumn="1" w:firstRow="1" w:lastColumn="0" w:lastRow="0" w:noHBand="0" w:noVBand="1" w:val="04A0"/>
      </w:tblPr>
      <w:tblGrid>
        <w:gridCol w:w="4986"/>
        <w:gridCol w:w="4986"/>
      </w:tblGrid>
      <w:tr>
        <w:tc>
          <w:tcPr>
            <w:tcW w:type="dxa" w:w="2551"/>
            <w:shd w:val="clear" w:color="auto" w:fill="EAF1F8"/>
          </w:tcPr>
          <w:p>
            <w:r>
              <w:rPr>
                <w:b/>
                <w:sz w:val="20"/>
              </w:rPr>
              <w:t>Meeting date</w:t>
            </w:r>
          </w:p>
        </w:tc>
        <w:tc>
          <w:tcPr>
            <w:tcW w:type="dxa" w:w="7087"/>
          </w:tcPr>
          <w:p>
            <w:r>
              <w:rPr>
                <w:sz w:val="20"/>
              </w:rPr>
              <w:t>22 May 2026</w:t>
            </w:r>
          </w:p>
        </w:tc>
      </w:tr>
      <w:tr>
        <w:tc>
          <w:tcPr>
            <w:tcW w:type="dxa" w:w="2551"/>
            <w:shd w:val="clear" w:color="auto" w:fill="EAF1F8"/>
          </w:tcPr>
          <w:p>
            <w:r>
              <w:rPr>
                <w:b/>
                <w:sz w:val="20"/>
              </w:rPr>
              <w:t>Status</w:t>
            </w:r>
          </w:p>
        </w:tc>
        <w:tc>
          <w:tcPr>
            <w:tcW w:type="dxa" w:w="7087"/>
          </w:tcPr>
          <w:p>
            <w:r>
              <w:rPr>
                <w:sz w:val="20"/>
              </w:rPr>
              <w:t>Pre-meeting draft — answers to be captured live</w:t>
            </w:r>
          </w:p>
        </w:tc>
      </w:tr>
      <w:tr>
        <w:tc>
          <w:tcPr>
            <w:tcW w:type="dxa" w:w="2551"/>
            <w:shd w:val="clear" w:color="auto" w:fill="EAF1F8"/>
          </w:tcPr>
          <w:p>
            <w:r>
              <w:rPr>
                <w:b/>
                <w:sz w:val="20"/>
              </w:rPr>
              <w:t>Owners</w:t>
            </w:r>
          </w:p>
        </w:tc>
        <w:tc>
          <w:tcPr>
            <w:tcW w:type="dxa" w:w="7087"/>
          </w:tcPr>
          <w:p>
            <w:r>
              <w:rPr>
                <w:sz w:val="20"/>
              </w:rPr>
              <w:t>PMS engineering · Healthark HR · Miltenyi HR</w:t>
            </w:r>
          </w:p>
        </w:tc>
      </w:tr>
      <w:tr>
        <w:tc>
          <w:tcPr>
            <w:tcW w:type="dxa" w:w="2551"/>
            <w:shd w:val="clear" w:color="auto" w:fill="EAF1F8"/>
          </w:tcPr>
          <w:p>
            <w:r>
              <w:rPr>
                <w:b/>
                <w:sz w:val="20"/>
              </w:rPr>
              <w:t>Total time budget</w:t>
            </w:r>
          </w:p>
        </w:tc>
        <w:tc>
          <w:tcPr>
            <w:tcW w:type="dxa" w:w="7087"/>
          </w:tcPr>
          <w:p>
            <w:r>
              <w:rPr>
                <w:sz w:val="20"/>
              </w:rPr>
              <w:t>~75 minutes</w:t>
            </w:r>
          </w:p>
        </w:tc>
      </w:tr>
      <w:tr>
        <w:tc>
          <w:tcPr>
            <w:tcW w:type="dxa" w:w="2551"/>
            <w:shd w:val="clear" w:color="auto" w:fill="EAF1F8"/>
          </w:tcPr>
          <w:p>
            <w:r>
              <w:rPr>
                <w:b/>
                <w:sz w:val="20"/>
              </w:rPr>
              <w:t>Format</w:t>
            </w:r>
          </w:p>
        </w:tc>
        <w:tc>
          <w:tcPr>
            <w:tcW w:type="dxa" w:w="7087"/>
          </w:tcPr>
          <w:p>
            <w:r>
              <w:rPr>
                <w:sz w:val="20"/>
              </w:rPr>
              <w:t>Walk top-down through Sections A → F. Fill the highlighted answer boxes during discussion.</w:t>
            </w:r>
          </w:p>
        </w:tc>
      </w:tr>
    </w:tbl>
    <w:p/>
    <w:p>
      <w:pPr>
        <w:pStyle w:val="Heading2"/>
      </w:pPr>
      <w:r>
        <w:rPr>
          <w:color w:val="1F4E79"/>
          <w:sz w:val="30"/>
        </w:rPr>
        <w:t>How to use this document</w:t>
      </w:r>
    </w:p>
    <w:p>
      <w:r>
        <w:rPr>
          <w:b w:val="0"/>
          <w:i w:val="0"/>
          <w:sz w:val="20"/>
        </w:rPr>
        <w:t>Each block has three parts: the context (italic grey, sets the scene), the question itself (bold), and an engineering recommendation (yellow band). Capture stakeholder responses in the bordered answer box at the bottom of each block. If the answer is 'agree with proposal', a checkmark is enough.</w:t>
      </w:r>
    </w:p>
    <w:p>
      <w:r>
        <w:rPr>
          <w:b w:val="0"/>
          <w:i/>
          <w:color w:val="606060"/>
          <w:sz w:val="20"/>
        </w:rPr>
        <w:t>Sections D (Review Window Policy) is the heaviest — budget extra time. Section F is operational follow-ups, not discussion items.</w:t>
      </w:r>
    </w:p>
    <w:p/>
    <w:p>
      <w:pPr>
        <w:pStyle w:val="Heading2"/>
      </w:pPr>
      <w:r>
        <w:rPr>
          <w:color w:val="1F4E79"/>
          <w:sz w:val="30"/>
        </w:rPr>
        <w:t>Agenda</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20"/>
              </w:rPr>
              <w:t>§</w:t>
            </w:r>
          </w:p>
        </w:tc>
        <w:tc>
          <w:tcPr>
            <w:tcW w:type="dxa" w:w="3324"/>
          </w:tcPr>
          <w:p>
            <w:r>
              <w:rPr>
                <w:b/>
                <w:sz w:val="20"/>
              </w:rPr>
              <w:t>Topic</w:t>
            </w:r>
          </w:p>
        </w:tc>
        <w:tc>
          <w:tcPr>
            <w:tcW w:type="dxa" w:w="3324"/>
          </w:tcPr>
          <w:p>
            <w:r>
              <w:rPr>
                <w:b/>
                <w:sz w:val="20"/>
              </w:rPr>
              <w:t>Time</w:t>
            </w:r>
          </w:p>
        </w:tc>
      </w:tr>
      <w:tr>
        <w:tc>
          <w:tcPr>
            <w:tcW w:type="dxa" w:w="3324"/>
          </w:tcPr>
          <w:p>
            <w:r>
              <w:rPr>
                <w:sz w:val="20"/>
              </w:rPr>
              <w:t>A</w:t>
            </w:r>
          </w:p>
        </w:tc>
        <w:tc>
          <w:tcPr>
            <w:tcW w:type="dxa" w:w="3324"/>
          </w:tcPr>
          <w:p>
            <w:r>
              <w:rPr>
                <w:sz w:val="20"/>
              </w:rPr>
              <w:t>Identity &amp; Onboarding</w:t>
            </w:r>
          </w:p>
        </w:tc>
        <w:tc>
          <w:tcPr>
            <w:tcW w:type="dxa" w:w="3324"/>
          </w:tcPr>
          <w:p>
            <w:r>
              <w:rPr>
                <w:sz w:val="20"/>
              </w:rPr>
              <w:t>10 min</w:t>
            </w:r>
          </w:p>
        </w:tc>
      </w:tr>
      <w:tr>
        <w:tc>
          <w:tcPr>
            <w:tcW w:type="dxa" w:w="3324"/>
          </w:tcPr>
          <w:p>
            <w:r>
              <w:rPr>
                <w:sz w:val="20"/>
              </w:rPr>
              <w:t>B</w:t>
            </w:r>
          </w:p>
        </w:tc>
        <w:tc>
          <w:tcPr>
            <w:tcW w:type="dxa" w:w="3324"/>
          </w:tcPr>
          <w:p>
            <w:r>
              <w:rPr>
                <w:sz w:val="20"/>
              </w:rPr>
              <w:t>People &amp; Roles</w:t>
            </w:r>
          </w:p>
        </w:tc>
        <w:tc>
          <w:tcPr>
            <w:tcW w:type="dxa" w:w="3324"/>
          </w:tcPr>
          <w:p>
            <w:r>
              <w:rPr>
                <w:sz w:val="20"/>
              </w:rPr>
              <w:t>15 min</w:t>
            </w:r>
          </w:p>
        </w:tc>
      </w:tr>
      <w:tr>
        <w:tc>
          <w:tcPr>
            <w:tcW w:type="dxa" w:w="3324"/>
          </w:tcPr>
          <w:p>
            <w:r>
              <w:rPr>
                <w:sz w:val="20"/>
              </w:rPr>
              <w:t>C</w:t>
            </w:r>
          </w:p>
        </w:tc>
        <w:tc>
          <w:tcPr>
            <w:tcW w:type="dxa" w:w="3324"/>
          </w:tcPr>
          <w:p>
            <w:r>
              <w:rPr>
                <w:sz w:val="20"/>
              </w:rPr>
              <w:t>Reference Data Ownership</w:t>
            </w:r>
          </w:p>
        </w:tc>
        <w:tc>
          <w:tcPr>
            <w:tcW w:type="dxa" w:w="3324"/>
          </w:tcPr>
          <w:p>
            <w:r>
              <w:rPr>
                <w:sz w:val="20"/>
              </w:rPr>
              <w:t>10 min</w:t>
            </w:r>
          </w:p>
        </w:tc>
      </w:tr>
      <w:tr>
        <w:tc>
          <w:tcPr>
            <w:tcW w:type="dxa" w:w="3324"/>
          </w:tcPr>
          <w:p>
            <w:r>
              <w:rPr>
                <w:sz w:val="20"/>
              </w:rPr>
              <w:t>D</w:t>
            </w:r>
          </w:p>
        </w:tc>
        <w:tc>
          <w:tcPr>
            <w:tcW w:type="dxa" w:w="3324"/>
          </w:tcPr>
          <w:p>
            <w:r>
              <w:rPr>
                <w:sz w:val="20"/>
              </w:rPr>
              <w:t>Review Window Policy</w:t>
            </w:r>
          </w:p>
        </w:tc>
        <w:tc>
          <w:tcPr>
            <w:tcW w:type="dxa" w:w="3324"/>
          </w:tcPr>
          <w:p>
            <w:r>
              <w:rPr>
                <w:sz w:val="20"/>
              </w:rPr>
              <w:t>25 min</w:t>
            </w:r>
          </w:p>
        </w:tc>
      </w:tr>
      <w:tr>
        <w:tc>
          <w:tcPr>
            <w:tcW w:type="dxa" w:w="3324"/>
          </w:tcPr>
          <w:p>
            <w:r>
              <w:rPr>
                <w:sz w:val="20"/>
              </w:rPr>
              <w:t>E</w:t>
            </w:r>
          </w:p>
        </w:tc>
        <w:tc>
          <w:tcPr>
            <w:tcW w:type="dxa" w:w="3324"/>
          </w:tcPr>
          <w:p>
            <w:r>
              <w:rPr>
                <w:sz w:val="20"/>
              </w:rPr>
              <w:t>Cross-cutting Policy &amp; UX</w:t>
            </w:r>
          </w:p>
        </w:tc>
        <w:tc>
          <w:tcPr>
            <w:tcW w:type="dxa" w:w="3324"/>
          </w:tcPr>
          <w:p>
            <w:r>
              <w:rPr>
                <w:sz w:val="20"/>
              </w:rPr>
              <w:t>10 min</w:t>
            </w:r>
          </w:p>
        </w:tc>
      </w:tr>
      <w:tr>
        <w:tc>
          <w:tcPr>
            <w:tcW w:type="dxa" w:w="3324"/>
          </w:tcPr>
          <w:p>
            <w:r>
              <w:rPr>
                <w:sz w:val="20"/>
              </w:rPr>
              <w:t>F</w:t>
            </w:r>
          </w:p>
        </w:tc>
        <w:tc>
          <w:tcPr>
            <w:tcW w:type="dxa" w:w="3324"/>
          </w:tcPr>
          <w:p>
            <w:r>
              <w:rPr>
                <w:sz w:val="20"/>
              </w:rPr>
              <w:t>Action Items (record only)</w:t>
            </w:r>
          </w:p>
        </w:tc>
        <w:tc>
          <w:tcPr>
            <w:tcW w:type="dxa" w:w="3324"/>
          </w:tcPr>
          <w:p>
            <w:r>
              <w:rPr>
                <w:sz w:val="20"/>
              </w:rPr>
              <w:t>5 min</w:t>
            </w:r>
          </w:p>
        </w:tc>
      </w:tr>
    </w:tbl>
    <w:p>
      <w:r>
        <w:br w:type="page"/>
      </w:r>
    </w:p>
    <w:p/>
    <w:tbl>
      <w:tblPr>
        <w:tblW w:type="auto" w:w="0"/>
        <w:tblLayout w:type="fixed"/>
        <w:tblLook w:firstColumn="1" w:firstRow="1" w:lastColumn="0" w:lastRow="0" w:noHBand="0" w:noVBand="1" w:val="04A0"/>
      </w:tblPr>
      <w:tblGrid>
        <w:gridCol w:w="4986"/>
        <w:gridCol w:w="4986"/>
      </w:tblGrid>
      <w:tr>
        <w:tc>
          <w:tcPr>
            <w:tcW w:type="dxa" w:w="7370"/>
            <w:shd w:val="clear" w:color="auto" w:fill="1F4E79"/>
          </w:tcPr>
          <w:p>
            <w:r>
              <w:rPr>
                <w:b/>
                <w:color w:val="FFFFFF"/>
                <w:sz w:val="28"/>
              </w:rPr>
              <w:t>Section A  —  Identity &amp; Onboarding</w:t>
            </w:r>
          </w:p>
        </w:tc>
        <w:tc>
          <w:tcPr>
            <w:tcW w:type="dxa" w:w="2268"/>
            <w:shd w:val="clear" w:color="auto" w:fill="1F4E79"/>
          </w:tcPr>
          <w:p>
            <w:pPr>
              <w:jc w:val="right"/>
            </w:pPr>
            <w:r>
              <w:rPr>
                <w:b/>
                <w:color w:val="FFFFFF"/>
                <w:sz w:val="22"/>
              </w:rPr>
              <w:t>~ 10 min</w:t>
            </w:r>
          </w:p>
        </w:tc>
      </w:tr>
    </w:tbl>
    <w:p>
      <w:pPr>
        <w:spacing w:before="200" w:after="40"/>
      </w:pPr>
      <w:r>
        <w:rPr>
          <w:b/>
          <w:color w:val="1F4E79"/>
          <w:sz w:val="24"/>
        </w:rPr>
        <w:t xml:space="preserve">A.1  </w:t>
      </w:r>
      <w:r>
        <w:rPr>
          <w:b/>
          <w:sz w:val="24"/>
        </w:rPr>
        <w:t>Email domain whitelist on user creation</w:t>
      </w:r>
    </w:p>
    <w:p>
      <w:r>
        <w:rPr>
          <w:b w:val="0"/>
          <w:i/>
          <w:color w:val="606060"/>
          <w:sz w:val="20"/>
        </w:rPr>
        <w:t>Today the user-creation form accepts any email address. Stakeholder concern: an HR_Miltenyi admin could accidentally create a user with a personal email (gmail, outlook), bypassing the corporate identity boundary.</w:t>
      </w:r>
    </w:p>
    <w:p>
      <w:r>
        <w:rPr>
          <w:b/>
          <w:i w:val="0"/>
          <w:sz w:val="20"/>
        </w:rPr>
        <w:t>Question: Should the system reject user creation if the email is not from @healthark.* or @miltenyibiotec.* (or whatever the official Miltenyi domain is)?</w:t>
      </w:r>
    </w:p>
    <w:p>
      <w:pPr>
        <w:pStyle w:val="ListBullet"/>
        <w:ind w:left="454"/>
      </w:pPr>
      <w:r>
        <w:rPr>
          <w:sz w:val="20"/>
        </w:rPr>
        <w:t>Whitelist enforced — reject non-corporate domains at form level.</w:t>
      </w:r>
    </w:p>
    <w:p>
      <w:pPr>
        <w:pStyle w:val="ListBullet"/>
        <w:ind w:left="454"/>
      </w:pPr>
      <w:r>
        <w:rPr>
          <w:sz w:val="20"/>
        </w:rPr>
        <w:t>Whitelist warned — allow with confirmation dialog, log the exception.</w:t>
      </w:r>
    </w:p>
    <w:p>
      <w:pPr>
        <w:pStyle w:val="ListBullet"/>
        <w:ind w:left="454"/>
      </w:pPr>
      <w:r>
        <w:rPr>
          <w:sz w:val="20"/>
        </w:rPr>
        <w:t>Open — accept any well-formed email (current behavior).</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Whitelist enforced. Confirm exact Miltenyi domain string(s) — is it @miltenyibiotec.com, @miltenyi.com, or both?</w:t>
            </w:r>
          </w:p>
        </w:tc>
      </w:tr>
    </w:tbl>
    <w:p>
      <w:r>
        <w:rPr>
          <w:b w:val="0"/>
          <w:i w:val="0"/>
          <w:color w:val="606060"/>
          <w:sz w:val="18"/>
        </w:rPr>
        <w:t>Why: Prevents accidental personal-email accounts; reinforces corporate identity boundary; minimal effort to add.</w:t>
      </w:r>
    </w:p>
    <w:p>
      <w:r>
        <w:rPr>
          <w:b w:val="0"/>
          <w:i/>
          <w:color w:val="606060"/>
          <w:sz w:val="18"/>
        </w:rPr>
        <w:t>Implementation note: Two-line validator in the user creation form + backend. Domain list lives in System Settings so HR_MyOrg can edit without a redeploy.</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A.2  </w:t>
      </w:r>
      <w:r>
        <w:rPr>
          <w:b/>
          <w:sz w:val="24"/>
        </w:rPr>
        <w:t>Employee code scheme — generation and format</w:t>
      </w:r>
    </w:p>
    <w:p>
      <w:r>
        <w:rPr>
          <w:b w:val="0"/>
          <w:i/>
          <w:color w:val="606060"/>
          <w:sz w:val="20"/>
        </w:rPr>
        <w:t>Employee codes today are free-text strings entered manually by HR. Two open questions: should the system auto-generate them, and should the format distinguish between Healthark and Miltenyi populations at a glance?</w:t>
      </w:r>
    </w:p>
    <w:p>
      <w:r>
        <w:rPr>
          <w:b/>
          <w:i w:val="0"/>
          <w:sz w:val="20"/>
        </w:rPr>
        <w:t>Question: What is the desired employee code scheme? Auto-generated or manual? Format — e.g. HRK-001 for Healthark vs MIL-001 for Miltenyi, or sub-prefixes like HRK-H-001 (Healthark HR) vs HRK-M-001 (Healthark Mentor) vs MIL-PM-001?</w:t>
      </w:r>
    </w:p>
    <w:p>
      <w:pPr>
        <w:pStyle w:val="ListBullet"/>
        <w:ind w:left="454"/>
      </w:pPr>
      <w:r>
        <w:rPr>
          <w:sz w:val="20"/>
        </w:rPr>
        <w:t>Auto-generate, format HRK-#### / MIL-#### (just org prefix).</w:t>
      </w:r>
    </w:p>
    <w:p>
      <w:pPr>
        <w:pStyle w:val="ListBullet"/>
        <w:ind w:left="454"/>
      </w:pPr>
      <w:r>
        <w:rPr>
          <w:sz w:val="20"/>
        </w:rPr>
        <w:t>Auto-generate, format HRK-{ROLE}-#### / MIL-{ROLE}-#### (org + role prefix).</w:t>
      </w:r>
    </w:p>
    <w:p>
      <w:pPr>
        <w:pStyle w:val="ListBullet"/>
        <w:ind w:left="454"/>
      </w:pPr>
      <w:r>
        <w:rPr>
          <w:sz w:val="20"/>
        </w:rPr>
        <w:t>Manual entry, free-text — keep current behavior, just enforce uniqueness.</w:t>
      </w:r>
    </w:p>
    <w:p>
      <w:pPr>
        <w:pStyle w:val="ListBullet"/>
        <w:ind w:left="454"/>
      </w:pPr>
      <w:r>
        <w:rPr>
          <w:sz w:val="20"/>
        </w:rPr>
        <w:t>Manual entry, format-validated (regex enforced, but humans type it).</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Auto-generated, format ORG-#### (e.g. HRK-0042, MIL-0017). Role prefix in the code is brittle (role changes happen; the code shouldn't).</w:t>
            </w:r>
          </w:p>
        </w:tc>
      </w:tr>
    </w:tbl>
    <w:p>
      <w:r>
        <w:rPr>
          <w:b w:val="0"/>
          <w:i w:val="0"/>
          <w:color w:val="606060"/>
          <w:sz w:val="18"/>
        </w:rPr>
        <w:t>Why: Codes are identifiers, not labels. Encoding role in the code means renaming when a Staff is promoted to PM — bad data hygiene. Org prefix is stable.</w:t>
      </w:r>
    </w:p>
    <w:p>
      <w:r>
        <w:rPr>
          <w:b w:val="0"/>
          <w:i/>
          <w:color w:val="606060"/>
          <w:sz w:val="18"/>
        </w:rPr>
        <w:t>Implementation note: Counter per org in DB; on user create, atomically increment and assign. Two-line code change, one migration.</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A.3  </w:t>
      </w:r>
      <w:r>
        <w:rPr>
          <w:b/>
          <w:sz w:val="24"/>
        </w:rPr>
        <w:t>Reissuing employee codes after deletion</w:t>
      </w:r>
    </w:p>
    <w:p>
      <w:r>
        <w:rPr>
          <w:b w:val="0"/>
          <w:i/>
          <w:color w:val="606060"/>
          <w:sz w:val="20"/>
        </w:rPr>
        <w:t>When a user is soft-deleted (is_deleted=true), their HRK-#### code is technically free. Audit concern: if HRK-0042 is reissued to a new hire two years later, historical exports show 'HRK-0042' for two different people.</w:t>
      </w:r>
    </w:p>
    <w:p>
      <w:r>
        <w:rPr>
          <w:b/>
          <w:i w:val="0"/>
          <w:sz w:val="20"/>
        </w:rPr>
        <w:t>Question: Should deleted employee codes be permanently retired, or reused on new hires?</w:t>
      </w:r>
    </w:p>
    <w:p>
      <w:pPr>
        <w:pStyle w:val="ListBullet"/>
        <w:ind w:left="454"/>
      </w:pPr>
      <w:r>
        <w:rPr>
          <w:sz w:val="20"/>
        </w:rPr>
        <w:t>Permanently retired — counter only goes up, never reissues.</w:t>
      </w:r>
    </w:p>
    <w:p>
      <w:pPr>
        <w:pStyle w:val="ListBullet"/>
        <w:ind w:left="454"/>
      </w:pPr>
      <w:r>
        <w:rPr>
          <w:sz w:val="20"/>
        </w:rPr>
        <w:t>Reused after N years of inactivity (specify N).</w:t>
      </w:r>
    </w:p>
    <w:p>
      <w:pPr>
        <w:pStyle w:val="ListBullet"/>
        <w:ind w:left="454"/>
      </w:pPr>
      <w:r>
        <w:rPr>
          <w:sz w:val="20"/>
        </w:rPr>
        <w:t>Reused immediately on deletion (today's behavior with manual codes).</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Permanently retired. Counter goes up. Avoids audit-trail confusion.</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A.4  </w:t>
      </w:r>
      <w:r>
        <w:rPr>
          <w:b/>
          <w:sz w:val="24"/>
        </w:rPr>
        <w:t>Official hosting domain for the production site</w:t>
      </w:r>
    </w:p>
    <w:p>
      <w:r>
        <w:rPr>
          <w:b w:val="0"/>
          <w:i/>
          <w:color w:val="606060"/>
          <w:sz w:val="20"/>
        </w:rPr>
        <w:t>The app needs a public URL for production. Engineering placeholder is pms.healthark.in/miltenyi or similar internal subdomain. Stakeholders may want a Miltenyi-owned domain instead.</w:t>
      </w:r>
    </w:p>
    <w:p>
      <w:r>
        <w:rPr>
          <w:b/>
          <w:i w:val="0"/>
          <w:sz w:val="20"/>
        </w:rPr>
        <w:t>Question: What should the production URL be? Should the domain be Healthark-owned, Miltenyi-owned, or co-branded?</w:t>
      </w:r>
    </w:p>
    <w:p>
      <w:pPr>
        <w:pStyle w:val="ListBullet"/>
        <w:ind w:left="454"/>
      </w:pPr>
      <w:r>
        <w:rPr>
          <w:sz w:val="20"/>
        </w:rPr>
        <w:t>Miltenyi-owned, e.g. pms.miltenyibiotec.com — Miltenyi handles DNS + SSL.</w:t>
      </w:r>
    </w:p>
    <w:p>
      <w:pPr>
        <w:pStyle w:val="ListBullet"/>
        <w:ind w:left="454"/>
      </w:pPr>
      <w:r>
        <w:rPr>
          <w:sz w:val="20"/>
        </w:rPr>
        <w:t>Healthark-owned, e.g. miltenyi-pms.healthark.in — Healthark handles DNS + SSL.</w:t>
      </w:r>
    </w:p>
    <w:p>
      <w:pPr>
        <w:pStyle w:val="ListBullet"/>
        <w:ind w:left="454"/>
      </w:pPr>
      <w:r>
        <w:rPr>
          <w:sz w:val="20"/>
        </w:rPr>
        <w:t>Standalone, e.g. miltenyi-pms.com — needs registration; both teams share access.</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Miltenyi-owned subdomain (pms.miltenyibiotec.com or similar). Sends the right signal to Miltenyi users that this is *their* system; SSL/DNS handover to Miltenyi IT.</w:t>
            </w:r>
          </w:p>
        </w:tc>
      </w:tr>
    </w:tbl>
    <w:p>
      <w:r>
        <w:rPr>
          <w:b w:val="0"/>
          <w:i w:val="0"/>
          <w:color w:val="606060"/>
          <w:sz w:val="18"/>
        </w:rPr>
        <w:t>Why: Standalone .com adds yearly registration overhead and 'who owns the domain' risk. Subdomain on either parent org is cleaner.</w:t>
      </w:r>
    </w:p>
    <w:p>
      <w:r>
        <w:rPr>
          <w:b w:val="0"/>
          <w:i/>
          <w:color w:val="606060"/>
          <w:sz w:val="18"/>
        </w:rPr>
        <w:t>Implementation note: If Miltenyi-owned: need a CNAME from Miltenyi IT pointing at our hosting. Plan ~2 weeks for IT ticket turnaround.</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r>
        <w:br w:type="page"/>
      </w:r>
    </w:p>
    <w:p/>
    <w:tbl>
      <w:tblPr>
        <w:tblW w:type="auto" w:w="0"/>
        <w:tblLayout w:type="fixed"/>
        <w:tblLook w:firstColumn="1" w:firstRow="1" w:lastColumn="0" w:lastRow="0" w:noHBand="0" w:noVBand="1" w:val="04A0"/>
      </w:tblPr>
      <w:tblGrid>
        <w:gridCol w:w="4986"/>
        <w:gridCol w:w="4986"/>
      </w:tblGrid>
      <w:tr>
        <w:tc>
          <w:tcPr>
            <w:tcW w:type="dxa" w:w="7370"/>
            <w:shd w:val="clear" w:color="auto" w:fill="1F4E79"/>
          </w:tcPr>
          <w:p>
            <w:r>
              <w:rPr>
                <w:b/>
                <w:color w:val="FFFFFF"/>
                <w:sz w:val="28"/>
              </w:rPr>
              <w:t>Section B  —  People &amp; Roles</w:t>
            </w:r>
          </w:p>
        </w:tc>
        <w:tc>
          <w:tcPr>
            <w:tcW w:type="dxa" w:w="2268"/>
            <w:shd w:val="clear" w:color="auto" w:fill="1F4E79"/>
          </w:tcPr>
          <w:p>
            <w:pPr>
              <w:jc w:val="right"/>
            </w:pPr>
            <w:r>
              <w:rPr>
                <w:b/>
                <w:color w:val="FFFFFF"/>
                <w:sz w:val="22"/>
              </w:rPr>
              <w:t>~ 15 min</w:t>
            </w:r>
          </w:p>
        </w:tc>
      </w:tr>
    </w:tbl>
    <w:p>
      <w:pPr>
        <w:spacing w:before="200" w:after="40"/>
      </w:pPr>
      <w:r>
        <w:rPr>
          <w:b/>
          <w:color w:val="1F4E79"/>
          <w:sz w:val="24"/>
        </w:rPr>
        <w:t xml:space="preserve">B.1  </w:t>
      </w:r>
      <w:r>
        <w:rPr>
          <w:b/>
          <w:sz w:val="24"/>
        </w:rPr>
        <w:t>Mentor role — Healthark-only, or also Miltenyi-internal?</w:t>
      </w:r>
    </w:p>
    <w:p>
      <w:r>
        <w:rPr>
          <w:b w:val="0"/>
          <w:i/>
          <w:color w:val="606060"/>
          <w:sz w:val="20"/>
        </w:rPr>
        <w:t>Today, every user with the Mentor role is a Healthark consultant. The admin panel already hides Healthark Mentors from HR_Miltenyi's user list (treating them as Healthark headcount). The system allows assigning a Mentor to any Miltenyi employee.</w:t>
      </w:r>
    </w:p>
    <w:p>
      <w:r>
        <w:rPr>
          <w:b/>
          <w:i w:val="0"/>
          <w:sz w:val="20"/>
        </w:rPr>
        <w:t>Question: Will Miltenyi ever promote one of its own employees to the Mentor role — e.g. a senior R&amp;D lead mentoring junior R&amp;D staff? Or does mentoring permanently sit with the Healthark consultancy team?</w:t>
      </w:r>
    </w:p>
    <w:p>
      <w:pPr>
        <w:pStyle w:val="ListBullet"/>
        <w:ind w:left="454"/>
      </w:pPr>
      <w:r>
        <w:rPr>
          <w:sz w:val="20"/>
        </w:rPr>
        <w:t>Permanent Healthark-only — keep current hiding logic; no Miltenyi mentors ever.</w:t>
      </w:r>
    </w:p>
    <w:p>
      <w:pPr>
        <w:pStyle w:val="ListBullet"/>
        <w:ind w:left="454"/>
      </w:pPr>
      <w:r>
        <w:rPr>
          <w:sz w:val="20"/>
        </w:rPr>
        <w:t>Eventual Miltenyi-internal mentors — need to add 'Miltenyi Mentor' as a distinct role/flag so they appear in HR_Miltenyi's view.</w:t>
      </w:r>
    </w:p>
    <w:p>
      <w:pPr>
        <w:pStyle w:val="ListBullet"/>
        <w:ind w:left="454"/>
      </w:pPr>
      <w:r>
        <w:rPr>
          <w:sz w:val="20"/>
        </w:rPr>
        <w:t>Hybrid — some mentors are Healthark, some are Miltenyi-internal; both visible to HR_Miltenyi.</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Confirm permanent Healthark-only for v1. If Miltenyi-internal mentors come later, that's a new role distinction, not a re-classification.</w:t>
            </w:r>
          </w:p>
        </w:tc>
      </w:tr>
    </w:tbl>
    <w:p>
      <w:r>
        <w:rPr>
          <w:b w:val="0"/>
          <w:i w:val="0"/>
          <w:color w:val="606060"/>
          <w:sz w:val="18"/>
        </w:rPr>
        <w:t>Why: Today's hiding logic assumes Mentor = external Healthark; revisiting this changes admin-panel filtering, headcount counts, and mentor picker behavior.</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B.2  </w:t>
      </w:r>
      <w:r>
        <w:rPr>
          <w:b/>
          <w:sz w:val="24"/>
        </w:rPr>
        <w:t>One Project Manager handling multiple Functions</w:t>
      </w:r>
    </w:p>
    <w:p>
      <w:r>
        <w:rPr>
          <w:b w:val="0"/>
          <w:i/>
          <w:color w:val="606060"/>
          <w:sz w:val="20"/>
        </w:rPr>
        <w:t>Today a PM is tagged to a single Function (R&amp;D, Manufacturing, Commercial, etc.). Projects inherit the PM's function. A PM with two function tags would need either multiple PM accounts or a many-to-many function model.</w:t>
      </w:r>
    </w:p>
    <w:p>
      <w:r>
        <w:rPr>
          <w:b/>
          <w:i w:val="0"/>
          <w:sz w:val="20"/>
        </w:rPr>
        <w:t>Question: Will a single Project Manager handle projects across more than one Function simultaneously (e.g. a PM who runs both R&amp;D and Manufacturing projects)?</w:t>
      </w:r>
    </w:p>
    <w:p>
      <w:pPr>
        <w:pStyle w:val="ListBullet"/>
        <w:ind w:left="454"/>
      </w:pPr>
      <w:r>
        <w:rPr>
          <w:sz w:val="20"/>
        </w:rPr>
        <w:t>One PM, one Function — strict; matches current schema.</w:t>
      </w:r>
    </w:p>
    <w:p>
      <w:pPr>
        <w:pStyle w:val="ListBullet"/>
        <w:ind w:left="454"/>
      </w:pPr>
      <w:r>
        <w:rPr>
          <w:sz w:val="20"/>
        </w:rPr>
        <w:t>One PM, multiple Functions — schema change required (user.functions becomes many-to-many).</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Multiple Functions per PM allowed (model as many-to-many). Avoids creating duplicate PM accounts for the same human.</w:t>
            </w:r>
          </w:p>
        </w:tc>
      </w:tr>
    </w:tbl>
    <w:p>
      <w:r>
        <w:rPr>
          <w:b w:val="0"/>
          <w:i/>
          <w:color w:val="606060"/>
          <w:sz w:val="18"/>
        </w:rPr>
        <w:t>Implementation note: Schema change: new `user_functions` association table. Existing single-function data migrates trivially.</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B.3  </w:t>
      </w:r>
      <w:r>
        <w:rPr>
          <w:b/>
          <w:sz w:val="24"/>
        </w:rPr>
        <w:t>Cross-Function mentoring</w:t>
      </w:r>
    </w:p>
    <w:p>
      <w:r>
        <w:rPr>
          <w:b w:val="0"/>
          <w:i/>
          <w:color w:val="606060"/>
          <w:sz w:val="20"/>
        </w:rPr>
        <w:t>Today, the mentor picker doesn't filter by Function. An R&amp;D mentor can be assigned to a Manufacturing employee. Confirm this is intentional vs accidental.</w:t>
      </w:r>
    </w:p>
    <w:p>
      <w:r>
        <w:rPr>
          <w:b/>
          <w:i w:val="0"/>
          <w:sz w:val="20"/>
        </w:rPr>
        <w:t>Question: Is cross-function mentoring expected (e.g. an R&amp;D Mentor guiding a Manufacturing employee), or should mentor assignment be restricted to same-function pairs?</w:t>
      </w:r>
    </w:p>
    <w:p>
      <w:pPr>
        <w:pStyle w:val="ListBullet"/>
        <w:ind w:left="454"/>
      </w:pPr>
      <w:r>
        <w:rPr>
          <w:sz w:val="20"/>
        </w:rPr>
        <w:t>Cross-function allowed — no filter on mentor picker (current behavior).</w:t>
      </w:r>
    </w:p>
    <w:p>
      <w:pPr>
        <w:pStyle w:val="ListBullet"/>
        <w:ind w:left="454"/>
      </w:pPr>
      <w:r>
        <w:rPr>
          <w:sz w:val="20"/>
        </w:rPr>
        <w:t>Same-function only — restrict mentor picker to mentors whose Function matches the mentee's.</w:t>
      </w:r>
    </w:p>
    <w:p>
      <w:pPr>
        <w:pStyle w:val="ListBullet"/>
        <w:ind w:left="454"/>
      </w:pPr>
      <w:r>
        <w:rPr>
          <w:sz w:val="20"/>
        </w:rPr>
        <w:t>Cross-function allowed but flagged — picker warns 'cross-function pairing' but permits.</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Cross-function allowed. Mentoring is broader than functional knowledge; pairing decisions should sit with HR, not be locked by code.</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B.4  </w:t>
      </w:r>
      <w:r>
        <w:rPr>
          <w:b/>
          <w:sz w:val="24"/>
        </w:rPr>
        <w:t>Edit rights across organizations — Healthark HR → Miltenyi users</w:t>
      </w:r>
    </w:p>
    <w:p>
      <w:r>
        <w:rPr>
          <w:b w:val="0"/>
          <w:i/>
          <w:color w:val="606060"/>
          <w:sz w:val="20"/>
        </w:rPr>
        <w:t>Currently: HR_Miltenyi cannot edit Healthark-side users (Mentors, HR_MyOrg) — that's locked. The symmetric question hasn't been answered: can HR_MyOrg (Healthark) edit details of Miltenyi employees (Staff, PM, HR_Miltenyi)?</w:t>
      </w:r>
    </w:p>
    <w:p>
      <w:r>
        <w:rPr>
          <w:b/>
          <w:i w:val="0"/>
          <w:sz w:val="20"/>
        </w:rPr>
        <w:t>Question: Should Healthark HR be permitted to edit Miltenyi employee records, or should those records be HR_Miltenyi's exclusive write-domain?</w:t>
      </w:r>
    </w:p>
    <w:p>
      <w:pPr>
        <w:pStyle w:val="ListBullet"/>
        <w:ind w:left="454"/>
      </w:pPr>
      <w:r>
        <w:rPr>
          <w:sz w:val="20"/>
        </w:rPr>
        <w:t>Healthark HR has full edit on all users (current behavior).</w:t>
      </w:r>
    </w:p>
    <w:p>
      <w:pPr>
        <w:pStyle w:val="ListBullet"/>
        <w:ind w:left="454"/>
      </w:pPr>
      <w:r>
        <w:rPr>
          <w:sz w:val="20"/>
        </w:rPr>
        <w:t>Healthark HR has full edit but each save is logged + visible to Miltenyi HR.</w:t>
      </w:r>
    </w:p>
    <w:p>
      <w:pPr>
        <w:pStyle w:val="ListBullet"/>
        <w:ind w:left="454"/>
      </w:pPr>
      <w:r>
        <w:rPr>
          <w:sz w:val="20"/>
        </w:rPr>
        <w:t>Healthark HR is read-only on Miltenyi employee records; Miltenyi HR is sole writer.</w:t>
      </w:r>
    </w:p>
    <w:p>
      <w:pPr>
        <w:pStyle w:val="ListBullet"/>
        <w:ind w:left="454"/>
      </w:pPr>
      <w:r>
        <w:rPr>
          <w:sz w:val="20"/>
        </w:rPr>
        <w:t>Healthark HR can edit a defined subset (e.g. system role, mentor assignment) but not personal info.</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Option 4 — Healthark HR edits *system-level* fields (mentor assignment, system role, function/designation) but not *personal* fields (full name, email, phone, employee code). Personal info changes stay with HR_Miltenyi.</w:t>
            </w:r>
          </w:p>
        </w:tc>
      </w:tr>
    </w:tbl>
    <w:p>
      <w:r>
        <w:rPr>
          <w:b w:val="0"/>
          <w:i w:val="0"/>
          <w:color w:val="606060"/>
          <w:sz w:val="18"/>
        </w:rPr>
        <w:t>Why: Mirrors the boundary we already implemented in the opposite direction. Maintains 'each org owns its people's identity' principle.</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r>
        <w:br w:type="page"/>
      </w:r>
    </w:p>
    <w:p/>
    <w:tbl>
      <w:tblPr>
        <w:tblW w:type="auto" w:w="0"/>
        <w:tblLayout w:type="fixed"/>
        <w:tblLook w:firstColumn="1" w:firstRow="1" w:lastColumn="0" w:lastRow="0" w:noHBand="0" w:noVBand="1" w:val="04A0"/>
      </w:tblPr>
      <w:tblGrid>
        <w:gridCol w:w="4986"/>
        <w:gridCol w:w="4986"/>
      </w:tblGrid>
      <w:tr>
        <w:tc>
          <w:tcPr>
            <w:tcW w:type="dxa" w:w="7370"/>
            <w:shd w:val="clear" w:color="auto" w:fill="1F4E79"/>
          </w:tcPr>
          <w:p>
            <w:r>
              <w:rPr>
                <w:b/>
                <w:color w:val="FFFFFF"/>
                <w:sz w:val="28"/>
              </w:rPr>
              <w:t>Section C  —  Reference Data Ownership</w:t>
            </w:r>
          </w:p>
        </w:tc>
        <w:tc>
          <w:tcPr>
            <w:tcW w:type="dxa" w:w="2268"/>
            <w:shd w:val="clear" w:color="auto" w:fill="1F4E79"/>
          </w:tcPr>
          <w:p>
            <w:pPr>
              <w:jc w:val="right"/>
            </w:pPr>
            <w:r>
              <w:rPr>
                <w:b/>
                <w:color w:val="FFFFFF"/>
                <w:sz w:val="22"/>
              </w:rPr>
              <w:t>~ 10 min</w:t>
            </w:r>
          </w:p>
        </w:tc>
      </w:tr>
    </w:tbl>
    <w:p>
      <w:pPr>
        <w:spacing w:before="200" w:after="40"/>
      </w:pPr>
      <w:r>
        <w:rPr>
          <w:b/>
          <w:color w:val="1F4E79"/>
          <w:sz w:val="24"/>
        </w:rPr>
        <w:t xml:space="preserve">C.1  </w:t>
      </w:r>
      <w:r>
        <w:rPr>
          <w:b/>
          <w:sz w:val="24"/>
        </w:rPr>
        <w:t>Role Expectations content — final list</w:t>
      </w:r>
    </w:p>
    <w:p>
      <w:r>
        <w:rPr>
          <w:b w:val="0"/>
          <w:i/>
          <w:color w:val="606060"/>
          <w:sz w:val="20"/>
        </w:rPr>
        <w:t>The annual review screen has a 'Role Expectations' section that displays per-role behavioral / performance expectations. The current copy is placeholder text from the v1 build. The final wording needs to come from Miltenyi HR.</w:t>
      </w:r>
    </w:p>
    <w:p>
      <w:r>
        <w:rPr>
          <w:b/>
          <w:i w:val="0"/>
          <w:sz w:val="20"/>
        </w:rPr>
        <w:t>Question: Can we get the final list of Role Expectations text per role (Staff / PM / HR_Miltenyi / etc.), and is this content the same across all Functions or does it vary by Function?</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Receive a single doc from Miltenyi HR with one expectations block per (role × function) cell. If expectations are role-only and don't vary by function, even simpler — one block per role.</w:t>
            </w:r>
          </w:p>
        </w:tc>
      </w:tr>
    </w:tbl>
    <w:p>
      <w:r>
        <w:rPr>
          <w:b w:val="0"/>
          <w:i/>
          <w:color w:val="606060"/>
          <w:sz w:val="18"/>
        </w:rPr>
        <w:t>Implementation note: Once received, expectations live in System Settings (HR-editable) so future tweaks don't need a deploy.</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C.2  </w:t>
      </w:r>
      <w:r>
        <w:rPr>
          <w:b/>
          <w:sz w:val="24"/>
        </w:rPr>
        <w:t>Functions and Designations — canonical list</w:t>
      </w:r>
    </w:p>
    <w:p>
      <w:r>
        <w:rPr>
          <w:b w:val="0"/>
          <w:i/>
          <w:color w:val="606060"/>
          <w:sz w:val="20"/>
        </w:rPr>
        <w:t>The system today has a seed list of Functions (R&amp;D, Manufacturing, Commercial, etc.) and Designations (Manager, Sr. Manager, etc.). HR_Miltenyi can add new entries via the admin panel. The current seed list may not match Miltenyi's actual org chart.</w:t>
      </w:r>
    </w:p>
    <w:p>
      <w:r>
        <w:rPr>
          <w:b/>
          <w:i w:val="0"/>
          <w:sz w:val="20"/>
        </w:rPr>
        <w:t>Question: What is the canonical, comprehensive list of Functions and Designations as they exist in Miltenyi's org chart today?</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Receive a CSV / spreadsheet from Miltenyi HR. Seed it on next deploy; HR_Miltenyi maintains it from there.</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C.3  </w:t>
      </w:r>
      <w:r>
        <w:rPr>
          <w:b/>
          <w:sz w:val="24"/>
        </w:rPr>
        <w:t>Long-term ownership of reference data</w:t>
      </w:r>
    </w:p>
    <w:p>
      <w:r>
        <w:rPr>
          <w:b w:val="0"/>
          <w:i/>
          <w:color w:val="606060"/>
          <w:sz w:val="20"/>
        </w:rPr>
        <w:t>Functions, Designations, and Role Expectations will drift over time. The system supports HR_Miltenyi adding new entries, but Role Expectations are currently engineering-controlled.</w:t>
      </w:r>
    </w:p>
    <w:p>
      <w:r>
        <w:rPr>
          <w:b/>
          <w:i w:val="0"/>
          <w:sz w:val="20"/>
        </w:rPr>
        <w:t>Question: Who owns ongoing maintenance of: (a) Functions list, (b) Designations list, (c) Role Expectations copy? HR_Miltenyi via admin panel, HR_MyOrg, or engineering via release?</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(a) and (b) — HR_Miltenyi via admin panel (already wired). (c) — HR_MyOrg via System Settings (gate on HR_MyOrg only; HR_Miltenyi sees but can't edit).</w:t>
            </w:r>
          </w:p>
        </w:tc>
      </w:tr>
    </w:tbl>
    <w:p>
      <w:r>
        <w:rPr>
          <w:b w:val="0"/>
          <w:i w:val="0"/>
          <w:color w:val="606060"/>
          <w:sz w:val="18"/>
        </w:rPr>
        <w:t>Why: Functions and Designations are Miltenyi-internal; HR_Miltenyi should own them. Role Expectations are framework-level; safer to gate to HR_MyOrg to prevent accidental client-side edits.</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C.4  </w:t>
      </w:r>
      <w:r>
        <w:rPr>
          <w:b/>
          <w:sz w:val="24"/>
        </w:rPr>
        <w:t>External-party accounts — contractors, auditors, interns</w:t>
      </w:r>
    </w:p>
    <w:p>
      <w:r>
        <w:rPr>
          <w:b w:val="0"/>
          <w:i/>
          <w:color w:val="606060"/>
          <w:sz w:val="20"/>
        </w:rPr>
        <w:t>Beyond full-time Healthark and Miltenyi employees, there may be other parties needing system access — short-term contractors, external auditors during compliance reviews, interns. None of these were addressed in v1.</w:t>
      </w:r>
    </w:p>
    <w:p>
      <w:r>
        <w:rPr>
          <w:b/>
          <w:i w:val="0"/>
          <w:sz w:val="20"/>
        </w:rPr>
        <w:t>Question: Should the system accommodate non-employee accounts (contractor, auditor, intern)? If yes, what's their access scope, and how do they map to the email-domain whitelist (A.1)?</w:t>
      </w:r>
    </w:p>
    <w:p>
      <w:pPr>
        <w:pStyle w:val="ListBullet"/>
        <w:ind w:left="454"/>
      </w:pPr>
      <w:r>
        <w:rPr>
          <w:sz w:val="20"/>
        </w:rPr>
        <w:t>No external accounts — system is employees-only.</w:t>
      </w:r>
    </w:p>
    <w:p>
      <w:pPr>
        <w:pStyle w:val="ListBullet"/>
        <w:ind w:left="454"/>
      </w:pPr>
      <w:r>
        <w:rPr>
          <w:sz w:val="20"/>
        </w:rPr>
        <w:t>External accounts allowed with a dedicated 'External' role + restricted permissions; whitelist bypassed via per-user override.</w:t>
      </w:r>
    </w:p>
    <w:p>
      <w:pPr>
        <w:pStyle w:val="ListBullet"/>
        <w:ind w:left="454"/>
      </w:pPr>
      <w:r>
        <w:rPr>
          <w:sz w:val="20"/>
        </w:rPr>
        <w:t>Defer to v2; current scope is FT staff only.</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Defer to v2. Confirm scope is FT staff only for this release.</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r>
        <w:br w:type="page"/>
      </w:r>
    </w:p>
    <w:p/>
    <w:tbl>
      <w:tblPr>
        <w:tblW w:type="auto" w:w="0"/>
        <w:tblLayout w:type="fixed"/>
        <w:tblLook w:firstColumn="1" w:firstRow="1" w:lastColumn="0" w:lastRow="0" w:noHBand="0" w:noVBand="1" w:val="04A0"/>
      </w:tblPr>
      <w:tblGrid>
        <w:gridCol w:w="4986"/>
        <w:gridCol w:w="4986"/>
      </w:tblGrid>
      <w:tr>
        <w:tc>
          <w:tcPr>
            <w:tcW w:type="dxa" w:w="7370"/>
            <w:shd w:val="clear" w:color="auto" w:fill="1F4E79"/>
          </w:tcPr>
          <w:p>
            <w:r>
              <w:rPr>
                <w:b/>
                <w:color w:val="FFFFFF"/>
                <w:sz w:val="28"/>
              </w:rPr>
              <w:t>Section D  —  Review Window Policy</w:t>
            </w:r>
          </w:p>
        </w:tc>
        <w:tc>
          <w:tcPr>
            <w:tcW w:type="dxa" w:w="2268"/>
            <w:shd w:val="clear" w:color="auto" w:fill="1F4E79"/>
          </w:tcPr>
          <w:p>
            <w:pPr>
              <w:jc w:val="right"/>
            </w:pPr>
            <w:r>
              <w:rPr>
                <w:b/>
                <w:color w:val="FFFFFF"/>
                <w:sz w:val="22"/>
              </w:rPr>
              <w:t>~ 25 min</w:t>
            </w:r>
          </w:p>
        </w:tc>
      </w:tr>
    </w:tbl>
    <w:p>
      <w:r>
        <w:rPr>
          <w:b w:val="0"/>
          <w:i/>
          <w:color w:val="606060"/>
          <w:sz w:val="20"/>
        </w:rPr>
        <w:t>This section walks the full review-window-policy.md table. The questions the engineering team needs answered, with proposed defaults. Q13 and Q14 from the original question bank are folded into the matching rows below.</w:t>
      </w:r>
    </w:p>
    <w:p>
      <w:pPr>
        <w:pStyle w:val="Heading2"/>
      </w:pPr>
      <w:r>
        <w:rPr>
          <w:color w:val="1F4E79"/>
          <w:sz w:val="30"/>
        </w:rPr>
        <w:t>D.1  Project Reviews</w:t>
      </w:r>
    </w:p>
    <w:p>
      <w:pPr>
        <w:spacing w:before="200" w:after="40"/>
      </w:pPr>
      <w:r>
        <w:rPr>
          <w:b/>
          <w:color w:val="1F4E79"/>
          <w:sz w:val="24"/>
        </w:rPr>
        <w:t xml:space="preserve">D.1.1  </w:t>
      </w:r>
      <w:r>
        <w:rPr>
          <w:b/>
          <w:sz w:val="24"/>
        </w:rPr>
        <w:t>Lead time before cycle end when PM form opens</w:t>
      </w:r>
    </w:p>
    <w:p>
      <w:r>
        <w:rPr>
          <w:b w:val="0"/>
          <w:i/>
          <w:color w:val="606060"/>
          <w:sz w:val="20"/>
        </w:rPr>
        <w:t>Today the PM review form opens at the start of each cycle (Q1 / H1). Stakeholders may prefer it open only in the last weeks.</w:t>
      </w:r>
    </w:p>
    <w:p>
      <w:r>
        <w:rPr>
          <w:b/>
          <w:i w:val="0"/>
          <w:sz w:val="20"/>
        </w:rPr>
        <w:t>Question: How many days before the cycle (quarter/half) ends should the project review form OPEN for the PM?</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15 days before cycle end.</w:t>
            </w:r>
          </w:p>
        </w:tc>
      </w:tr>
    </w:tbl>
    <w:p>
      <w:r>
        <w:rPr>
          <w:b w:val="0"/>
          <w:i/>
          <w:color w:val="606060"/>
          <w:sz w:val="18"/>
        </w:rPr>
        <w:t>Implementation note: NEW system setting `project_review_lead_days` (default 15). Backend `is_review_window_open` already accepts a lead-time arg.</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D.1.2  </w:t>
      </w:r>
      <w:r>
        <w:rPr>
          <w:b/>
          <w:sz w:val="24"/>
        </w:rPr>
        <w:t>Closing rule for a project review cycle</w:t>
      </w:r>
    </w:p>
    <w:p>
      <w:r>
        <w:rPr>
          <w:b w:val="0"/>
          <w:i/>
          <w:color w:val="606060"/>
          <w:sz w:val="20"/>
        </w:rPr>
        <w:t>The question is when a Q1 review hard-locks: at Q1 end? at FY end? never?</w:t>
      </w:r>
    </w:p>
    <w:p>
      <w:r>
        <w:rPr>
          <w:b/>
          <w:i w:val="0"/>
          <w:sz w:val="20"/>
        </w:rPr>
        <w:t>Question: When does a project review CLOSE for a given cycle?</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End of FY containing the cycle. (e.g. Q1 of FY26-27 closes 31 Mar 2027.) Backfill across cycles within the same FY is allowed; cross-FY hard-locks.</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D.1.3  </w:t>
      </w:r>
      <w:r>
        <w:rPr>
          <w:b/>
          <w:sz w:val="24"/>
        </w:rPr>
        <w:t>Backfilling earlier cycles in the same FY</w:t>
      </w:r>
    </w:p>
    <w:p>
      <w:r>
        <w:rPr>
          <w:b w:val="0"/>
          <w:i/>
          <w:color w:val="606060"/>
          <w:sz w:val="20"/>
        </w:rPr>
        <w:t>Folds in Q14 part 1 from the original bank. 'PM forgot Q1, can they submit it in Q3?' — same FY.</w:t>
      </w:r>
    </w:p>
    <w:p>
      <w:r>
        <w:rPr>
          <w:b/>
          <w:i w:val="0"/>
          <w:sz w:val="20"/>
        </w:rPr>
        <w:t>Question: Can a PM fill an earlier cycle of the same FY after it has technically ended?</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Yes — until FY rolls over.</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D.1.4  </w:t>
      </w:r>
      <w:r>
        <w:rPr>
          <w:b/>
          <w:sz w:val="24"/>
        </w:rPr>
        <w:t>Backfilling cycles from a previous FY</w:t>
      </w:r>
    </w:p>
    <w:p>
      <w:r>
        <w:rPr>
          <w:b w:val="0"/>
          <w:i/>
          <w:color w:val="606060"/>
          <w:sz w:val="20"/>
        </w:rPr>
        <w:t>Hard lock at FY rollover prevents historical revisionism.</w:t>
      </w:r>
    </w:p>
    <w:p>
      <w:r>
        <w:rPr>
          <w:b/>
          <w:i w:val="0"/>
          <w:sz w:val="20"/>
        </w:rPr>
        <w:t>Question: Can a PM fill a cycle from a previous FY?</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No — locked at FY rollover. HR emergency override available.</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D.1.5  </w:t>
      </w:r>
      <w:r>
        <w:rPr>
          <w:b/>
          <w:sz w:val="24"/>
        </w:rPr>
        <w:t>Secondary Evaluator window alignment</w:t>
      </w:r>
    </w:p>
    <w:p>
      <w:r>
        <w:rPr>
          <w:b w:val="0"/>
          <w:i/>
          <w:color w:val="606060"/>
          <w:sz w:val="20"/>
        </w:rPr>
        <w:t>Currently the Secondary Evaluator (e.g. the PM's manager who co-signs) shares the same window. The alternative is a delayed sub-window (open only after PM submits).</w:t>
      </w:r>
    </w:p>
    <w:p>
      <w:r>
        <w:rPr>
          <w:b/>
          <w:i w:val="0"/>
          <w:sz w:val="20"/>
        </w:rPr>
        <w:t>Question: Should the Secondary Evaluator follow the same window as the PM?</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Yes — single window for both. Simpler mental model.</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D.1.6  </w:t>
      </w:r>
      <w:r>
        <w:rPr>
          <w:b/>
          <w:sz w:val="24"/>
        </w:rPr>
        <w:t>HR emergency override for cycle reopening</w:t>
      </w:r>
    </w:p>
    <w:p>
      <w:r>
        <w:rPr>
          <w:b w:val="0"/>
          <w:i/>
          <w:color w:val="606060"/>
          <w:sz w:val="20"/>
        </w:rPr>
        <w:t>The `cycle_window_override` flag in System Settings is the escape hatch when HR needs to unlock a closed window for special cases (e.g. late arrival, demo).</w:t>
      </w:r>
    </w:p>
    <w:p>
      <w:r>
        <w:rPr>
          <w:b/>
          <w:i w:val="0"/>
          <w:sz w:val="20"/>
        </w:rPr>
        <w:t>Question: Should HR retain the cycle_window_override flag?</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Yes — keep as escape hatch. Already implemented.</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D.1.7  </w:t>
      </w:r>
      <w:r>
        <w:rPr>
          <w:b/>
          <w:sz w:val="24"/>
        </w:rPr>
        <w:t>Handling in-progress drafts when HR closes a window mid-cycle</w:t>
      </w:r>
    </w:p>
    <w:p>
      <w:r>
        <w:rPr>
          <w:b w:val="0"/>
          <w:i/>
          <w:color w:val="606060"/>
          <w:sz w:val="20"/>
        </w:rPr>
        <w:t>If HR manually closes a window (sets cycle_window_override=false) while a PM has a draft open, what happens to the draft?</w:t>
      </w:r>
    </w:p>
    <w:p>
      <w:r>
        <w:rPr>
          <w:b/>
          <w:i w:val="0"/>
          <w:sz w:val="20"/>
        </w:rPr>
        <w:t>Question: Should in-progress drafts be preserved or discarded when HR closes the window?</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Preserved as drafts; submit blocked. Defensive — no lost work.</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pStyle w:val="Heading2"/>
      </w:pPr>
      <w:r>
        <w:rPr>
          <w:color w:val="1F4E79"/>
          <w:sz w:val="30"/>
        </w:rPr>
        <w:t>D.2  Annual Goals — Self &amp; Mentor Reviews (H1 / H2)</w:t>
      </w:r>
    </w:p>
    <w:p>
      <w:pPr>
        <w:spacing w:before="200" w:after="40"/>
      </w:pPr>
      <w:r>
        <w:rPr>
          <w:b/>
          <w:color w:val="1F4E79"/>
          <w:sz w:val="24"/>
        </w:rPr>
        <w:t xml:space="preserve">D.2.1  </w:t>
      </w:r>
      <w:r>
        <w:rPr>
          <w:b/>
          <w:sz w:val="24"/>
        </w:rPr>
        <w:t>H1 Self Review lead time</w:t>
      </w:r>
    </w:p>
    <w:p>
      <w:r>
        <w:rPr>
          <w:b w:val="0"/>
          <w:i/>
          <w:color w:val="606060"/>
          <w:sz w:val="20"/>
        </w:rPr>
        <w:t>Folds in Q13 from the original bank ('Should Self-Review be locked all year and only open the last month?'). The answer is yes-ish: open during the lead window.</w:t>
      </w:r>
    </w:p>
    <w:p>
      <w:r>
        <w:rPr>
          <w:b/>
          <w:i w:val="0"/>
          <w:sz w:val="20"/>
        </w:rPr>
        <w:t>Question: How many days before H1 ends should the H1 Self Review form OPEN for the Employee?</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30 days before H1 ends. (≈ last month of H1.)</w:t>
            </w:r>
          </w:p>
        </w:tc>
      </w:tr>
    </w:tbl>
    <w:p>
      <w:r>
        <w:rPr>
          <w:b w:val="0"/>
          <w:i/>
          <w:color w:val="606060"/>
          <w:sz w:val="18"/>
        </w:rPr>
        <w:t>Implementation note: NEW system setting `goal_review_lead_days` (default 30).</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D.2.2  </w:t>
      </w:r>
      <w:r>
        <w:rPr>
          <w:b/>
          <w:sz w:val="24"/>
        </w:rPr>
        <w:t>H1 Self Review close + grace period</w:t>
      </w:r>
    </w:p>
    <w:p>
      <w:r>
        <w:rPr>
          <w:b w:val="0"/>
          <w:i/>
          <w:color w:val="606060"/>
          <w:sz w:val="20"/>
        </w:rPr>
        <w:t>A grace period after H1 ends lets stragglers submit without HR intervention.</w:t>
      </w:r>
    </w:p>
    <w:p>
      <w:r>
        <w:rPr>
          <w:b/>
          <w:i w:val="0"/>
          <w:sz w:val="20"/>
        </w:rPr>
        <w:t>Question: When does H1 Self Review CLOSE?</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End of H1 + 15-day grace (e.g. 15 Oct for April-start orgs). After grace, locked unless HR overrides.</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D.2.3  </w:t>
      </w:r>
      <w:r>
        <w:rPr>
          <w:b/>
          <w:sz w:val="24"/>
        </w:rPr>
        <w:t>H1 Mentor Review opening trigger</w:t>
      </w:r>
    </w:p>
    <w:p>
      <w:r>
        <w:rPr>
          <w:b/>
          <w:i w:val="0"/>
          <w:sz w:val="20"/>
        </w:rPr>
        <w:t>Question: When does H1 Mentor Review OPEN?</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Event-driven — opens the moment the Employee submits H1 self-review. Already works this way; confirm OK.</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D.2.4  </w:t>
      </w:r>
      <w:r>
        <w:rPr>
          <w:b/>
          <w:sz w:val="24"/>
        </w:rPr>
        <w:t>H1 Mentor Review close</w:t>
      </w:r>
    </w:p>
    <w:p>
      <w:r>
        <w:rPr>
          <w:b w:val="0"/>
          <w:i/>
          <w:color w:val="606060"/>
          <w:sz w:val="20"/>
        </w:rPr>
        <w:t>Mentor gets a month from H1-end to evaluate.</w:t>
      </w:r>
    </w:p>
    <w:p>
      <w:r>
        <w:rPr>
          <w:b/>
          <w:i w:val="0"/>
          <w:sz w:val="20"/>
        </w:rPr>
        <w:t>Question: When does H1 Mentor Review CLOSE?</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End of H1 + 30-day grace (e.g. 30 Oct for April-start).</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D.2.5  </w:t>
      </w:r>
      <w:r>
        <w:rPr>
          <w:b/>
          <w:sz w:val="24"/>
        </w:rPr>
        <w:t>Coupling of H2 self-review to H1 completion (philosophy question)</w:t>
      </w:r>
    </w:p>
    <w:p>
      <w:r>
        <w:rPr>
          <w:b w:val="0"/>
          <w:i/>
          <w:color w:val="606060"/>
          <w:sz w:val="20"/>
        </w:rPr>
        <w:t>Folds in Q14 part 2 ('if employee misses H1, should H2 be blocked?'). Two philosophies: COUPLED — incomplete H1 blocks H2; or DECOUPLED — H2 proceeds even if H1 mentor evaluation is still pending.</w:t>
      </w:r>
    </w:p>
    <w:p>
      <w:r>
        <w:rPr>
          <w:b/>
          <w:i w:val="0"/>
          <w:sz w:val="20"/>
        </w:rPr>
        <w:t>Question: Should H2 Self Review be blocked until H1 is COMPLETE (both self AND mentor done)?</w:t>
      </w:r>
    </w:p>
    <w:p>
      <w:pPr>
        <w:pStyle w:val="ListBullet"/>
        <w:ind w:left="454"/>
      </w:pPr>
      <w:r>
        <w:rPr>
          <w:sz w:val="20"/>
        </w:rPr>
        <w:t>Coupled — block H2 if H1 not complete. Forces completeness; risks stranding goals in limbo if mentor never evaluates.</w:t>
      </w:r>
    </w:p>
    <w:p>
      <w:pPr>
        <w:pStyle w:val="ListBullet"/>
        <w:ind w:left="454"/>
      </w:pPr>
      <w:r>
        <w:rPr>
          <w:sz w:val="20"/>
        </w:rPr>
        <w:t>Decoupled — H2 proceeds independently. Employee's own progress not blocked by mentor inaction.</w:t>
      </w:r>
    </w:p>
    <w:p>
      <w:pPr>
        <w:pStyle w:val="ListBullet"/>
        <w:ind w:left="454"/>
      </w:pPr>
      <w:r>
        <w:rPr>
          <w:sz w:val="20"/>
        </w:rPr>
        <w:t>Conditional — block H2 self-review only if H1 self-review is missing; allow H2 even if H1 mentor evaluation is pending.</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Decoupled (Option 2). Coupling penalizes the employee for mentor inaction, which is unfair and bottlenecks the system.</w:t>
            </w:r>
          </w:p>
        </w:tc>
      </w:tr>
    </w:tbl>
    <w:p>
      <w:r>
        <w:rPr>
          <w:b w:val="0"/>
          <w:i w:val="0"/>
          <w:color w:val="606060"/>
          <w:sz w:val="18"/>
        </w:rPr>
        <w:t>Why: If mentor never writes H1 evaluation, employee work is frozen. We have other levers (email reminders, HR override) to chase missing mentor reviews.</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D.2.6  </w:t>
      </w:r>
      <w:r>
        <w:rPr>
          <w:b/>
          <w:sz w:val="24"/>
        </w:rPr>
        <w:t>Late H1 submission during H2</w:t>
      </w:r>
    </w:p>
    <w:p>
      <w:r>
        <w:rPr>
          <w:b w:val="0"/>
          <w:i/>
          <w:color w:val="606060"/>
          <w:sz w:val="20"/>
        </w:rPr>
        <w:t>If the lead-day window for H1 has passed, can employee/mentor still submit H1 retroactively during H2?</w:t>
      </w:r>
    </w:p>
    <w:p>
      <w:r>
        <w:rPr>
          <w:b/>
          <w:i w:val="0"/>
          <w:sz w:val="20"/>
        </w:rPr>
        <w:t>Question: Can Employee / Mentor still fill H1 after the H1 window has passed (e.g. during H2)?</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Yes — until end of FY.</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D.2.7  </w:t>
      </w:r>
      <w:r>
        <w:rPr>
          <w:b/>
          <w:sz w:val="24"/>
        </w:rPr>
        <w:t>FY-rollover hard lock on goal reviews</w:t>
      </w:r>
    </w:p>
    <w:p>
      <w:r>
        <w:rPr>
          <w:b/>
          <w:i w:val="0"/>
          <w:sz w:val="20"/>
        </w:rPr>
        <w:t>Question: When the FY rolls over (Apr 1), are ALL goal reviews from the previous FY hard-locked?</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Yes. Mirrors project review rule. HR override available.</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D.2.8  </w:t>
      </w:r>
      <w:r>
        <w:rPr>
          <w:b/>
          <w:sz w:val="24"/>
        </w:rPr>
        <w:t>Goal progression when mentor never evaluates H1 (philosophy question)</w:t>
      </w:r>
    </w:p>
    <w:p>
      <w:r>
        <w:rPr>
          <w:b w:val="0"/>
          <w:i/>
          <w:color w:val="606060"/>
          <w:sz w:val="20"/>
        </w:rPr>
        <w:t>Subset of D.2.5: even if H2 proceeds, does the goal as an object 'move forward' to its H2 state when mentor never wrote H1 evaluation?</w:t>
      </w:r>
    </w:p>
    <w:p>
      <w:r>
        <w:rPr>
          <w:b/>
          <w:i w:val="0"/>
          <w:sz w:val="20"/>
        </w:rPr>
        <w:t>Question: If an Employee submits H1 self-review but their mentor never writes the H1 mentor review, does the goal still progress to H2?</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Yes. Employee work isn't blocked by mentor inaction.</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pStyle w:val="Heading2"/>
      </w:pPr>
      <w:r>
        <w:rPr>
          <w:color w:val="1F4E79"/>
          <w:sz w:val="30"/>
        </w:rPr>
        <w:t>D.3  Annual Reviews</w:t>
      </w:r>
    </w:p>
    <w:p>
      <w:pPr>
        <w:spacing w:before="200" w:after="40"/>
      </w:pPr>
      <w:r>
        <w:rPr>
          <w:b/>
          <w:color w:val="1F4E79"/>
          <w:sz w:val="24"/>
        </w:rPr>
        <w:t xml:space="preserve">D.3.1  </w:t>
      </w:r>
      <w:r>
        <w:rPr>
          <w:b/>
          <w:sz w:val="24"/>
        </w:rPr>
        <w:t>Annual Self Review lead time</w:t>
      </w:r>
    </w:p>
    <w:p>
      <w:r>
        <w:rPr>
          <w:b/>
          <w:i w:val="0"/>
          <w:sz w:val="20"/>
        </w:rPr>
        <w:t>Question: How many days before FY ends should the Annual Self Review OPEN?</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30 days before FY ends (≈ last month of FY).</w:t>
            </w:r>
          </w:p>
        </w:tc>
      </w:tr>
    </w:tbl>
    <w:p>
      <w:r>
        <w:rPr>
          <w:b w:val="0"/>
          <w:i/>
          <w:color w:val="606060"/>
          <w:sz w:val="18"/>
        </w:rPr>
        <w:t>Implementation note: NEW system setting `annual_review_lead_days` (default 30).</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D.3.2  </w:t>
      </w:r>
      <w:r>
        <w:rPr>
          <w:b/>
          <w:sz w:val="24"/>
        </w:rPr>
        <w:t>Annual Self Review close + grace</w:t>
      </w:r>
    </w:p>
    <w:p>
      <w:r>
        <w:rPr>
          <w:b/>
          <w:i w:val="0"/>
          <w:sz w:val="20"/>
        </w:rPr>
        <w:t>Question: When does Annual Self Review CLOSE?</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15 days after FY ends (e.g. 15 Apr for April-start orgs).</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D.3.3  </w:t>
      </w:r>
      <w:r>
        <w:rPr>
          <w:b/>
          <w:sz w:val="24"/>
        </w:rPr>
        <w:t>Mentor (annual) review opening trigger</w:t>
      </w:r>
    </w:p>
    <w:p>
      <w:r>
        <w:rPr>
          <w:b/>
          <w:i w:val="0"/>
          <w:sz w:val="20"/>
        </w:rPr>
        <w:t>Question: When does Mentor Review OPEN?</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Event-driven — when Employee submits.</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D.3.4  </w:t>
      </w:r>
      <w:r>
        <w:rPr>
          <w:b/>
          <w:sz w:val="24"/>
        </w:rPr>
        <w:t>Mentor (annual) review close</w:t>
      </w:r>
    </w:p>
    <w:p>
      <w:r>
        <w:rPr>
          <w:b/>
          <w:i w:val="0"/>
          <w:sz w:val="20"/>
        </w:rPr>
        <w:t>Question: When does Mentor Review CLOSE?</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30 days after FY ends (e.g. 30 Apr).</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D.3.5  </w:t>
      </w:r>
      <w:r>
        <w:rPr>
          <w:b/>
          <w:sz w:val="24"/>
        </w:rPr>
        <w:t>Management Calibration opening trigger</w:t>
      </w:r>
    </w:p>
    <w:p>
      <w:r>
        <w:rPr>
          <w:b/>
          <w:i w:val="0"/>
          <w:sz w:val="20"/>
        </w:rPr>
        <w:t>Question: When does Management Calibration OPEN?</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Event-driven — when Mentor submits.</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D.3.6  </w:t>
      </w:r>
      <w:r>
        <w:rPr>
          <w:b/>
          <w:sz w:val="24"/>
        </w:rPr>
        <w:t>Management Calibration close</w:t>
      </w:r>
    </w:p>
    <w:p>
      <w:r>
        <w:rPr>
          <w:b/>
          <w:i w:val="0"/>
          <w:sz w:val="20"/>
        </w:rPr>
        <w:t>Question: When does Management Calibration CLOSE?</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60 days after FY ends (e.g. 30 May). HR has two months for calibration.</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D.3.7  </w:t>
      </w:r>
      <w:r>
        <w:rPr>
          <w:b/>
          <w:sz w:val="24"/>
        </w:rPr>
        <w:t>Handling employees who miss the self-review deadline (philosophy question)</w:t>
      </w:r>
    </w:p>
    <w:p>
      <w:r>
        <w:rPr>
          <w:b w:val="0"/>
          <w:i/>
          <w:color w:val="606060"/>
          <w:sz w:val="20"/>
        </w:rPr>
        <w:t>Critical operational decision. Three viable strategies, each with trade-offs.</w:t>
      </w:r>
    </w:p>
    <w:p>
      <w:r>
        <w:rPr>
          <w:b/>
          <w:i w:val="0"/>
          <w:sz w:val="20"/>
        </w:rPr>
        <w:t>Question: What happens if an Employee fails to submit a self-review by the close date?</w:t>
      </w:r>
    </w:p>
    <w:p>
      <w:pPr>
        <w:pStyle w:val="ListBullet"/>
        <w:ind w:left="454"/>
      </w:pPr>
      <w:r>
        <w:rPr>
          <w:sz w:val="20"/>
        </w:rPr>
        <w:t>HR manually starts a draft on the employee's behalf and completes a placeholder.</w:t>
      </w:r>
    </w:p>
    <w:p>
      <w:pPr>
        <w:pStyle w:val="ListBullet"/>
        <w:ind w:left="454"/>
      </w:pPr>
      <w:r>
        <w:rPr>
          <w:sz w:val="20"/>
        </w:rPr>
        <w:t>Skip the cycle — that employee has no annual review for this FY (gap in history).</w:t>
      </w:r>
    </w:p>
    <w:p>
      <w:pPr>
        <w:pStyle w:val="ListBullet"/>
        <w:ind w:left="454"/>
      </w:pPr>
      <w:r>
        <w:rPr>
          <w:sz w:val="20"/>
        </w:rPr>
        <w:t>Extend the window globally via `annual_reviews_enabled` toggle until everyone is in.</w:t>
      </w:r>
    </w:p>
    <w:p>
      <w:pPr>
        <w:pStyle w:val="ListBullet"/>
        <w:ind w:left="454"/>
      </w:pPr>
      <w:r>
        <w:rPr>
          <w:sz w:val="20"/>
        </w:rPr>
        <w:t>Email nag + grace extension — automated reminders at T-7, T-1, T-0; HR override only if nag fails.</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Option 4 (email nag + grace) for the primary path. Option 1 (HR starts draft) as the fallback for chronic non-responders. Option 2 (skip) is unacceptable; Option 3 punishes everyone for one employee.</w:t>
            </w:r>
          </w:p>
        </w:tc>
      </w:tr>
    </w:tbl>
    <w:p>
      <w:r>
        <w:rPr>
          <w:b w:val="0"/>
          <w:i/>
          <w:color w:val="606060"/>
          <w:sz w:val="18"/>
        </w:rPr>
        <w:t>Implementation note: Email cron is future scope (see D.4.5). HR-starts-draft is already possible via existing HR override.</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D.3.8  </w:t>
      </w:r>
      <w:r>
        <w:rPr>
          <w:b/>
          <w:sz w:val="24"/>
        </w:rPr>
        <w:t>Editing a previous FY's annual review after calibration closes</w:t>
      </w:r>
    </w:p>
    <w:p>
      <w:r>
        <w:rPr>
          <w:b/>
          <w:i w:val="0"/>
          <w:sz w:val="20"/>
        </w:rPr>
        <w:t>Question: Can a previous FY's Annual Review be edited after the calibration closes?</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No — locked. HR override only. Existing toggles handle this.</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D.3.9  </w:t>
      </w:r>
      <w:r>
        <w:rPr>
          <w:b/>
          <w:sz w:val="24"/>
        </w:rPr>
        <w:t>Final rating visibility — auto-publish vs HR-publish</w:t>
      </w:r>
    </w:p>
    <w:p>
      <w:r>
        <w:rPr>
          <w:b w:val="0"/>
          <w:i/>
          <w:color w:val="606060"/>
          <w:sz w:val="20"/>
        </w:rPr>
        <w:t>Today there's a setting `annual_review_final_rating_visible` that gates whether the employee sees their final calibrated rating. Question: should it auto-flip on calibration close, or stay HR-manual?</w:t>
      </w:r>
    </w:p>
    <w:p>
      <w:r>
        <w:rPr>
          <w:b/>
          <w:i w:val="0"/>
          <w:sz w:val="20"/>
        </w:rPr>
        <w:t>Question: Should the final rating be visible to the Employee the moment Calibration closes, or only after a separate 'Publish' action by HR?</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Auto-visible at Calibration close. Setting toggle exists; could stay manual if HR prefers control.</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pStyle w:val="Heading2"/>
      </w:pPr>
      <w:r>
        <w:rPr>
          <w:color w:val="1F4E79"/>
          <w:sz w:val="30"/>
        </w:rPr>
        <w:t>D.4  Cross-cutting Policy</w:t>
      </w:r>
    </w:p>
    <w:p>
      <w:pPr>
        <w:spacing w:before="200" w:after="40"/>
      </w:pPr>
      <w:r>
        <w:rPr>
          <w:b/>
          <w:color w:val="1F4E79"/>
          <w:sz w:val="24"/>
        </w:rPr>
        <w:t xml:space="preserve">D.4.1  </w:t>
      </w:r>
      <w:r>
        <w:rPr>
          <w:b/>
          <w:sz w:val="24"/>
        </w:rPr>
        <w:t>Lead-day settings location in the UI</w:t>
      </w:r>
    </w:p>
    <w:p>
      <w:r>
        <w:rPr>
          <w:b/>
          <w:i w:val="0"/>
          <w:sz w:val="20"/>
        </w:rPr>
        <w:t>Question: Where do the three lead-day settings (project, goal, annual) live?</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System Settings tab, single section 'Review Window Policy'. HR_MyOrg only. HR_Miltenyi does not touch these.</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D.4.2  </w:t>
      </w:r>
      <w:r>
        <w:rPr>
          <w:b/>
          <w:sz w:val="24"/>
        </w:rPr>
        <w:t>Org-wide vs per-cycle override</w:t>
      </w:r>
    </w:p>
    <w:p>
      <w:r>
        <w:rPr>
          <w:b/>
          <w:i w:val="0"/>
          <w:sz w:val="20"/>
        </w:rPr>
        <w:t>Question: Org-wide `cycle_window_override` vs per-cycle override?</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Keep org-wide for now. Revisit if HR keeps needing surgical control.</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D.4.3  </w:t>
      </w:r>
      <w:r>
        <w:rPr>
          <w:b/>
          <w:sz w:val="24"/>
        </w:rPr>
        <w:t>Topbar countdown chip when approaching close</w:t>
      </w:r>
    </w:p>
    <w:p>
      <w:r>
        <w:rPr>
          <w:b/>
          <w:i w:val="0"/>
          <w:sz w:val="20"/>
        </w:rPr>
        <w:t>Question: Should the topbar surface a countdown ('Review window closes in 3 days') when within 7 days of close?</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Yes — amber chip in the top-right. Reduces 'I missed it' tickets.</w:t>
            </w:r>
          </w:p>
        </w:tc>
      </w:tr>
    </w:tbl>
    <w:p>
      <w:r>
        <w:rPr>
          <w:b w:val="0"/>
          <w:i/>
          <w:color w:val="606060"/>
          <w:sz w:val="18"/>
        </w:rPr>
        <w:t>Implementation note: Nice-to-have for v1; could ship in a fast follow-up.</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D.4.4  </w:t>
      </w:r>
      <w:r>
        <w:rPr>
          <w:b/>
          <w:sz w:val="24"/>
        </w:rPr>
        <w:t>Mid-cycle user deactivation handling</w:t>
      </w:r>
    </w:p>
    <w:p>
      <w:r>
        <w:rPr>
          <w:b/>
          <w:i w:val="0"/>
          <w:sz w:val="20"/>
        </w:rPr>
        <w:t>Question: When a user is deactivated mid-cycle, do their in-flight reviews stay submittable until close, or lock immediately?</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Lock immediately (consistent with deactivation = 'user is gone'). Drafts preserved for audit; just no further edits.</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D.4.5  </w:t>
      </w:r>
      <w:r>
        <w:rPr>
          <w:b/>
          <w:sz w:val="24"/>
        </w:rPr>
        <w:t>Email reminders before review window close</w:t>
      </w:r>
    </w:p>
    <w:p>
      <w:r>
        <w:rPr>
          <w:b/>
          <w:i w:val="0"/>
          <w:sz w:val="20"/>
        </w:rPr>
        <w:t>Question: Should email reminders fire X days before each review window closes?</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Yes — at T-7 and T-1 days for each window. Future scope; not blocking this release.</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D.4.6  </w:t>
      </w:r>
      <w:r>
        <w:rPr>
          <w:b/>
          <w:sz w:val="24"/>
        </w:rPr>
        <w:t>simulated_today behavior with lockouts</w:t>
      </w:r>
    </w:p>
    <w:p>
      <w:r>
        <w:rPr>
          <w:b w:val="0"/>
          <w:i/>
          <w:color w:val="606060"/>
          <w:sz w:val="20"/>
        </w:rPr>
        <w:t>The dev/QA `simulated_today` override pins a fake 'today.' Question: should it bypass cycle lockouts or respect them?</w:t>
      </w:r>
    </w:p>
    <w:p>
      <w:r>
        <w:rPr>
          <w:b/>
          <w:i w:val="0"/>
          <w:sz w:val="20"/>
        </w:rPr>
        <w:t>Question: Should `simulated_today` respect or bypass all of the above lockouts?</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Respect. Simulating 'Mar 25' should make Annual Self Review available, even on real calendar Jan 15. Existing intent; confirm.</w:t>
            </w:r>
          </w:p>
        </w:tc>
      </w:tr>
    </w:tbl>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r>
        <w:br w:type="page"/>
      </w:r>
    </w:p>
    <w:p/>
    <w:tbl>
      <w:tblPr>
        <w:tblW w:type="auto" w:w="0"/>
        <w:tblLayout w:type="fixed"/>
        <w:tblLook w:firstColumn="1" w:firstRow="1" w:lastColumn="0" w:lastRow="0" w:noHBand="0" w:noVBand="1" w:val="04A0"/>
      </w:tblPr>
      <w:tblGrid>
        <w:gridCol w:w="4986"/>
        <w:gridCol w:w="4986"/>
      </w:tblGrid>
      <w:tr>
        <w:tc>
          <w:tcPr>
            <w:tcW w:type="dxa" w:w="7370"/>
            <w:shd w:val="clear" w:color="auto" w:fill="1F4E79"/>
          </w:tcPr>
          <w:p>
            <w:r>
              <w:rPr>
                <w:b/>
                <w:color w:val="FFFFFF"/>
                <w:sz w:val="28"/>
              </w:rPr>
              <w:t>Section E  —  Cross-cutting Policy &amp; UX</w:t>
            </w:r>
          </w:p>
        </w:tc>
        <w:tc>
          <w:tcPr>
            <w:tcW w:type="dxa" w:w="2268"/>
            <w:shd w:val="clear" w:color="auto" w:fill="1F4E79"/>
          </w:tcPr>
          <w:p>
            <w:pPr>
              <w:jc w:val="right"/>
            </w:pPr>
            <w:r>
              <w:rPr>
                <w:b/>
                <w:color w:val="FFFFFF"/>
                <w:sz w:val="22"/>
              </w:rPr>
              <w:t>~ 10 min</w:t>
            </w:r>
          </w:p>
        </w:tc>
      </w:tr>
    </w:tbl>
    <w:p>
      <w:pPr>
        <w:spacing w:before="200" w:after="40"/>
      </w:pPr>
      <w:r>
        <w:rPr>
          <w:b/>
          <w:color w:val="1F4E79"/>
          <w:sz w:val="24"/>
        </w:rPr>
        <w:t xml:space="preserve">E.1  </w:t>
      </w:r>
      <w:r>
        <w:rPr>
          <w:b/>
          <w:sz w:val="24"/>
        </w:rPr>
        <w:t>Timezone governance for cycle deadlines</w:t>
      </w:r>
    </w:p>
    <w:p>
      <w:r>
        <w:rPr>
          <w:b w:val="0"/>
          <w:i/>
          <w:color w:val="606060"/>
          <w:sz w:val="20"/>
        </w:rPr>
        <w:t>Cycle dates (FY rollover, H1/H2 ends, review window opens/closes) need a single timezone reference to avoid ambiguity at midnight boundaries. Today the org is configured with a single IANA timezone (Europe/Berlin for Miltenyi).</w:t>
      </w:r>
    </w:p>
    <w:p>
      <w:r>
        <w:rPr>
          <w:b/>
          <w:i w:val="0"/>
          <w:sz w:val="20"/>
        </w:rPr>
        <w:t>Question: If a Project Manager travels or relocates to a different timezone, and a review window closes at 'midnight,' should that midnight be in:</w:t>
      </w:r>
    </w:p>
    <w:p>
      <w:pPr>
        <w:pStyle w:val="ListBullet"/>
        <w:ind w:left="454"/>
      </w:pPr>
      <w:r>
        <w:rPr>
          <w:sz w:val="20"/>
        </w:rPr>
        <w:t>Org timezone (e.g. Europe/Berlin) — uniform across all users.</w:t>
      </w:r>
    </w:p>
    <w:p>
      <w:pPr>
        <w:pStyle w:val="ListBullet"/>
        <w:ind w:left="454"/>
      </w:pPr>
      <w:r>
        <w:rPr>
          <w:sz w:val="20"/>
        </w:rPr>
        <w:t>User's local timezone at submission time — feels 'fair' but causes cycle bookkeeping headaches.</w:t>
      </w:r>
    </w:p>
    <w:p>
      <w:pPr>
        <w:pStyle w:val="ListBullet"/>
        <w:ind w:left="454"/>
      </w:pPr>
      <w:r>
        <w:rPr>
          <w:sz w:val="20"/>
        </w:rPr>
        <w:t>UTC — neutral but unintuitive for non-engineers.</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Org timezone (Option 1). Document clearly in user-facing copy: 'Closes at 23:59 Europe/Berlin.'</w:t>
            </w:r>
          </w:p>
        </w:tc>
      </w:tr>
    </w:tbl>
    <w:p>
      <w:r>
        <w:rPr>
          <w:b w:val="0"/>
          <w:i w:val="0"/>
          <w:color w:val="606060"/>
          <w:sz w:val="18"/>
        </w:rPr>
        <w:t>Why: Uniform deadline across users avoids gaming via timezone changes; matches how all enterprise HR systems work.</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pPr>
        <w:spacing w:before="200" w:after="40"/>
      </w:pPr>
      <w:r>
        <w:rPr>
          <w:b/>
          <w:color w:val="1F4E79"/>
          <w:sz w:val="24"/>
        </w:rPr>
        <w:t xml:space="preserve">E.2  </w:t>
      </w:r>
      <w:r>
        <w:rPr>
          <w:b/>
          <w:sz w:val="24"/>
        </w:rPr>
        <w:t>Annual Goals dashboard card — lifecycle view vs single-action</w:t>
      </w:r>
    </w:p>
    <w:p>
      <w:r>
        <w:rPr>
          <w:b w:val="0"/>
          <w:i/>
          <w:color w:val="606060"/>
          <w:sz w:val="20"/>
        </w:rPr>
        <w:t>Today the Employee dashboard shows separate cards: 'Begin Self Review' for the annual review, and a goals card surfacing one pending action at a time. The proposed redesign replaces them with a unified lifecycle strip showing the full year-long arc.</w:t>
      </w:r>
    </w:p>
    <w:p>
      <w:r>
        <w:rPr>
          <w:b/>
          <w:i w:val="0"/>
          <w:sz w:val="20"/>
        </w:rPr>
        <w:t>Question: Should we replace the goals + review cards with a unified lifecycle strip (Set goals → Mentor feedback → Update → H1 Self → H1 Mentor → H2 Self → H2 Mentor → Annual Review), highlighting the current step?</w:t>
      </w:r>
    </w:p>
    <w:p>
      <w:pPr>
        <w:pStyle w:val="ListBullet"/>
        <w:ind w:left="454"/>
      </w:pPr>
      <w:r>
        <w:rPr>
          <w:sz w:val="20"/>
        </w:rPr>
        <w:t>Yes — single lifecycle strip; cleaner mental model; meaningful frontend rebuild.</w:t>
      </w:r>
    </w:p>
    <w:p>
      <w:pPr>
        <w:pStyle w:val="ListBullet"/>
        <w:ind w:left="454"/>
      </w:pPr>
      <w:r>
        <w:rPr>
          <w:sz w:val="20"/>
        </w:rPr>
        <w:t>No — keep current single-action cards; less code churn.</w:t>
      </w:r>
    </w:p>
    <w:p>
      <w:pPr>
        <w:pStyle w:val="ListBullet"/>
        <w:ind w:left="454"/>
      </w:pPr>
      <w:r>
        <w:rPr>
          <w:sz w:val="20"/>
        </w:rPr>
        <w:t>Hybrid — add a small lifecycle ribbon at top of dashboard, keep action cards below.</w:t>
      </w:r>
    </w:p>
    <w:tbl>
      <w:tblPr>
        <w:tblW w:type="auto" w:w="0"/>
        <w:tblLook w:firstColumn="1" w:firstRow="1" w:lastColumn="0" w:lastRow="0" w:noHBand="0" w:noVBand="1" w:val="04A0"/>
      </w:tblPr>
      <w:tblGrid>
        <w:gridCol w:w="9972"/>
      </w:tblGrid>
      <w:tr>
        <w:tc>
          <w:tcPr>
            <w:tcW w:type="dxa" w:w="9638"/>
            <w:shd w:val="clear" w:color="auto" w:fill="FFF7E6"/>
          </w:tcPr>
          <w:p>
            <w:r>
              <w:rPr>
                <w:b/>
                <w:sz w:val="20"/>
              </w:rPr>
              <w:t xml:space="preserve">Engineering recommendation: </w:t>
            </w:r>
            <w:r>
              <w:rPr>
                <w:sz w:val="20"/>
              </w:rPr>
              <w:t>Option 3 (Hybrid). Ribbon gives the year-long view; cards keep the 'do this now' CTA. Less risky than full replacement.</w:t>
            </w:r>
          </w:p>
        </w:tc>
      </w:tr>
    </w:tbl>
    <w:p>
      <w:r>
        <w:rPr>
          <w:b w:val="0"/>
          <w:i w:val="0"/>
          <w:color w:val="606060"/>
          <w:sz w:val="18"/>
        </w:rPr>
        <w:t>Why: Pure lifecycle strip loses the strong CTA. Pure cards lose context. Ribbon + cards keeps both.</w:t>
      </w:r>
    </w:p>
    <w:tbl>
      <w:tblPr>
        <w:tblStyle w:val="TableGrid"/>
        <w:tblW w:type="auto" w:w="0"/>
        <w:tblLook w:firstColumn="1" w:firstRow="1" w:lastColumn="0" w:lastRow="0" w:noHBand="0" w:noVBand="1" w:val="04A0"/>
      </w:tblPr>
      <w:tblGrid>
        <w:gridCol w:w="9972"/>
      </w:tblGrid>
      <w:tr>
        <w:tc>
          <w:tcPr>
            <w:tcW w:type="dxa" w:w="9638"/>
          </w:tcPr>
          <w:p>
            <w:r>
              <w:rPr>
                <w:b/>
                <w:color w:val="C0392B"/>
                <w:sz w:val="20"/>
              </w:rPr>
              <w:t xml:space="preserve">Stakeholder answer: </w:t>
            </w:r>
            <w:r>
              <w:rPr>
                <w:color w:val="606060"/>
                <w:sz w:val="20"/>
              </w:rPr>
              <w:t>________________________________________________</w:t>
            </w:r>
          </w:p>
        </w:tc>
      </w:tr>
    </w:tbl>
    <w:p>
      <w:r>
        <w:br w:type="page"/>
      </w:r>
    </w:p>
    <w:p/>
    <w:tbl>
      <w:tblPr>
        <w:tblW w:type="auto" w:w="0"/>
        <w:tblLayout w:type="fixed"/>
        <w:tblLook w:firstColumn="1" w:firstRow="1" w:lastColumn="0" w:lastRow="0" w:noHBand="0" w:noVBand="1" w:val="04A0"/>
      </w:tblPr>
      <w:tblGrid>
        <w:gridCol w:w="4986"/>
        <w:gridCol w:w="4986"/>
      </w:tblGrid>
      <w:tr>
        <w:tc>
          <w:tcPr>
            <w:tcW w:type="dxa" w:w="7370"/>
            <w:shd w:val="clear" w:color="auto" w:fill="1F4E79"/>
          </w:tcPr>
          <w:p>
            <w:r>
              <w:rPr>
                <w:b/>
                <w:color w:val="FFFFFF"/>
                <w:sz w:val="28"/>
              </w:rPr>
              <w:t>Section F  —  Action Items (record only)</w:t>
            </w:r>
          </w:p>
        </w:tc>
        <w:tc>
          <w:tcPr>
            <w:tcW w:type="dxa" w:w="2268"/>
            <w:shd w:val="clear" w:color="auto" w:fill="1F4E79"/>
          </w:tcPr>
          <w:p>
            <w:pPr>
              <w:jc w:val="right"/>
            </w:pPr>
            <w:r>
              <w:rPr>
                <w:b/>
                <w:color w:val="FFFFFF"/>
                <w:sz w:val="22"/>
              </w:rPr>
              <w:t>~ 5 min</w:t>
            </w:r>
          </w:p>
        </w:tc>
      </w:tr>
    </w:tbl>
    <w:p>
      <w:r>
        <w:rPr>
          <w:b w:val="0"/>
          <w:i/>
          <w:color w:val="606060"/>
          <w:sz w:val="20"/>
        </w:rPr>
        <w:t>These are not discussion items — just operational follow-ups to record.</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20"/>
              </w:rPr>
              <w:t>#</w:t>
            </w:r>
          </w:p>
        </w:tc>
        <w:tc>
          <w:tcPr>
            <w:tcW w:type="dxa" w:w="3324"/>
          </w:tcPr>
          <w:p>
            <w:r>
              <w:rPr>
                <w:b/>
                <w:sz w:val="20"/>
              </w:rPr>
              <w:t>Action</w:t>
            </w:r>
          </w:p>
        </w:tc>
        <w:tc>
          <w:tcPr>
            <w:tcW w:type="dxa" w:w="3324"/>
          </w:tcPr>
          <w:p>
            <w:r>
              <w:rPr>
                <w:b/>
                <w:sz w:val="20"/>
              </w:rPr>
              <w:t>Owner / Due</w:t>
            </w:r>
          </w:p>
        </w:tc>
      </w:tr>
      <w:tr>
        <w:tc>
          <w:tcPr>
            <w:tcW w:type="dxa" w:w="3324"/>
          </w:tcPr>
          <w:p>
            <w:r>
              <w:rPr>
                <w:sz w:val="20"/>
              </w:rPr>
              <w:t>F.1</w:t>
            </w:r>
          </w:p>
        </w:tc>
        <w:tc>
          <w:tcPr>
            <w:tcW w:type="dxa" w:w="3324"/>
          </w:tcPr>
          <w:p>
            <w:r>
              <w:rPr>
                <w:sz w:val="20"/>
              </w:rPr>
              <w:t>Provide a dedicated email account for the PMS notification service (e.g. pms@miltenyibiotec.com). Required to send notifications from a Miltenyi-owned identity rather than a Healthark-owned one.</w:t>
            </w:r>
          </w:p>
        </w:tc>
        <w:tc>
          <w:tcPr>
            <w:tcW w:type="dxa" w:w="3324"/>
          </w:tcPr>
          <w:p>
            <w:r>
              <w:rPr>
                <w:sz w:val="20"/>
              </w:rPr>
              <w:t>Miltenyi IT</w:t>
            </w:r>
          </w:p>
        </w:tc>
      </w:tr>
      <w:tr>
        <w:tc>
          <w:tcPr>
            <w:tcW w:type="dxa" w:w="3324"/>
          </w:tcPr>
          <w:p>
            <w:r>
              <w:rPr>
                <w:sz w:val="20"/>
              </w:rPr>
              <w:t>F.2</w:t>
            </w:r>
          </w:p>
        </w:tc>
        <w:tc>
          <w:tcPr>
            <w:tcW w:type="dxa" w:w="3324"/>
          </w:tcPr>
          <w:p>
            <w:r>
              <w:rPr>
                <w:sz w:val="20"/>
              </w:rPr>
              <w:t>Confirm exact Miltenyi corporate email domain string(s) for whitelist (A.1).</w:t>
            </w:r>
          </w:p>
        </w:tc>
        <w:tc>
          <w:tcPr>
            <w:tcW w:type="dxa" w:w="3324"/>
          </w:tcPr>
          <w:p>
            <w:r>
              <w:rPr>
                <w:sz w:val="20"/>
              </w:rPr>
              <w:t>Miltenyi HR</w:t>
            </w:r>
          </w:p>
        </w:tc>
      </w:tr>
      <w:tr>
        <w:tc>
          <w:tcPr>
            <w:tcW w:type="dxa" w:w="3324"/>
          </w:tcPr>
          <w:p>
            <w:r>
              <w:rPr>
                <w:sz w:val="20"/>
              </w:rPr>
              <w:t>F.3</w:t>
            </w:r>
          </w:p>
        </w:tc>
        <w:tc>
          <w:tcPr>
            <w:tcW w:type="dxa" w:w="3324"/>
          </w:tcPr>
          <w:p>
            <w:r>
              <w:rPr>
                <w:sz w:val="20"/>
              </w:rPr>
              <w:t>Provide canonical Functions + Designations list (C.2).</w:t>
            </w:r>
          </w:p>
        </w:tc>
        <w:tc>
          <w:tcPr>
            <w:tcW w:type="dxa" w:w="3324"/>
          </w:tcPr>
          <w:p>
            <w:r>
              <w:rPr>
                <w:sz w:val="20"/>
              </w:rPr>
              <w:t>Miltenyi HR</w:t>
            </w:r>
          </w:p>
        </w:tc>
      </w:tr>
      <w:tr>
        <w:tc>
          <w:tcPr>
            <w:tcW w:type="dxa" w:w="3324"/>
          </w:tcPr>
          <w:p>
            <w:r>
              <w:rPr>
                <w:sz w:val="20"/>
              </w:rPr>
              <w:t>F.4</w:t>
            </w:r>
          </w:p>
        </w:tc>
        <w:tc>
          <w:tcPr>
            <w:tcW w:type="dxa" w:w="3324"/>
          </w:tcPr>
          <w:p>
            <w:r>
              <w:rPr>
                <w:sz w:val="20"/>
              </w:rPr>
              <w:t>Provide final Role Expectations content per role (C.1).</w:t>
            </w:r>
          </w:p>
        </w:tc>
        <w:tc>
          <w:tcPr>
            <w:tcW w:type="dxa" w:w="3324"/>
          </w:tcPr>
          <w:p>
            <w:r>
              <w:rPr>
                <w:sz w:val="20"/>
              </w:rPr>
              <w:t>Miltenyi HR</w:t>
            </w:r>
          </w:p>
        </w:tc>
      </w:tr>
    </w:tbl>
    <w:p>
      <w:r>
        <w:br w:type="page"/>
      </w:r>
    </w:p>
    <w:p>
      <w:pPr>
        <w:pStyle w:val="Heading1"/>
      </w:pPr>
      <w:r>
        <w:rPr>
          <w:color w:val="1F4E79"/>
          <w:sz w:val="40"/>
        </w:rPr>
        <w:t>Post-Meeting Decisions Summary</w:t>
      </w:r>
    </w:p>
    <w:p>
      <w:r>
        <w:rPr>
          <w:b w:val="0"/>
          <w:i/>
          <w:color w:val="606060"/>
          <w:sz w:val="20"/>
        </w:rPr>
        <w:t>After the meeting, fill this section in with the final agreed answer for each block. This becomes the canonical reference for what gets built.</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20"/>
              </w:rPr>
              <w:t>#</w:t>
            </w:r>
          </w:p>
        </w:tc>
        <w:tc>
          <w:tcPr>
            <w:tcW w:type="dxa" w:w="3324"/>
          </w:tcPr>
          <w:p>
            <w:r>
              <w:rPr>
                <w:b/>
                <w:sz w:val="20"/>
              </w:rPr>
              <w:t>Decision</w:t>
            </w:r>
          </w:p>
        </w:tc>
        <w:tc>
          <w:tcPr>
            <w:tcW w:type="dxa" w:w="3324"/>
          </w:tcPr>
          <w:p>
            <w:r>
              <w:rPr>
                <w:b/>
                <w:sz w:val="20"/>
              </w:rPr>
              <w:t>Owner / Next step</w:t>
            </w:r>
          </w:p>
        </w:tc>
      </w:tr>
      <w:tr>
        <w:tc>
          <w:tcPr>
            <w:tcW w:type="dxa" w:w="3324"/>
          </w:tcPr>
          <w:p/>
        </w:tc>
        <w:tc>
          <w:tcPr>
            <w:tcW w:type="dxa" w:w="3324"/>
          </w:tcPr>
          <w:p/>
        </w:tc>
        <w:tc>
          <w:tcPr>
            <w:tcW w:type="dxa" w:w="3324"/>
          </w:tcPr>
          <w:p/>
        </w:tc>
      </w:tr>
      <w:tr>
        <w:tc>
          <w:tcPr>
            <w:tcW w:type="dxa" w:w="3324"/>
          </w:tcPr>
          <w:p/>
        </w:tc>
        <w:tc>
          <w:tcPr>
            <w:tcW w:type="dxa" w:w="3324"/>
          </w:tcPr>
          <w:p/>
        </w:tc>
        <w:tc>
          <w:tcPr>
            <w:tcW w:type="dxa" w:w="3324"/>
          </w:tcPr>
          <w:p/>
        </w:tc>
      </w:tr>
      <w:tr>
        <w:tc>
          <w:tcPr>
            <w:tcW w:type="dxa" w:w="3324"/>
          </w:tcPr>
          <w:p/>
        </w:tc>
        <w:tc>
          <w:tcPr>
            <w:tcW w:type="dxa" w:w="3324"/>
          </w:tcPr>
          <w:p/>
        </w:tc>
        <w:tc>
          <w:tcPr>
            <w:tcW w:type="dxa" w:w="3324"/>
          </w:tcPr>
          <w:p/>
        </w:tc>
      </w:tr>
      <w:tr>
        <w:tc>
          <w:tcPr>
            <w:tcW w:type="dxa" w:w="3324"/>
          </w:tcPr>
          <w:p/>
        </w:tc>
        <w:tc>
          <w:tcPr>
            <w:tcW w:type="dxa" w:w="3324"/>
          </w:tcPr>
          <w:p/>
        </w:tc>
        <w:tc>
          <w:tcPr>
            <w:tcW w:type="dxa" w:w="3324"/>
          </w:tcPr>
          <w:p/>
        </w:tc>
      </w:tr>
      <w:tr>
        <w:tc>
          <w:tcPr>
            <w:tcW w:type="dxa" w:w="3324"/>
          </w:tcPr>
          <w:p/>
        </w:tc>
        <w:tc>
          <w:tcPr>
            <w:tcW w:type="dxa" w:w="3324"/>
          </w:tcPr>
          <w:p/>
        </w:tc>
        <w:tc>
          <w:tcPr>
            <w:tcW w:type="dxa" w:w="3324"/>
          </w:tcPr>
          <w:p/>
        </w:tc>
      </w:tr>
      <w:tr>
        <w:tc>
          <w:tcPr>
            <w:tcW w:type="dxa" w:w="3324"/>
          </w:tcPr>
          <w:p/>
        </w:tc>
        <w:tc>
          <w:tcPr>
            <w:tcW w:type="dxa" w:w="3324"/>
          </w:tcPr>
          <w:p/>
        </w:tc>
        <w:tc>
          <w:tcPr>
            <w:tcW w:type="dxa" w:w="3324"/>
          </w:tcPr>
          <w:p/>
        </w:tc>
      </w:tr>
      <w:tr>
        <w:tc>
          <w:tcPr>
            <w:tcW w:type="dxa" w:w="3324"/>
          </w:tcPr>
          <w:p/>
        </w:tc>
        <w:tc>
          <w:tcPr>
            <w:tcW w:type="dxa" w:w="3324"/>
          </w:tcPr>
          <w:p/>
        </w:tc>
        <w:tc>
          <w:tcPr>
            <w:tcW w:type="dxa" w:w="3324"/>
          </w:tcPr>
          <w:p/>
        </w:tc>
      </w:tr>
      <w:tr>
        <w:tc>
          <w:tcPr>
            <w:tcW w:type="dxa" w:w="3324"/>
          </w:tcPr>
          <w:p/>
        </w:tc>
        <w:tc>
          <w:tcPr>
            <w:tcW w:type="dxa" w:w="3324"/>
          </w:tcPr>
          <w:p/>
        </w:tc>
        <w:tc>
          <w:tcPr>
            <w:tcW w:type="dxa" w:w="3324"/>
          </w:tcPr>
          <w:p/>
        </w:tc>
      </w:tr>
      <w:tr>
        <w:tc>
          <w:tcPr>
            <w:tcW w:type="dxa" w:w="3324"/>
          </w:tcPr>
          <w:p/>
        </w:tc>
        <w:tc>
          <w:tcPr>
            <w:tcW w:type="dxa" w:w="3324"/>
          </w:tcPr>
          <w:p/>
        </w:tc>
        <w:tc>
          <w:tcPr>
            <w:tcW w:type="dxa" w:w="3324"/>
          </w:tcPr>
          <w:p/>
        </w:tc>
      </w:tr>
      <w:tr>
        <w:tc>
          <w:tcPr>
            <w:tcW w:type="dxa" w:w="3324"/>
          </w:tcPr>
          <w:p/>
        </w:tc>
        <w:tc>
          <w:tcPr>
            <w:tcW w:type="dxa" w:w="3324"/>
          </w:tcPr>
          <w:p/>
        </w:tc>
        <w:tc>
          <w:tcPr>
            <w:tcW w:type="dxa" w:w="3324"/>
          </w:tcP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