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1B3E1" w14:textId="051EA471" w:rsidR="002158B6" w:rsidRDefault="009C00DE">
      <w:pPr>
        <w:spacing w:before="240" w:after="240"/>
      </w:pPr>
      <w:r>
        <w:t xml:space="preserve">Evaluating </w:t>
      </w:r>
      <w:r w:rsidR="00224041">
        <w:t xml:space="preserve">Place-Based Disadvantage </w:t>
      </w:r>
      <w:r w:rsidR="008A14C1">
        <w:t>Indices</w:t>
      </w:r>
      <w:r>
        <w:t xml:space="preserve"> in Heart Transplantation</w:t>
      </w:r>
    </w:p>
    <w:p w14:paraId="062E88D9" w14:textId="77777777" w:rsidR="002158B6" w:rsidRDefault="002158B6">
      <w:pPr>
        <w:spacing w:before="240" w:after="240"/>
      </w:pPr>
    </w:p>
    <w:p w14:paraId="4244A999" w14:textId="2139A77E" w:rsidR="002158B6" w:rsidRDefault="009C00DE">
      <w:pPr>
        <w:spacing w:before="240" w:after="240"/>
      </w:pPr>
      <w:r>
        <w:t xml:space="preserve">Alexander Z. Wang, </w:t>
      </w:r>
      <w:r w:rsidRPr="003048E6">
        <w:t>BS</w:t>
      </w:r>
      <w:r w:rsidRPr="003048E6">
        <w:rPr>
          <w:vertAlign w:val="superscript"/>
        </w:rPr>
        <w:t>1</w:t>
      </w:r>
      <w:r w:rsidRPr="0096284F">
        <w:t xml:space="preserve">; </w:t>
      </w:r>
      <w:r w:rsidR="00CE146D" w:rsidRPr="0096284F">
        <w:t>Kenley Barrett</w:t>
      </w:r>
      <w:r w:rsidR="003048E6" w:rsidRPr="0096284F">
        <w:t>, PhD</w:t>
      </w:r>
      <w:r w:rsidR="003D63D5" w:rsidRPr="0096284F">
        <w:rPr>
          <w:vertAlign w:val="superscript"/>
        </w:rPr>
        <w:t>2</w:t>
      </w:r>
      <w:r w:rsidR="00CE146D" w:rsidRPr="003048E6">
        <w:t xml:space="preserve">; </w:t>
      </w:r>
      <w:r w:rsidRPr="003048E6">
        <w:t>Molly H. White, MS</w:t>
      </w:r>
      <w:r w:rsidRPr="003048E6">
        <w:rPr>
          <w:vertAlign w:val="superscript"/>
        </w:rPr>
        <w:t>2</w:t>
      </w:r>
      <w:r w:rsidRPr="003048E6">
        <w:t>, William F. Parker, MD, PhD</w:t>
      </w:r>
      <w:r w:rsidRPr="003048E6">
        <w:rPr>
          <w:vertAlign w:val="superscript"/>
        </w:rPr>
        <w:t>2,3,4</w:t>
      </w:r>
      <w:r>
        <w:rPr>
          <w:vertAlign w:val="superscript"/>
        </w:rPr>
        <w:t xml:space="preserve">                  </w:t>
      </w:r>
    </w:p>
    <w:p w14:paraId="5F2B3855" w14:textId="77777777" w:rsidR="002158B6" w:rsidRDefault="009C00DE">
      <w:pPr>
        <w:spacing w:before="240" w:after="240"/>
      </w:pPr>
      <w:r>
        <w:rPr>
          <w:vertAlign w:val="superscript"/>
        </w:rPr>
        <w:t xml:space="preserve">1 </w:t>
      </w:r>
      <w:r>
        <w:t>Pritzker School of Medicine, The University of Chicago, Chicago, IL, USA.</w:t>
      </w:r>
    </w:p>
    <w:p w14:paraId="181D0859" w14:textId="77777777" w:rsidR="002158B6" w:rsidRDefault="009C00DE">
      <w:pPr>
        <w:spacing w:before="240" w:after="240"/>
      </w:pPr>
      <w:r>
        <w:rPr>
          <w:vertAlign w:val="superscript"/>
        </w:rPr>
        <w:t>2</w:t>
      </w:r>
      <w:r>
        <w:t>Department of Medicine, The University of Chicago, Chicago, Illinois, USA.</w:t>
      </w:r>
    </w:p>
    <w:p w14:paraId="2CD5EE4A" w14:textId="77777777" w:rsidR="002158B6" w:rsidRDefault="009C00DE">
      <w:pPr>
        <w:spacing w:before="240" w:after="240"/>
      </w:pPr>
      <w:r>
        <w:rPr>
          <w:vertAlign w:val="superscript"/>
        </w:rPr>
        <w:t>3</w:t>
      </w:r>
      <w:r>
        <w:t>Department of Public Health Sciences, The University of Chicago, Chicago, IL, USA.</w:t>
      </w:r>
    </w:p>
    <w:p w14:paraId="32D8CA8B" w14:textId="2A6A97EB" w:rsidR="002158B6" w:rsidRDefault="009C00DE">
      <w:pPr>
        <w:spacing w:before="240" w:after="240"/>
      </w:pPr>
      <w:r>
        <w:rPr>
          <w:vertAlign w:val="superscript"/>
        </w:rPr>
        <w:t>4</w:t>
      </w:r>
      <w:r>
        <w:t>Department of Medicine, MacLean Center for Clinical Medical Ethics, University of Chicago, Chicago, IL.</w:t>
      </w:r>
    </w:p>
    <w:p w14:paraId="41DEF31D" w14:textId="77777777" w:rsidR="002158B6" w:rsidRDefault="009C00DE">
      <w:pPr>
        <w:spacing w:before="240" w:after="240"/>
      </w:pPr>
      <w:r>
        <w:t>Disclosures: None</w:t>
      </w:r>
    </w:p>
    <w:p w14:paraId="2121775A" w14:textId="77777777" w:rsidR="002158B6" w:rsidRDefault="009C00DE">
      <w:pPr>
        <w:spacing w:before="240" w:after="240"/>
      </w:pPr>
      <w:r>
        <w:t>Funding sources:</w:t>
      </w:r>
    </w:p>
    <w:p w14:paraId="1BEC8D0B" w14:textId="77777777" w:rsidR="002158B6" w:rsidRDefault="002158B6">
      <w:pPr>
        <w:spacing w:before="240" w:after="240"/>
      </w:pPr>
    </w:p>
    <w:p w14:paraId="5CEB8E33" w14:textId="77777777" w:rsidR="002158B6" w:rsidRDefault="009C00DE">
      <w:pPr>
        <w:spacing w:before="240" w:after="240"/>
      </w:pPr>
      <w:r>
        <w:t xml:space="preserve"> </w:t>
      </w:r>
    </w:p>
    <w:p w14:paraId="53BB2500" w14:textId="43A8DAAA" w:rsidR="002158B6" w:rsidRDefault="009C00DE">
      <w:pPr>
        <w:spacing w:before="240" w:after="240"/>
      </w:pPr>
      <w:r>
        <w:t xml:space="preserve">Word Count (Main Text):             </w:t>
      </w:r>
      <w:r>
        <w:tab/>
        <w:t xml:space="preserve">Figures/Tables:  1/4          </w:t>
      </w:r>
      <w:r>
        <w:tab/>
        <w:t>References: 23</w:t>
      </w:r>
    </w:p>
    <w:p w14:paraId="4D874F1C" w14:textId="77777777" w:rsidR="002158B6" w:rsidRDefault="009C00DE">
      <w:pPr>
        <w:ind w:left="6480"/>
        <w:jc w:val="right"/>
      </w:pPr>
      <w:r>
        <w:t xml:space="preserve"> </w:t>
      </w:r>
    </w:p>
    <w:p w14:paraId="5AF2C468" w14:textId="77777777" w:rsidR="002158B6" w:rsidRDefault="009C00DE">
      <w:pPr>
        <w:ind w:left="6480"/>
        <w:rPr>
          <w:i/>
        </w:rPr>
      </w:pPr>
      <w:r>
        <w:rPr>
          <w:i/>
        </w:rPr>
        <w:t xml:space="preserve"> </w:t>
      </w:r>
    </w:p>
    <w:p w14:paraId="2E659E74" w14:textId="77777777" w:rsidR="002158B6" w:rsidRDefault="002158B6"/>
    <w:p w14:paraId="0B7C855C" w14:textId="77777777" w:rsidR="002158B6" w:rsidRDefault="009C00DE">
      <w:pPr>
        <w:spacing w:line="480" w:lineRule="auto"/>
        <w:rPr>
          <w:b/>
        </w:rPr>
      </w:pPr>
      <w:r>
        <w:br w:type="page"/>
      </w:r>
    </w:p>
    <w:p w14:paraId="5A146063" w14:textId="77777777" w:rsidR="00CE146D" w:rsidRDefault="00CE146D" w:rsidP="00CE146D">
      <w:pPr>
        <w:jc w:val="center"/>
        <w:rPr>
          <w:b/>
        </w:rPr>
      </w:pPr>
      <w:r>
        <w:rPr>
          <w:b/>
        </w:rPr>
        <w:lastRenderedPageBreak/>
        <w:t>Abstract</w:t>
      </w:r>
    </w:p>
    <w:p w14:paraId="3E4C4857" w14:textId="77777777" w:rsidR="00D467D1" w:rsidRDefault="00CE146D" w:rsidP="00FD1D1C">
      <w:pPr>
        <w:spacing w:line="480" w:lineRule="auto"/>
        <w:rPr>
          <w:b/>
        </w:rPr>
      </w:pPr>
      <w:r>
        <w:rPr>
          <w:b/>
        </w:rPr>
        <w:t>Introduction</w:t>
      </w:r>
      <w:r w:rsidR="00FD1D1C">
        <w:rPr>
          <w:b/>
        </w:rPr>
        <w:t xml:space="preserve">. </w:t>
      </w:r>
    </w:p>
    <w:p w14:paraId="548ADA96" w14:textId="16985387" w:rsidR="00154338" w:rsidRPr="00154338" w:rsidRDefault="00C270BB" w:rsidP="00D76FB7">
      <w:pPr>
        <w:spacing w:line="480" w:lineRule="auto"/>
        <w:ind w:firstLine="720"/>
      </w:pPr>
      <w:r>
        <w:rPr>
          <w:bCs/>
        </w:rPr>
        <w:t xml:space="preserve">US </w:t>
      </w:r>
      <w:r>
        <w:t>h</w:t>
      </w:r>
      <w:r w:rsidR="00FD1D1C">
        <w:t>eart transplant candidates</w:t>
      </w:r>
      <w:r w:rsidR="00F97569">
        <w:t xml:space="preserve"> from </w:t>
      </w:r>
      <w:r w:rsidR="00FD1D1C">
        <w:t xml:space="preserve">socioeconomically disadvantaged </w:t>
      </w:r>
      <w:r w:rsidR="00F97569">
        <w:t xml:space="preserve">communities </w:t>
      </w:r>
      <w:r w:rsidR="00FD1D1C">
        <w:t>have lower access to transplant</w:t>
      </w:r>
      <w:r w:rsidR="00DD0811">
        <w:t>.</w:t>
      </w:r>
      <w:r>
        <w:t xml:space="preserve"> </w:t>
      </w:r>
      <w:r w:rsidR="00BA0733">
        <w:t>The forthcoming co</w:t>
      </w:r>
      <w:r>
        <w:t>ntinuous distribution</w:t>
      </w:r>
      <w:r w:rsidR="00BA0733">
        <w:t xml:space="preserve"> policy will provide an opportunity to directly address this disparity</w:t>
      </w:r>
      <w:r w:rsidR="00302D07">
        <w:t>,</w:t>
      </w:r>
      <w:r w:rsidR="00BA0733">
        <w:t xml:space="preserve"> but first</w:t>
      </w:r>
      <w:r w:rsidR="00302D07">
        <w:t xml:space="preserve"> the</w:t>
      </w:r>
      <w:r>
        <w:t xml:space="preserve"> </w:t>
      </w:r>
      <w:commentRangeStart w:id="0"/>
      <w:r>
        <w:t xml:space="preserve">place-based disadvantage index </w:t>
      </w:r>
      <w:commentRangeEnd w:id="0"/>
      <w:r w:rsidR="005A7723">
        <w:rPr>
          <w:rStyle w:val="CommentReference"/>
        </w:rPr>
        <w:commentReference w:id="0"/>
      </w:r>
      <w:r w:rsidR="00302D07">
        <w:t xml:space="preserve">that best captures this relationship must be determined. </w:t>
      </w:r>
      <w:r>
        <w:t xml:space="preserve"> </w:t>
      </w:r>
    </w:p>
    <w:p w14:paraId="4FAB0178" w14:textId="2BF47523" w:rsidR="005E4E6E" w:rsidRDefault="00CE146D" w:rsidP="00154338">
      <w:pPr>
        <w:spacing w:line="480" w:lineRule="auto"/>
        <w:rPr>
          <w:b/>
        </w:rPr>
      </w:pPr>
      <w:r>
        <w:rPr>
          <w:b/>
        </w:rPr>
        <w:t>Methods</w:t>
      </w:r>
      <w:r w:rsidR="000327E6">
        <w:t xml:space="preserve"> </w:t>
      </w:r>
    </w:p>
    <w:p w14:paraId="40F0AA72" w14:textId="6203E2C2" w:rsidR="00154338" w:rsidRDefault="00E6677A" w:rsidP="00D76FB7">
      <w:pPr>
        <w:spacing w:line="480" w:lineRule="auto"/>
        <w:ind w:firstLine="720"/>
        <w:rPr>
          <w:b/>
        </w:rPr>
      </w:pPr>
      <w:r>
        <w:t>We studied</w:t>
      </w:r>
      <w:r w:rsidR="00154338">
        <w:t xml:space="preserve"> all adult heart transplant</w:t>
      </w:r>
      <w:r w:rsidR="002465CB">
        <w:t xml:space="preserve"> </w:t>
      </w:r>
      <w:r>
        <w:t>candidates initially listed between</w:t>
      </w:r>
      <w:r w:rsidR="00154338">
        <w:t xml:space="preserve"> January 1, 2019 and December 31, 2022</w:t>
      </w:r>
      <w:r w:rsidR="000327E6">
        <w:t xml:space="preserve"> using the Scientific Registry of Transplant Recipients</w:t>
      </w:r>
      <w:r w:rsidR="00154338">
        <w:t>.</w:t>
      </w:r>
      <w:r w:rsidR="00C77C26">
        <w:rPr>
          <w:b/>
        </w:rPr>
        <w:t xml:space="preserve"> </w:t>
      </w:r>
      <w:r w:rsidR="004E1FCF">
        <w:rPr>
          <w:bCs/>
        </w:rPr>
        <w:t xml:space="preserve">We used </w:t>
      </w:r>
      <w:commentRangeStart w:id="1"/>
      <w:r w:rsidR="004E1FCF">
        <w:rPr>
          <w:bCs/>
        </w:rPr>
        <w:t>competing risk regression</w:t>
      </w:r>
      <w:commentRangeEnd w:id="1"/>
      <w:r w:rsidR="00F1702F">
        <w:rPr>
          <w:rStyle w:val="CommentReference"/>
        </w:rPr>
        <w:commentReference w:id="1"/>
      </w:r>
      <w:r w:rsidR="004E1FCF">
        <w:rPr>
          <w:bCs/>
        </w:rPr>
        <w:t xml:space="preserve"> </w:t>
      </w:r>
      <w:r w:rsidR="00D7721C">
        <w:rPr>
          <w:bCs/>
        </w:rPr>
        <w:t xml:space="preserve">to estimate the association of </w:t>
      </w:r>
      <w:r w:rsidR="00D7721C">
        <w:t>f</w:t>
      </w:r>
      <w:r w:rsidR="005B7BF4">
        <w:t>our</w:t>
      </w:r>
      <w:r w:rsidR="00154338">
        <w:t xml:space="preserve"> </w:t>
      </w:r>
      <w:r w:rsidR="00787920">
        <w:t>place-based disadvantage indices</w:t>
      </w:r>
      <w:commentRangeStart w:id="2"/>
      <w:r w:rsidR="0052485C">
        <w:t>, Social Vulnerability Metric (SVM), S</w:t>
      </w:r>
      <w:r w:rsidR="00D467D1">
        <w:t xml:space="preserve">ocial </w:t>
      </w:r>
      <w:r w:rsidR="0052485C">
        <w:t>V</w:t>
      </w:r>
      <w:r w:rsidR="00D467D1">
        <w:t xml:space="preserve">ulnerability </w:t>
      </w:r>
      <w:r w:rsidR="0052485C">
        <w:t>I</w:t>
      </w:r>
      <w:r w:rsidR="00D467D1">
        <w:t>ndex (SVI)</w:t>
      </w:r>
      <w:r w:rsidR="0052485C">
        <w:t>, A</w:t>
      </w:r>
      <w:r w:rsidR="00D467D1">
        <w:t xml:space="preserve">rea </w:t>
      </w:r>
      <w:r w:rsidR="0052485C">
        <w:t>D</w:t>
      </w:r>
      <w:r w:rsidR="00D467D1">
        <w:t xml:space="preserve">eprivation </w:t>
      </w:r>
      <w:r w:rsidR="0052485C">
        <w:t>I</w:t>
      </w:r>
      <w:r w:rsidR="00D467D1">
        <w:t>ndex (ADI)</w:t>
      </w:r>
      <w:r w:rsidR="0052485C">
        <w:t>, and D</w:t>
      </w:r>
      <w:r w:rsidR="0004069B">
        <w:t xml:space="preserve">istressed </w:t>
      </w:r>
      <w:r w:rsidR="0052485C">
        <w:t>C</w:t>
      </w:r>
      <w:r w:rsidR="0004069B">
        <w:t xml:space="preserve">ommunities </w:t>
      </w:r>
      <w:r w:rsidR="0052485C">
        <w:t>I</w:t>
      </w:r>
      <w:r w:rsidR="0004069B">
        <w:t>ndex (DCI)</w:t>
      </w:r>
      <w:r w:rsidR="0052485C">
        <w:t>, with 1) transplantation and 2) death or deterioration on the waiting list, adjusted for</w:t>
      </w:r>
      <w:r w:rsidR="00154338">
        <w:t xml:space="preserve"> </w:t>
      </w:r>
      <w:commentRangeEnd w:id="2"/>
      <w:r w:rsidR="00D7721C">
        <w:rPr>
          <w:rStyle w:val="CommentReference"/>
        </w:rPr>
        <w:commentReference w:id="2"/>
      </w:r>
      <w:r w:rsidR="00495EEE">
        <w:t xml:space="preserve">demographic </w:t>
      </w:r>
      <w:r w:rsidR="00871787">
        <w:t>characteristics</w:t>
      </w:r>
      <w:r w:rsidR="00495EEE">
        <w:t>,</w:t>
      </w:r>
      <w:r w:rsidR="00154338">
        <w:t xml:space="preserve"> </w:t>
      </w:r>
      <w:r w:rsidR="00794336">
        <w:t>durable left ventricular assist device (LVAD)</w:t>
      </w:r>
      <w:r w:rsidR="00154338">
        <w:t xml:space="preserve">, and initial </w:t>
      </w:r>
      <w:r w:rsidR="00AD35F5">
        <w:t xml:space="preserve">medical urgency </w:t>
      </w:r>
      <w:r w:rsidR="00154338">
        <w:t>status</w:t>
      </w:r>
      <w:r w:rsidR="00AD35F5">
        <w:t>.</w:t>
      </w:r>
      <w:r w:rsidR="003D6C31">
        <w:t xml:space="preserve"> As a sensitivity analysis, we performed the</w:t>
      </w:r>
      <w:r w:rsidR="00804BE0">
        <w:t xml:space="preserve"> same analysis, but stratified by candidate listing center. </w:t>
      </w:r>
    </w:p>
    <w:p w14:paraId="2CE70F4E" w14:textId="77777777" w:rsidR="00CE146D" w:rsidRDefault="00CE146D" w:rsidP="00A53FE5">
      <w:pPr>
        <w:spacing w:line="480" w:lineRule="auto"/>
        <w:rPr>
          <w:b/>
        </w:rPr>
      </w:pPr>
      <w:commentRangeStart w:id="3"/>
      <w:r>
        <w:rPr>
          <w:b/>
        </w:rPr>
        <w:t>Results</w:t>
      </w:r>
      <w:commentRangeEnd w:id="3"/>
      <w:r w:rsidR="00EB4EBC">
        <w:rPr>
          <w:rStyle w:val="CommentReference"/>
        </w:rPr>
        <w:commentReference w:id="3"/>
      </w:r>
    </w:p>
    <w:p w14:paraId="15A4542C" w14:textId="2B3EA3AC" w:rsidR="003724E2" w:rsidRDefault="00061880" w:rsidP="003724E2">
      <w:pPr>
        <w:spacing w:line="480" w:lineRule="auto"/>
        <w:ind w:firstLine="720"/>
      </w:pPr>
      <w:r>
        <w:t>Our final study cohort included 16,639 adult heart transplant</w:t>
      </w:r>
      <w:r w:rsidR="00C1486C">
        <w:t xml:space="preserve"> candidates</w:t>
      </w:r>
      <w:r w:rsidR="00BD4B0F">
        <w:t>.</w:t>
      </w:r>
      <w:r w:rsidR="00316A61">
        <w:t xml:space="preserve"> </w:t>
      </w:r>
      <w:r w:rsidR="00EB4EBC">
        <w:t>All four place-based disadvantage scores were associated with transplantatio</w:t>
      </w:r>
      <w:r w:rsidR="00856881">
        <w:t>n</w:t>
      </w:r>
      <w:r w:rsidR="003D6C31">
        <w:t xml:space="preserve"> to varying extents</w:t>
      </w:r>
      <w:r w:rsidR="00804BE0">
        <w:t xml:space="preserve">. </w:t>
      </w:r>
      <w:r w:rsidR="005B5CB9">
        <w:t>In our unstratified regression, w</w:t>
      </w:r>
      <w:r w:rsidR="003C0D00">
        <w:t xml:space="preserve">e found </w:t>
      </w:r>
      <w:r w:rsidR="005B5CB9">
        <w:t>increasing ADI to be most strongly associated with</w:t>
      </w:r>
      <w:r w:rsidR="00F1702F">
        <w:t xml:space="preserve"> decreasing likelihood of receiving a transplant and </w:t>
      </w:r>
    </w:p>
    <w:p w14:paraId="4DC70422" w14:textId="28A9D02F" w:rsidR="00061880" w:rsidRPr="00157EA9" w:rsidRDefault="00316A61" w:rsidP="00316A61">
      <w:pPr>
        <w:spacing w:line="480" w:lineRule="auto"/>
        <w:ind w:firstLine="720"/>
      </w:pPr>
      <w:commentRangeStart w:id="4"/>
      <w:r>
        <w:t>Candidates</w:t>
      </w:r>
      <w:r w:rsidR="00061880">
        <w:t xml:space="preserve"> in the 10th </w:t>
      </w:r>
      <w:r w:rsidR="00502138">
        <w:t xml:space="preserve">SVM </w:t>
      </w:r>
      <w:r w:rsidR="00061880">
        <w:t>decile were significantly less likely to receive transplantation</w:t>
      </w:r>
      <w:r w:rsidR="00153FFF">
        <w:t xml:space="preserve"> than </w:t>
      </w:r>
      <w:r w:rsidR="00061880">
        <w:t>candidates in the 1st decile (sub-HR=0.84,</w:t>
      </w:r>
      <w:r w:rsidR="003A44CF">
        <w:t xml:space="preserve"> </w:t>
      </w:r>
      <w:r w:rsidR="00061880">
        <w:t xml:space="preserve">p&lt;0.001). </w:t>
      </w:r>
      <w:r w:rsidR="003A44CF">
        <w:t>Candidates</w:t>
      </w:r>
      <w:r w:rsidR="00061880">
        <w:t xml:space="preserve"> in the 4th, 7th, and 9th</w:t>
      </w:r>
      <w:r w:rsidR="003A44CF">
        <w:t xml:space="preserve"> SVI</w:t>
      </w:r>
      <w:r w:rsidR="00061880">
        <w:t xml:space="preserve"> decile were significantly less likely </w:t>
      </w:r>
      <w:r w:rsidR="003A44CF">
        <w:t>to be transplanted</w:t>
      </w:r>
      <w:r w:rsidR="001671BA">
        <w:t xml:space="preserve"> </w:t>
      </w:r>
      <w:r w:rsidR="00061880">
        <w:t xml:space="preserve">(9th: sub-HR=0.82, p=0.034). </w:t>
      </w:r>
      <w:r w:rsidR="003A44CF">
        <w:t>Candidates</w:t>
      </w:r>
      <w:r w:rsidR="00061880">
        <w:t xml:space="preserve"> in the 4th through 10th ADI decile were significantly less likely to </w:t>
      </w:r>
      <w:r w:rsidR="003A44CF">
        <w:t>be transplanted</w:t>
      </w:r>
      <w:r w:rsidR="00061880">
        <w:t xml:space="preserve"> (10th: sub-HR=0.73</w:t>
      </w:r>
      <w:r w:rsidR="00AA2EBD">
        <w:t>,</w:t>
      </w:r>
      <w:r w:rsidR="00061880">
        <w:t xml:space="preserve"> p&lt;0.001). </w:t>
      </w:r>
      <w:r w:rsidR="003A44CF">
        <w:t>Candidates</w:t>
      </w:r>
      <w:r w:rsidR="00061880">
        <w:t xml:space="preserve"> in the 3rd and 10th </w:t>
      </w:r>
      <w:r w:rsidR="003A44CF">
        <w:t xml:space="preserve">DCI </w:t>
      </w:r>
      <w:r w:rsidR="00061880">
        <w:t>decile were less likely to receive</w:t>
      </w:r>
      <w:r w:rsidR="001671BA">
        <w:t xml:space="preserve"> a</w:t>
      </w:r>
      <w:r w:rsidR="00061880">
        <w:t xml:space="preserve"> transplant</w:t>
      </w:r>
      <w:r w:rsidR="00444D67">
        <w:t xml:space="preserve"> (10th: sub-HR=0.87, p=0.</w:t>
      </w:r>
      <w:commentRangeStart w:id="5"/>
      <w:commentRangeStart w:id="6"/>
      <w:r w:rsidR="00444D67">
        <w:t>006</w:t>
      </w:r>
      <w:commentRangeEnd w:id="5"/>
      <w:r w:rsidR="0094398A">
        <w:rPr>
          <w:rStyle w:val="CommentReference"/>
        </w:rPr>
        <w:commentReference w:id="5"/>
      </w:r>
      <w:commentRangeEnd w:id="6"/>
      <w:r w:rsidR="00606927">
        <w:rPr>
          <w:rStyle w:val="CommentReference"/>
        </w:rPr>
        <w:commentReference w:id="6"/>
      </w:r>
      <w:r w:rsidR="00444D67">
        <w:t>)</w:t>
      </w:r>
      <w:r w:rsidR="00061880">
        <w:t>.</w:t>
      </w:r>
      <w:commentRangeEnd w:id="4"/>
      <w:r w:rsidR="0020263C">
        <w:rPr>
          <w:rStyle w:val="CommentReference"/>
        </w:rPr>
        <w:commentReference w:id="4"/>
      </w:r>
    </w:p>
    <w:p w14:paraId="182B7DFA" w14:textId="77777777" w:rsidR="00EC63AD" w:rsidRDefault="00CE146D" w:rsidP="00A53FE5">
      <w:pPr>
        <w:spacing w:line="480" w:lineRule="auto"/>
        <w:rPr>
          <w:b/>
        </w:rPr>
      </w:pPr>
      <w:r>
        <w:rPr>
          <w:b/>
        </w:rPr>
        <w:lastRenderedPageBreak/>
        <w:t>Conclusion</w:t>
      </w:r>
    </w:p>
    <w:p w14:paraId="094C929B" w14:textId="5FA0CDDD" w:rsidR="00114C13" w:rsidRDefault="00114C13" w:rsidP="00114C13">
      <w:pPr>
        <w:spacing w:line="480" w:lineRule="auto"/>
        <w:ind w:firstLine="720"/>
      </w:pPr>
      <w:r>
        <w:t xml:space="preserve">In this study of US adult heart transplantation candidates, we found that all four place-based disadvantage indices showed </w:t>
      </w:r>
      <w:r w:rsidR="00623173">
        <w:t xml:space="preserve">that candidates from more vulnerable communities were less likely </w:t>
      </w:r>
      <w:r w:rsidR="005965E2">
        <w:t>to receive transplantation</w:t>
      </w:r>
      <w:r w:rsidR="00623173">
        <w:t xml:space="preserve"> and more likely to </w:t>
      </w:r>
      <w:r w:rsidR="008537A0">
        <w:t>be removed for death or deterioration</w:t>
      </w:r>
      <w:r>
        <w:t xml:space="preserve">. </w:t>
      </w:r>
      <w:r w:rsidR="00412E22">
        <w:t xml:space="preserve">ADI and SVI performed the best </w:t>
      </w:r>
      <w:r w:rsidR="00CD7481">
        <w:t xml:space="preserve">out of the indices we studied. </w:t>
      </w:r>
      <w:r>
        <w:t>There was significant variation between the predictive abilities of the four scores, highlighting the complexity of the relationship between social vulnerability and access to transplant</w:t>
      </w:r>
      <w:r w:rsidR="00930744">
        <w:t xml:space="preserve">. </w:t>
      </w:r>
    </w:p>
    <w:p w14:paraId="59A0E7C0" w14:textId="77777777" w:rsidR="00114C13" w:rsidRDefault="00114C13" w:rsidP="00114C13">
      <w:pPr>
        <w:rPr>
          <w:b/>
        </w:rPr>
      </w:pPr>
      <w:r>
        <w:rPr>
          <w:b/>
        </w:rPr>
        <w:br w:type="page"/>
      </w:r>
    </w:p>
    <w:p w14:paraId="4314DD42" w14:textId="7088C175" w:rsidR="002158B6" w:rsidRDefault="009C00DE">
      <w:pPr>
        <w:spacing w:line="480" w:lineRule="auto"/>
      </w:pPr>
      <w:r>
        <w:rPr>
          <w:b/>
        </w:rPr>
        <w:lastRenderedPageBreak/>
        <w:t>Introduction</w:t>
      </w:r>
    </w:p>
    <w:p w14:paraId="127907B8" w14:textId="405813BA" w:rsidR="002158B6" w:rsidRDefault="009C00DE" w:rsidP="00506784">
      <w:pPr>
        <w:spacing w:line="480" w:lineRule="auto"/>
        <w:ind w:firstLine="720"/>
      </w:pPr>
      <w:commentRangeStart w:id="7"/>
      <w:r>
        <w:t xml:space="preserve">Heart transplantation </w:t>
      </w:r>
      <w:r w:rsidR="00753A7C">
        <w:t>is the</w:t>
      </w:r>
      <w:r>
        <w:t xml:space="preserve"> gold standard treatment for end-stage heart failure</w:t>
      </w:r>
      <w:commentRangeEnd w:id="7"/>
      <w:r w:rsidR="003513F9">
        <w:rPr>
          <w:rStyle w:val="CommentReference"/>
        </w:rPr>
        <w:commentReference w:id="7"/>
      </w:r>
      <w:r>
        <w:t xml:space="preserve">. </w:t>
      </w:r>
      <w:r w:rsidR="00777781">
        <w:t>The f</w:t>
      </w:r>
      <w:r w:rsidR="00A36009">
        <w:t xml:space="preserve">ederal </w:t>
      </w:r>
      <w:r w:rsidR="00777781">
        <w:t xml:space="preserve">Final Rule for organ transplantation </w:t>
      </w:r>
      <w:r w:rsidR="00A36009">
        <w:t>state</w:t>
      </w:r>
      <w:r w:rsidR="00777781">
        <w:t>s</w:t>
      </w:r>
      <w:r w:rsidR="00A36009">
        <w:t xml:space="preserve"> that </w:t>
      </w:r>
      <w:r w:rsidR="00777781">
        <w:t xml:space="preserve">access to transplantation </w:t>
      </w:r>
      <w:r w:rsidR="00A36009">
        <w:t>“</w:t>
      </w:r>
      <w:r w:rsidR="0068197C">
        <w:t>s</w:t>
      </w:r>
      <w:r w:rsidR="00A36009">
        <w:t>hall not be based on the candidate's place of residence or place of listing”</w:t>
      </w:r>
      <w:r w:rsidR="00167CF2">
        <w:t xml:space="preserve"> except to the extent required by the logistics of organ placement</w:t>
      </w:r>
      <w:commentRangeStart w:id="8"/>
      <w:r w:rsidR="00A36009">
        <w:t>.</w:t>
      </w:r>
      <w:commentRangeEnd w:id="8"/>
      <w:r w:rsidR="00A36009">
        <w:rPr>
          <w:rStyle w:val="CommentReference"/>
        </w:rPr>
        <w:commentReference w:id="8"/>
      </w:r>
      <w:r w:rsidR="00506784">
        <w:t xml:space="preserve"> </w:t>
      </w:r>
      <w:r w:rsidR="000652A0">
        <w:t>Previous</w:t>
      </w:r>
      <w:r>
        <w:t xml:space="preserve"> work has </w:t>
      </w:r>
      <w:r w:rsidR="000652A0">
        <w:t xml:space="preserve">demonstrated how the </w:t>
      </w:r>
      <w:r>
        <w:t>current heart allocation system</w:t>
      </w:r>
      <w:r w:rsidR="000652A0">
        <w:t xml:space="preserve"> fails to satisfy this requirement</w:t>
      </w:r>
      <w:r>
        <w:t xml:space="preserve">. </w:t>
      </w:r>
      <w:r w:rsidR="000218FA">
        <w:t>P</w:t>
      </w:r>
      <w:r>
        <w:t>atients living in more</w:t>
      </w:r>
      <w:commentRangeStart w:id="9"/>
      <w:r>
        <w:t xml:space="preserve"> vulnerable </w:t>
      </w:r>
      <w:r w:rsidR="008552EE">
        <w:t xml:space="preserve">urban </w:t>
      </w:r>
      <w:r>
        <w:t>communitie</w:t>
      </w:r>
      <w:r w:rsidR="00162C9E">
        <w:t>s that are in close physical proximity to transplant centers are</w:t>
      </w:r>
      <w:r>
        <w:t xml:space="preserve"> </w:t>
      </w:r>
      <w:commentRangeEnd w:id="9"/>
      <w:r w:rsidR="00EF1AA8">
        <w:rPr>
          <w:rStyle w:val="CommentReference"/>
        </w:rPr>
        <w:commentReference w:id="9"/>
      </w:r>
      <w:r>
        <w:t>less likely to receive a heart transplant</w:t>
      </w:r>
      <w:r w:rsidR="007B49B1">
        <w:t xml:space="preserve"> and more likely to die or deteriorate on the</w:t>
      </w:r>
      <w:r>
        <w:t xml:space="preserve"> waitlist.</w:t>
      </w:r>
      <w:r>
        <w:rPr>
          <w:vertAlign w:val="superscript"/>
        </w:rPr>
        <w:t>2-7</w:t>
      </w:r>
      <w:r>
        <w:t xml:space="preserve"> </w:t>
      </w:r>
    </w:p>
    <w:p w14:paraId="4829D00C" w14:textId="5525BD36" w:rsidR="002158B6" w:rsidRDefault="009C00DE">
      <w:pPr>
        <w:spacing w:line="480" w:lineRule="auto"/>
        <w:ind w:firstLine="720"/>
      </w:pPr>
      <w:r>
        <w:t xml:space="preserve">The Organ Procurement and Transplant Network (OPTN) is currently creating a continuous distribution system for heart allocation, where candidates will be assigned priority based on </w:t>
      </w:r>
      <w:r w:rsidR="004E071E">
        <w:t>five</w:t>
      </w:r>
      <w:r>
        <w:t xml:space="preserve"> factors combined into a single composite allocation score (CAS).</w:t>
      </w:r>
      <w:r>
        <w:rPr>
          <w:vertAlign w:val="superscript"/>
        </w:rPr>
        <w:t>8,9</w:t>
      </w:r>
      <w:r>
        <w:t xml:space="preserve"> One of these CAS factors is “patient access”, highlighting equitable distribution as a priority of the new continuous distribution framework. </w:t>
      </w:r>
      <w:r w:rsidR="001E73EE">
        <w:t xml:space="preserve">Candidates could receive patient access points proportional to their place-based barrier to transplantation, enhancing the heart allocation system’s compliance with </w:t>
      </w:r>
      <w:r w:rsidR="0098207A">
        <w:t>the Final Rule.</w:t>
      </w:r>
    </w:p>
    <w:p w14:paraId="071F2AAA" w14:textId="36625704" w:rsidR="002158B6" w:rsidRDefault="00720C78">
      <w:pPr>
        <w:spacing w:line="480" w:lineRule="auto"/>
        <w:ind w:firstLine="720"/>
      </w:pPr>
      <w:r>
        <w:t xml:space="preserve">There are several established place-based disadvantage indices that rely on different data sources and have different minimum geographic units. </w:t>
      </w:r>
      <w:r w:rsidR="00544DF4">
        <w:t xml:space="preserve">The place-disadvantage index that best captures the relationship between </w:t>
      </w:r>
      <w:r w:rsidR="0023365F">
        <w:t>socioeconomic</w:t>
      </w:r>
      <w:r w:rsidR="00544DF4">
        <w:t xml:space="preserve"> </w:t>
      </w:r>
      <w:r w:rsidR="0023365F">
        <w:t>barriers</w:t>
      </w:r>
      <w:r w:rsidR="00544DF4">
        <w:t xml:space="preserve"> to transplant for candidates</w:t>
      </w:r>
      <w:r w:rsidR="004C43A6">
        <w:t xml:space="preserve"> is unknown. In this manuscript, w</w:t>
      </w:r>
      <w:r w:rsidR="006503FB">
        <w:t>e compare</w:t>
      </w:r>
      <w:r w:rsidR="009C00DE">
        <w:t xml:space="preserve"> </w:t>
      </w:r>
      <w:r w:rsidR="00141184">
        <w:t>four</w:t>
      </w:r>
      <w:r w:rsidR="009C00DE">
        <w:t xml:space="preserve"> </w:t>
      </w:r>
      <w:commentRangeStart w:id="10"/>
      <w:r w:rsidR="00A35D31">
        <w:t xml:space="preserve">place-based disadvantage </w:t>
      </w:r>
      <w:r w:rsidR="00673939">
        <w:t>indices</w:t>
      </w:r>
      <w:r w:rsidR="009C00DE">
        <w:t xml:space="preserve"> </w:t>
      </w:r>
      <w:commentRangeEnd w:id="10"/>
      <w:r w:rsidR="00442D31">
        <w:rPr>
          <w:rStyle w:val="CommentReference"/>
        </w:rPr>
        <w:commentReference w:id="10"/>
      </w:r>
      <w:r w:rsidR="009C00DE">
        <w:t xml:space="preserve">in their ability to predict </w:t>
      </w:r>
      <w:r w:rsidR="006503FB">
        <w:t>heart transplant waitlist outcomes</w:t>
      </w:r>
      <w:r w:rsidR="00D875F2">
        <w:t xml:space="preserve">, providing insight into how </w:t>
      </w:r>
      <w:r w:rsidR="00673939">
        <w:t>these indices</w:t>
      </w:r>
      <w:r w:rsidR="00D875F2">
        <w:t xml:space="preserve"> can be used to promote equitable distribution in the forthcoming allocation system.</w:t>
      </w:r>
    </w:p>
    <w:p w14:paraId="1DCCDE51" w14:textId="77777777" w:rsidR="00BB7BC1" w:rsidRDefault="00BB7BC1">
      <w:pPr>
        <w:spacing w:line="480" w:lineRule="auto"/>
        <w:ind w:firstLine="720"/>
      </w:pPr>
    </w:p>
    <w:p w14:paraId="51B4681D" w14:textId="77777777" w:rsidR="002158B6" w:rsidRDefault="009C00DE">
      <w:pPr>
        <w:spacing w:line="480" w:lineRule="auto"/>
        <w:rPr>
          <w:b/>
        </w:rPr>
      </w:pPr>
      <w:r>
        <w:rPr>
          <w:b/>
        </w:rPr>
        <w:t>Methods</w:t>
      </w:r>
    </w:p>
    <w:p w14:paraId="110B0EC2" w14:textId="77777777" w:rsidR="002158B6" w:rsidRPr="00224041" w:rsidRDefault="009C00DE">
      <w:pPr>
        <w:spacing w:line="480" w:lineRule="auto"/>
        <w:rPr>
          <w:bCs/>
          <w:i/>
          <w:iCs/>
        </w:rPr>
      </w:pPr>
      <w:r w:rsidRPr="00224041">
        <w:rPr>
          <w:bCs/>
          <w:i/>
          <w:iCs/>
        </w:rPr>
        <w:t>Data Source and Study Population</w:t>
      </w:r>
    </w:p>
    <w:p w14:paraId="4369DE1A" w14:textId="4C3FA295" w:rsidR="00A36365" w:rsidRDefault="00D650BF">
      <w:pPr>
        <w:spacing w:line="480" w:lineRule="auto"/>
        <w:ind w:firstLine="720"/>
      </w:pPr>
      <w:r w:rsidRPr="00D650BF">
        <w:lastRenderedPageBreak/>
        <w:t>This study used data from the Scientific Registry of Transplant Recipients (SRTR). The SRTR data system includes data on all donors, wait-listed candidates, and transplant recipients in the US, submitted by the members of the OPTN.</w:t>
      </w:r>
    </w:p>
    <w:p w14:paraId="2ABC8483" w14:textId="3B270F39" w:rsidR="002158B6" w:rsidRDefault="009C00DE" w:rsidP="00224041">
      <w:pPr>
        <w:spacing w:line="480" w:lineRule="auto"/>
        <w:ind w:firstLine="720"/>
      </w:pPr>
      <w:r>
        <w:t>The study cohort included all adult</w:t>
      </w:r>
      <w:r w:rsidR="006440CD">
        <w:t xml:space="preserve"> (≥18 years old at listing)</w:t>
      </w:r>
      <w:r>
        <w:t xml:space="preserve"> heart transplant candidates with initial listing between January 1, 2019 and December 31, 2022. </w:t>
      </w:r>
      <w:r w:rsidR="0009451F">
        <w:t>Combined heart-lung transplant candidates were excluded, but candidates for other multi-organ transplants were include</w:t>
      </w:r>
      <w:commentRangeStart w:id="11"/>
      <w:commentRangeStart w:id="12"/>
      <w:r w:rsidR="0009451F">
        <w:t>d.</w:t>
      </w:r>
      <w:commentRangeEnd w:id="11"/>
      <w:r w:rsidR="001922CE">
        <w:rPr>
          <w:rStyle w:val="CommentReference"/>
        </w:rPr>
        <w:commentReference w:id="11"/>
      </w:r>
      <w:commentRangeEnd w:id="12"/>
      <w:r w:rsidR="00192BF0">
        <w:rPr>
          <w:rStyle w:val="CommentReference"/>
        </w:rPr>
        <w:commentReference w:id="12"/>
      </w:r>
      <w:r w:rsidR="005C2932">
        <w:t xml:space="preserve"> </w:t>
      </w:r>
    </w:p>
    <w:p w14:paraId="1D3456B4" w14:textId="77777777" w:rsidR="002158B6" w:rsidRDefault="009C00DE">
      <w:pPr>
        <w:spacing w:line="480" w:lineRule="auto"/>
      </w:pPr>
      <w:r>
        <w:tab/>
        <w:t>This study uses deidentified patient data and was granted an exemption by the Institutional Review Board at the University of Chicago.</w:t>
      </w:r>
    </w:p>
    <w:p w14:paraId="7BEF0B4F" w14:textId="77777777" w:rsidR="002158B6" w:rsidRPr="001B79B0" w:rsidRDefault="009C00DE">
      <w:pPr>
        <w:spacing w:line="480" w:lineRule="auto"/>
        <w:rPr>
          <w:bCs/>
          <w:i/>
          <w:iCs/>
        </w:rPr>
      </w:pPr>
      <w:r w:rsidRPr="00224041">
        <w:rPr>
          <w:bCs/>
          <w:i/>
          <w:iCs/>
        </w:rPr>
        <w:t>Primary Outcome: Heart Transplantation</w:t>
      </w:r>
    </w:p>
    <w:p w14:paraId="1C91C053" w14:textId="569AB07F" w:rsidR="002158B6" w:rsidRDefault="009C00DE">
      <w:pPr>
        <w:spacing w:line="480" w:lineRule="auto"/>
      </w:pPr>
      <w:r>
        <w:rPr>
          <w:b/>
        </w:rPr>
        <w:tab/>
      </w:r>
      <w:commentRangeStart w:id="13"/>
      <w:r w:rsidRPr="00876D24">
        <w:rPr>
          <w:highlight w:val="yellow"/>
        </w:rPr>
        <w:t>The primary event of interest was heart transplantation. Candidate death or removal from the waitlist due to deterioration served as a competing event</w:t>
      </w:r>
      <w:r w:rsidR="002D1456" w:rsidRPr="00876D24">
        <w:rPr>
          <w:highlight w:val="yellow"/>
        </w:rPr>
        <w:t>.</w:t>
      </w:r>
      <w:r w:rsidR="00655D20">
        <w:t xml:space="preserve"> </w:t>
      </w:r>
      <w:r w:rsidR="00A60CDC">
        <w:t>Time to event for each candidate was defined as time from initial listing to first event.</w:t>
      </w:r>
      <w:r w:rsidR="00655D20">
        <w:t xml:space="preserve"> </w:t>
      </w:r>
      <w:r w:rsidRPr="00876D24">
        <w:rPr>
          <w:highlight w:val="yellow"/>
        </w:rPr>
        <w:t>Candidate</w:t>
      </w:r>
      <w:r w:rsidR="00876D24" w:rsidRPr="00876D24">
        <w:rPr>
          <w:highlight w:val="yellow"/>
        </w:rPr>
        <w:t>s</w:t>
      </w:r>
      <w:r w:rsidRPr="00876D24">
        <w:rPr>
          <w:highlight w:val="yellow"/>
        </w:rPr>
        <w:t xml:space="preserve"> that were removed from the waitlist for other reasons or were still on the waitlist as of March 2024 were censored. </w:t>
      </w:r>
      <w:commentRangeEnd w:id="13"/>
      <w:r w:rsidR="00175005" w:rsidRPr="00876D24">
        <w:rPr>
          <w:rStyle w:val="CommentReference"/>
          <w:highlight w:val="yellow"/>
        </w:rPr>
        <w:commentReference w:id="13"/>
      </w:r>
    </w:p>
    <w:p w14:paraId="09106458" w14:textId="77777777" w:rsidR="00E7375C" w:rsidRDefault="00E7375C">
      <w:pPr>
        <w:spacing w:line="480" w:lineRule="auto"/>
      </w:pPr>
    </w:p>
    <w:p w14:paraId="1E8BF5EA" w14:textId="3FAA1FBB" w:rsidR="002158B6" w:rsidRDefault="007551AD">
      <w:pPr>
        <w:spacing w:line="480" w:lineRule="auto"/>
        <w:rPr>
          <w:b/>
        </w:rPr>
      </w:pPr>
      <w:r>
        <w:rPr>
          <w:b/>
        </w:rPr>
        <w:t>Place-</w:t>
      </w:r>
      <w:r w:rsidR="00235636">
        <w:rPr>
          <w:b/>
        </w:rPr>
        <w:t>B</w:t>
      </w:r>
      <w:r>
        <w:rPr>
          <w:b/>
        </w:rPr>
        <w:t xml:space="preserve">ased </w:t>
      </w:r>
      <w:r w:rsidR="00235636">
        <w:rPr>
          <w:b/>
        </w:rPr>
        <w:t>D</w:t>
      </w:r>
      <w:r>
        <w:rPr>
          <w:b/>
        </w:rPr>
        <w:t xml:space="preserve">isadvantage </w:t>
      </w:r>
      <w:r w:rsidR="00235636">
        <w:rPr>
          <w:b/>
        </w:rPr>
        <w:t>Ind</w:t>
      </w:r>
      <w:r>
        <w:rPr>
          <w:b/>
        </w:rPr>
        <w:t>ices</w:t>
      </w:r>
      <w:r w:rsidR="009C00DE">
        <w:rPr>
          <w:b/>
        </w:rPr>
        <w:t xml:space="preserve"> and Covariates</w:t>
      </w:r>
    </w:p>
    <w:p w14:paraId="7A65C99A" w14:textId="36CB4A0C" w:rsidR="002158B6" w:rsidRDefault="009C00DE">
      <w:pPr>
        <w:spacing w:line="480" w:lineRule="auto"/>
        <w:ind w:firstLine="720"/>
      </w:pPr>
      <w:r>
        <w:t xml:space="preserve">Candidates were assigned </w:t>
      </w:r>
      <w:r w:rsidR="00B0340E">
        <w:t>place-based disadvantage ind</w:t>
      </w:r>
      <w:r w:rsidR="00FE4284">
        <w:t>ex values</w:t>
      </w:r>
      <w:r w:rsidR="00B0340E">
        <w:t xml:space="preserve"> </w:t>
      </w:r>
      <w:r>
        <w:t>based on their permanent ZIP code address. We compared four different</w:t>
      </w:r>
      <w:r w:rsidR="009B1F85">
        <w:t xml:space="preserve"> place-based disadvantage indices as</w:t>
      </w:r>
      <w:r w:rsidR="00642FBB">
        <w:t xml:space="preserve"> proxies for </w:t>
      </w:r>
      <w:r>
        <w:t xml:space="preserve">the social determinants of health (SDoH): Social Vulnerability Metric (SVM), Social Vulnerability Index (SVI), Area Deprivation Index (ADI), and Distressed Communities Index (DCI). </w:t>
      </w:r>
    </w:p>
    <w:p w14:paraId="2DF4109B" w14:textId="6D5C5E33" w:rsidR="002158B6" w:rsidRDefault="009C00DE" w:rsidP="00557888">
      <w:pPr>
        <w:spacing w:line="480" w:lineRule="auto"/>
        <w:ind w:firstLine="720"/>
      </w:pPr>
      <w:r>
        <w:t>SVI</w:t>
      </w:r>
      <w:r>
        <w:rPr>
          <w:vertAlign w:val="superscript"/>
        </w:rPr>
        <w:t xml:space="preserve"> 3,4,11</w:t>
      </w:r>
      <w:r>
        <w:t>, ADI</w:t>
      </w:r>
      <w:r>
        <w:rPr>
          <w:vertAlign w:val="superscript"/>
        </w:rPr>
        <w:t>12-14</w:t>
      </w:r>
      <w:r>
        <w:t>, and DCI</w:t>
      </w:r>
      <w:r>
        <w:rPr>
          <w:vertAlign w:val="superscript"/>
        </w:rPr>
        <w:t xml:space="preserve"> 2</w:t>
      </w:r>
      <w:r>
        <w:t xml:space="preserve"> have all been previously utilized as measures of SDoH in solid organ transplantation studies. SVM is </w:t>
      </w:r>
      <w:commentRangeStart w:id="14"/>
      <w:r>
        <w:t xml:space="preserve">a relatively newer model, </w:t>
      </w:r>
      <w:r w:rsidR="008C7ACD">
        <w:t xml:space="preserve">that was </w:t>
      </w:r>
      <w:r w:rsidR="008C7ACD" w:rsidRPr="008C7ACD">
        <w:t xml:space="preserve">derived from a large set of SDoH variables from multiple nationally representative public use administrative databases using </w:t>
      </w:r>
      <w:r w:rsidR="0031386B">
        <w:t>M</w:t>
      </w:r>
      <w:r w:rsidR="0031386B" w:rsidRPr="0031386B">
        <w:t>ultidimensional Item Response Theory (MIRT</w:t>
      </w:r>
      <w:r w:rsidR="0031386B">
        <w:t>)</w:t>
      </w:r>
      <w:r w:rsidR="00557888">
        <w:t>. Th</w:t>
      </w:r>
      <w:r w:rsidR="0031386B">
        <w:t>is</w:t>
      </w:r>
      <w:r w:rsidR="00557888">
        <w:t xml:space="preserve"> robust statistical metho</w:t>
      </w:r>
      <w:r w:rsidR="0031386B">
        <w:t>dology</w:t>
      </w:r>
      <w:r>
        <w:t xml:space="preserve"> has shown promise as a potential improvement over existing </w:t>
      </w:r>
      <w:r w:rsidR="00C51AB5">
        <w:t>p</w:t>
      </w:r>
      <w:r w:rsidR="00A35D31">
        <w:t xml:space="preserve">lace-based </w:t>
      </w:r>
      <w:r w:rsidR="00A35D31">
        <w:lastRenderedPageBreak/>
        <w:t>disadvantage ind</w:t>
      </w:r>
      <w:r w:rsidR="00C51AB5">
        <w:t>ices</w:t>
      </w:r>
      <w:r w:rsidR="00E9241D">
        <w:t>.</w:t>
      </w:r>
      <w:commentRangeEnd w:id="14"/>
      <w:r w:rsidR="007F55E4">
        <w:rPr>
          <w:rStyle w:val="CommentReference"/>
        </w:rPr>
        <w:commentReference w:id="14"/>
      </w:r>
      <w:commentRangeStart w:id="15"/>
      <w:r>
        <w:rPr>
          <w:vertAlign w:val="superscript"/>
        </w:rPr>
        <w:t>15</w:t>
      </w:r>
      <w:r>
        <w:t xml:space="preserve"> </w:t>
      </w:r>
      <w:commentRangeEnd w:id="15"/>
      <w:r w:rsidR="00E15BA5">
        <w:rPr>
          <w:rStyle w:val="CommentReference"/>
        </w:rPr>
        <w:commentReference w:id="15"/>
      </w:r>
      <w:r>
        <w:t>The 2022 version of SVI calculated from census tracts was accessed via the US Department of Health and Human Services.</w:t>
      </w:r>
      <w:r>
        <w:rPr>
          <w:vertAlign w:val="superscript"/>
        </w:rPr>
        <w:t>16</w:t>
      </w:r>
      <w:r>
        <w:t xml:space="preserve"> The 2021 version of ADI was accessed via the University of Wisconsin School of Medicine and Public Health.</w:t>
      </w:r>
      <w:r>
        <w:rPr>
          <w:vertAlign w:val="superscript"/>
        </w:rPr>
        <w:t>14</w:t>
      </w:r>
      <w:r>
        <w:t xml:space="preserve"> </w:t>
      </w:r>
      <w:r w:rsidR="00B16D6F">
        <w:t xml:space="preserve">The </w:t>
      </w:r>
      <w:r>
        <w:t>2021 version of DCI was purchased through the Economic Innovation Group.</w:t>
      </w:r>
      <w:r>
        <w:rPr>
          <w:vertAlign w:val="superscript"/>
        </w:rPr>
        <w:t>17</w:t>
      </w:r>
    </w:p>
    <w:p w14:paraId="072DE74C" w14:textId="005E6390" w:rsidR="002158B6" w:rsidRDefault="00D7512D">
      <w:pPr>
        <w:spacing w:line="480" w:lineRule="auto"/>
        <w:ind w:firstLine="720"/>
        <w:rPr>
          <w:highlight w:val="yellow"/>
          <w:vertAlign w:val="superscript"/>
        </w:rPr>
      </w:pPr>
      <w:commentRangeStart w:id="16"/>
      <w:r>
        <w:t>We scaled e</w:t>
      </w:r>
      <w:r w:rsidR="009C00DE">
        <w:t xml:space="preserve">ach composite </w:t>
      </w:r>
      <w:r w:rsidR="00715187">
        <w:t>index</w:t>
      </w:r>
      <w:r w:rsidR="009C00DE">
        <w:t xml:space="preserve"> into national percentiles</w:t>
      </w:r>
      <w:commentRangeEnd w:id="16"/>
      <w:r>
        <w:rPr>
          <w:rStyle w:val="CommentReference"/>
        </w:rPr>
        <w:commentReference w:id="16"/>
      </w:r>
      <w:r w:rsidR="00E852F4">
        <w:t>,</w:t>
      </w:r>
      <w:r w:rsidR="009C00DE">
        <w:t xml:space="preserve"> and candidates were assigned percentile values for each of these </w:t>
      </w:r>
      <w:r w:rsidR="00E60E06">
        <w:t xml:space="preserve">place-based </w:t>
      </w:r>
      <w:r w:rsidR="00DD479F">
        <w:t xml:space="preserve">disadvantage </w:t>
      </w:r>
      <w:r w:rsidR="00FE4284">
        <w:t>indices</w:t>
      </w:r>
      <w:r w:rsidR="009C00DE">
        <w:t xml:space="preserve"> based on their permanent ZIP code. For ADI and SVI, </w:t>
      </w:r>
      <w:r w:rsidR="00C51AB5">
        <w:t xml:space="preserve">we used </w:t>
      </w:r>
      <w:r w:rsidR="009C00DE">
        <w:t xml:space="preserve">crosswalk files from the Department of Housing and Urban Development to assign </w:t>
      </w:r>
      <w:r w:rsidR="00715187">
        <w:t>index values</w:t>
      </w:r>
      <w:r w:rsidR="009C00DE">
        <w:t xml:space="preserve"> calculated from census tracts (11-digit FIPS code) to a candidate’s permanent 5-digit ZIP code.</w:t>
      </w:r>
      <w:r w:rsidR="009C00DE">
        <w:rPr>
          <w:vertAlign w:val="superscript"/>
        </w:rPr>
        <w:t>18</w:t>
      </w:r>
      <w:r w:rsidR="009C00DE">
        <w:t xml:space="preserve"> Because a given 5-digit ZIP code may be divided between multiple census tracts, we took the mean ADI and SVI value for each 5-digit ZIP code.</w:t>
      </w:r>
    </w:p>
    <w:p w14:paraId="68341C1E" w14:textId="77777777" w:rsidR="002158B6" w:rsidRDefault="009C00DE">
      <w:pPr>
        <w:spacing w:line="480" w:lineRule="auto"/>
        <w:rPr>
          <w:b/>
        </w:rPr>
      </w:pPr>
      <w:r>
        <w:rPr>
          <w:b/>
        </w:rPr>
        <w:t>Statistical Analysis</w:t>
      </w:r>
    </w:p>
    <w:p w14:paraId="322788DC" w14:textId="10205BD8" w:rsidR="002158B6" w:rsidRDefault="009C00DE" w:rsidP="003D63D5">
      <w:pPr>
        <w:spacing w:line="480" w:lineRule="auto"/>
        <w:ind w:firstLine="720"/>
      </w:pPr>
      <w:r>
        <w:t xml:space="preserve">For each </w:t>
      </w:r>
      <w:r w:rsidR="00DD479F">
        <w:t>p</w:t>
      </w:r>
      <w:r w:rsidR="00A35D31">
        <w:t>lace-based disadvantage index</w:t>
      </w:r>
      <w:r>
        <w:t xml:space="preserve">, we performed a </w:t>
      </w:r>
      <w:commentRangeStart w:id="17"/>
      <w:r w:rsidR="00655D20">
        <w:t xml:space="preserve">competing risk regression </w:t>
      </w:r>
      <w:commentRangeEnd w:id="17"/>
      <w:r w:rsidR="000B542F">
        <w:rPr>
          <w:rStyle w:val="CommentReference"/>
        </w:rPr>
        <w:commentReference w:id="17"/>
      </w:r>
      <w:r w:rsidR="00655D20">
        <w:t>model</w:t>
      </w:r>
      <w:r w:rsidR="00B13B37">
        <w:t xml:space="preserve"> with </w:t>
      </w:r>
      <w:r w:rsidR="007D207E">
        <w:t xml:space="preserve">the </w:t>
      </w:r>
      <w:r w:rsidR="00715187">
        <w:t xml:space="preserve">index </w:t>
      </w:r>
      <w:r w:rsidR="00594B7C">
        <w:t>of interest</w:t>
      </w:r>
      <w:r w:rsidR="007D207E">
        <w:t xml:space="preserve"> </w:t>
      </w:r>
      <w:r>
        <w:t>split by decile</w:t>
      </w:r>
      <w:r w:rsidR="00594B7C">
        <w:t xml:space="preserve"> (categorical variable)</w:t>
      </w:r>
      <w:r w:rsidR="007D207E">
        <w:t xml:space="preserve">. </w:t>
      </w:r>
      <w:r w:rsidR="000D7DF5">
        <w:t>We included age, sex, race and ethnicity, ventricular assist devices (durable LVAD, temporary LVAD, RVAD, LVAD+RVAD, total artificial heart), and initial status (1-6) of candidates as covariates.</w:t>
      </w:r>
      <w:r w:rsidR="00C51AB5">
        <w:t xml:space="preserve"> We categorized</w:t>
      </w:r>
      <w:r w:rsidR="000D7DF5">
        <w:t xml:space="preserve"> </w:t>
      </w:r>
      <w:r w:rsidR="00C51AB5">
        <w:t>r</w:t>
      </w:r>
      <w:r w:rsidR="000D7DF5">
        <w:t>ace as “White”, “Black or African American”, “American Indian or Alaska Native”, “Asian”, “Native Hawaiian or Other Pacific Islander”, “Arab or Middle Eastern”, or “Other”</w:t>
      </w:r>
      <w:r w:rsidR="00C84F18">
        <w:t xml:space="preserve"> and ethnicity as </w:t>
      </w:r>
      <w:r w:rsidR="000D7DF5">
        <w:t>“</w:t>
      </w:r>
      <w:r w:rsidR="00D76FB7">
        <w:t>Latinx</w:t>
      </w:r>
      <w:r w:rsidR="000D7DF5">
        <w:t xml:space="preserve">” or “Not </w:t>
      </w:r>
      <w:r w:rsidR="00D01259">
        <w:t>Latinx</w:t>
      </w:r>
      <w:r w:rsidR="000D7DF5">
        <w:t xml:space="preserve">”. Descriptions of device categorization can be found </w:t>
      </w:r>
      <w:r w:rsidR="000D7DF5" w:rsidRPr="00006620">
        <w:t xml:space="preserve">in Supplemental Table </w:t>
      </w:r>
      <w:commentRangeStart w:id="18"/>
      <w:r w:rsidR="000D7DF5" w:rsidRPr="00006620">
        <w:t>1</w:t>
      </w:r>
      <w:commentRangeEnd w:id="18"/>
      <w:r w:rsidR="00311737" w:rsidRPr="00006620">
        <w:rPr>
          <w:rStyle w:val="CommentReference"/>
        </w:rPr>
        <w:commentReference w:id="18"/>
      </w:r>
      <w:r w:rsidR="000D7DF5" w:rsidRPr="00006620">
        <w:t xml:space="preserve">. </w:t>
      </w:r>
    </w:p>
    <w:p w14:paraId="7DA3AC06" w14:textId="6C32D945" w:rsidR="00C711DA" w:rsidRDefault="002A0531" w:rsidP="00553F4A">
      <w:pPr>
        <w:spacing w:line="480" w:lineRule="auto"/>
        <w:ind w:firstLine="720"/>
      </w:pPr>
      <w:r>
        <w:t xml:space="preserve">In a second set of calculations, </w:t>
      </w:r>
      <w:r w:rsidR="002F3D48">
        <w:t>we</w:t>
      </w:r>
      <w:r w:rsidR="009C00DE">
        <w:t xml:space="preserve"> </w:t>
      </w:r>
      <w:r w:rsidR="00401835">
        <w:t xml:space="preserve">also </w:t>
      </w:r>
      <w:r w:rsidR="009C00DE">
        <w:t xml:space="preserve">modeled the cause-specific hazard ratio of transplantation </w:t>
      </w:r>
      <w:r w:rsidR="004249FD">
        <w:t xml:space="preserve">and death or </w:t>
      </w:r>
      <w:r w:rsidR="000C3B37">
        <w:t xml:space="preserve">deterioration </w:t>
      </w:r>
      <w:r w:rsidR="00140480">
        <w:t xml:space="preserve">using </w:t>
      </w:r>
      <w:r w:rsidR="004249FD" w:rsidRPr="0034494C">
        <w:rPr>
          <w:highlight w:val="yellow"/>
        </w:rPr>
        <w:t xml:space="preserve">mixed-effects </w:t>
      </w:r>
      <w:r w:rsidR="00140480" w:rsidRPr="0034494C">
        <w:rPr>
          <w:highlight w:val="yellow"/>
        </w:rPr>
        <w:t>Cox proportional hazard model</w:t>
      </w:r>
      <w:r w:rsidR="000C3B37">
        <w:t>s</w:t>
      </w:r>
      <w:r w:rsidR="00140480">
        <w:t xml:space="preserve"> </w:t>
      </w:r>
      <w:r w:rsidR="009C00DE">
        <w:t>for each</w:t>
      </w:r>
      <w:r w:rsidR="00715187">
        <w:t xml:space="preserve"> index </w:t>
      </w:r>
      <w:r w:rsidR="009C00DE">
        <w:t>percentile (as a continuous variable</w:t>
      </w:r>
      <w:r w:rsidR="00140480">
        <w:t xml:space="preserve">) </w:t>
      </w:r>
      <w:r w:rsidR="005C1071">
        <w:t>using</w:t>
      </w:r>
      <w:r w:rsidR="00B33FF7">
        <w:t xml:space="preserve"> </w:t>
      </w:r>
      <w:r w:rsidR="00140480">
        <w:t xml:space="preserve">a </w:t>
      </w:r>
      <w:r w:rsidR="009C00DE">
        <w:t>restricted cubic spline with 5 knots (5th, 27.5th, 50th, 72.5th, and 95th percentile).</w:t>
      </w:r>
      <w:r w:rsidR="00553F4A">
        <w:t xml:space="preserve"> </w:t>
      </w:r>
      <w:r w:rsidR="00655D20" w:rsidRPr="00876D24">
        <w:rPr>
          <w:highlight w:val="yellow"/>
        </w:rPr>
        <w:t xml:space="preserve">To determine cause-specific hazard of transplantation, candidates were censored at time of death or deterioration. To determine cause-specific hazard of death or deterioration, candidates were censored at time of </w:t>
      </w:r>
      <w:r w:rsidR="00655D20" w:rsidRPr="00876D24">
        <w:rPr>
          <w:highlight w:val="yellow"/>
        </w:rPr>
        <w:lastRenderedPageBreak/>
        <w:t>transplantation.</w:t>
      </w:r>
      <w:r w:rsidR="00553F4A">
        <w:t xml:space="preserve"> </w:t>
      </w:r>
      <w:r w:rsidR="00F93801">
        <w:t xml:space="preserve">We also used an unadjusted logistic regression to model </w:t>
      </w:r>
      <w:r w:rsidR="00E667CB">
        <w:t xml:space="preserve">the association between durable LVAD usage and </w:t>
      </w:r>
      <w:r w:rsidR="00C84F18">
        <w:t>p</w:t>
      </w:r>
      <w:r w:rsidR="00A35D31">
        <w:t>lace-based disadvantage index</w:t>
      </w:r>
      <w:r w:rsidR="00E667CB">
        <w:t xml:space="preserve"> percentile (continuous </w:t>
      </w:r>
      <w:commentRangeStart w:id="19"/>
      <w:r w:rsidR="00E667CB">
        <w:t>variable</w:t>
      </w:r>
      <w:commentRangeEnd w:id="19"/>
      <w:r w:rsidR="00311737">
        <w:rPr>
          <w:rStyle w:val="CommentReference"/>
        </w:rPr>
        <w:commentReference w:id="19"/>
      </w:r>
      <w:r w:rsidR="00E667CB">
        <w:t xml:space="preserve">). </w:t>
      </w:r>
      <w:r w:rsidR="009C00DE">
        <w:t xml:space="preserve">The 50th percentile for each </w:t>
      </w:r>
      <w:r w:rsidR="00C84F18">
        <w:t>p</w:t>
      </w:r>
      <w:r w:rsidR="00A35D31">
        <w:t>lace-based disadvantage index</w:t>
      </w:r>
      <w:r w:rsidR="009C00DE">
        <w:t xml:space="preserve"> was set as the reference. </w:t>
      </w:r>
      <w:r w:rsidR="009C00DE" w:rsidRPr="0034494C">
        <w:rPr>
          <w:highlight w:val="yellow"/>
        </w:rPr>
        <w:t xml:space="preserve">The fit of each </w:t>
      </w:r>
      <w:r w:rsidR="00715187">
        <w:rPr>
          <w:highlight w:val="yellow"/>
        </w:rPr>
        <w:t>index</w:t>
      </w:r>
      <w:r w:rsidR="009C00DE" w:rsidRPr="0034494C">
        <w:rPr>
          <w:highlight w:val="yellow"/>
        </w:rPr>
        <w:t xml:space="preserve"> was evaluated using the area under the receiver operating characteristic curve (AUC) and c-index.</w:t>
      </w:r>
      <w:r w:rsidR="009C00DE">
        <w:t xml:space="preserve"> </w:t>
      </w:r>
      <w:commentRangeStart w:id="20"/>
      <w:commentRangeStart w:id="21"/>
    </w:p>
    <w:p w14:paraId="4CF8704C" w14:textId="14048505" w:rsidR="00C711DA" w:rsidRPr="0034494C" w:rsidRDefault="00C711DA" w:rsidP="0034494C">
      <w:pPr>
        <w:spacing w:line="480" w:lineRule="auto"/>
        <w:rPr>
          <w:i/>
          <w:iCs/>
        </w:rPr>
      </w:pPr>
      <w:r>
        <w:rPr>
          <w:i/>
          <w:iCs/>
        </w:rPr>
        <w:t>Sensitivity analyses</w:t>
      </w:r>
      <w:commentRangeEnd w:id="20"/>
      <w:r w:rsidR="00EF4813">
        <w:rPr>
          <w:rStyle w:val="CommentReference"/>
        </w:rPr>
        <w:commentReference w:id="20"/>
      </w:r>
      <w:commentRangeEnd w:id="21"/>
      <w:r w:rsidR="00E5734A">
        <w:rPr>
          <w:rStyle w:val="CommentReference"/>
        </w:rPr>
        <w:commentReference w:id="21"/>
      </w:r>
    </w:p>
    <w:p w14:paraId="57889A58" w14:textId="2ADAA3E4" w:rsidR="00196C25" w:rsidRDefault="0091481F" w:rsidP="007D4AEC">
      <w:pPr>
        <w:spacing w:line="480" w:lineRule="auto"/>
        <w:ind w:firstLine="720"/>
      </w:pPr>
      <w:r w:rsidRPr="00006620">
        <w:t>As</w:t>
      </w:r>
      <w:r>
        <w:t xml:space="preserve"> a sensitivity analysis for </w:t>
      </w:r>
      <w:r w:rsidR="00715187">
        <w:t>each index</w:t>
      </w:r>
      <w:r>
        <w:t xml:space="preserve">, we also performed competing risk regression with place-based disadvantage index deciles with all previously mentioned covariates, stratified by the transplant center where each candidate was waitlisted </w:t>
      </w:r>
      <w:r w:rsidRPr="001D39A8">
        <w:rPr>
          <w:highlight w:val="yellow"/>
        </w:rPr>
        <w:t>(Supplemental Table 2)</w:t>
      </w:r>
      <w:r>
        <w:t>.</w:t>
      </w:r>
    </w:p>
    <w:p w14:paraId="4EFF0E41" w14:textId="77777777" w:rsidR="002158B6" w:rsidRDefault="009C00DE">
      <w:pPr>
        <w:spacing w:line="480" w:lineRule="auto"/>
      </w:pPr>
      <w:r>
        <w:tab/>
        <w:t xml:space="preserve">Statistical significance was set at 2-tailed p &lt; 0.05. All analyses were performed using R version 4.4.0 (R Foundation for Statistical Computing). </w:t>
      </w:r>
    </w:p>
    <w:p w14:paraId="29D2B672" w14:textId="77777777" w:rsidR="002158B6" w:rsidRDefault="009C00DE">
      <w:pPr>
        <w:spacing w:line="480" w:lineRule="auto"/>
        <w:rPr>
          <w:b/>
        </w:rPr>
      </w:pPr>
      <w:r>
        <w:rPr>
          <w:b/>
        </w:rPr>
        <w:t>Results</w:t>
      </w:r>
    </w:p>
    <w:p w14:paraId="13ADFD4C" w14:textId="15EE363C" w:rsidR="002158B6" w:rsidRDefault="009C00DE">
      <w:pPr>
        <w:spacing w:line="480" w:lineRule="auto"/>
      </w:pPr>
      <w:r>
        <w:rPr>
          <w:b/>
        </w:rPr>
        <w:tab/>
      </w:r>
      <w:r>
        <w:t xml:space="preserve">Our final study cohort included 16,639 adult heart transplant candidates from across the country (mean [SD] age at listing, 53 [13] years; 74% male; 0.4% American Indian or Alaska Native, 3.7% Asian, 26% Black or African American, 0.4% Native Hawaiian or Other Pacific Islander, 59% White, 10% Hispanic). 12,399 (74.5%) received heart transplantation, 1,319 (7.9%) died or were removed from the waiting list for deterioration, and 2,921 (17.6%) had been removed for other reasons or were still on the waitlist as of March 2024. Compared to candidates that received </w:t>
      </w:r>
      <w:r w:rsidR="00B05CD3">
        <w:t>a transplant</w:t>
      </w:r>
      <w:r>
        <w:t xml:space="preserve">, candidates that died or were removed for deterioration tended to be older, non-White, and live in more vulnerable communities (higher mean </w:t>
      </w:r>
      <w:r w:rsidR="00927914">
        <w:t>p</w:t>
      </w:r>
      <w:r w:rsidR="00A35D31">
        <w:t>lace-based disadvantage ind</w:t>
      </w:r>
      <w:r w:rsidR="00C322B5">
        <w:t>ex values</w:t>
      </w:r>
      <w:r>
        <w:t xml:space="preserve">). Table 1 describes our </w:t>
      </w:r>
      <w:r w:rsidR="00F8657A">
        <w:t xml:space="preserve">overall </w:t>
      </w:r>
      <w:r>
        <w:t>study cohort</w:t>
      </w:r>
      <w:r w:rsidR="00F8657A">
        <w:t>, as well as cohort characteristics for patients in the 1st and 10th ADI decile</w:t>
      </w:r>
      <w:r>
        <w:t>.</w:t>
      </w:r>
      <w:r w:rsidR="00572346">
        <w:t xml:space="preserve"> Supplemental </w:t>
      </w:r>
      <w:r w:rsidR="00572346">
        <w:t xml:space="preserve">Figure </w:t>
      </w:r>
      <w:r w:rsidR="00572346">
        <w:t>1</w:t>
      </w:r>
      <w:r w:rsidR="00572346">
        <w:t xml:space="preserve"> shows a color map of the SDoH composite score across all ZIP codes in the city of Chicago to provide an example of the variation between different SDoH scores.</w:t>
      </w:r>
    </w:p>
    <w:p w14:paraId="6803B1A9" w14:textId="55EF5E96" w:rsidR="00B35699" w:rsidRDefault="009C00DE">
      <w:pPr>
        <w:spacing w:line="480" w:lineRule="auto"/>
      </w:pPr>
      <w:r>
        <w:tab/>
      </w:r>
      <w:r w:rsidR="00077699">
        <w:t>When the full set of covariates were included</w:t>
      </w:r>
      <w:r w:rsidR="0073654B">
        <w:t xml:space="preserve"> </w:t>
      </w:r>
      <w:r>
        <w:t xml:space="preserve">in our </w:t>
      </w:r>
      <w:commentRangeStart w:id="22"/>
      <w:r>
        <w:t>competing risks regression models</w:t>
      </w:r>
      <w:commentRangeEnd w:id="22"/>
      <w:r w:rsidR="000B542F">
        <w:rPr>
          <w:rStyle w:val="CommentReference"/>
        </w:rPr>
        <w:commentReference w:id="22"/>
      </w:r>
      <w:r>
        <w:t>, we found that candidates in the</w:t>
      </w:r>
      <w:r w:rsidR="00157EA9">
        <w:t xml:space="preserve"> 10th decile of SVM were significantly less likely to receive </w:t>
      </w:r>
      <w:r w:rsidR="00221DE8">
        <w:t xml:space="preserve">a </w:t>
      </w:r>
      <w:r w:rsidR="00157EA9">
        <w:lastRenderedPageBreak/>
        <w:t>transplant, when compared to candidates in the 1st SVM decile (sub-HR = 0.84, CI = [0.76, 0.93], p&lt;0.001). For SVI, candidates in the 4th, 7th, and 9th decile were significantly less likely to receive</w:t>
      </w:r>
      <w:r w:rsidR="00221DE8">
        <w:t xml:space="preserve"> a</w:t>
      </w:r>
      <w:r w:rsidR="00157EA9">
        <w:t xml:space="preserve"> transplant</w:t>
      </w:r>
      <w:r w:rsidR="00221DE8">
        <w:t xml:space="preserve"> </w:t>
      </w:r>
      <w:r w:rsidR="008F567B">
        <w:t xml:space="preserve">than </w:t>
      </w:r>
      <w:r w:rsidR="00157EA9">
        <w:t xml:space="preserve">candidates in the 1st SVI decile (4th: sub-HR = 0.81, CI = [0.68, 0.96], p=0.018; 7th: sub-HR = 0.83, CI = [0.69,0.99], p = 0.034; 9th: sub-HR = 0.82, CI = [0.68, 0.98], p = 0.034). For ADI, candidates in the </w:t>
      </w:r>
      <w:r>
        <w:t>4th through 10th ADI decile were all significantly less likely to receive</w:t>
      </w:r>
      <w:r w:rsidR="00221DE8">
        <w:t xml:space="preserve"> a</w:t>
      </w:r>
      <w:r>
        <w:t xml:space="preserve"> transplant than candidates in the 1st ADI decile (4th decile: sub-HR = 0.84, CI = [0.76, 0.93], p&lt;0.001; 5th: sub-HR = 0.84, CI = [0.76, 0.93], p&lt;0.001; 6th: sub-HR = 0.88, CI = [0.79, 0.97], p=0.012; 7th: sub-HR = 0.81, CI = [0.73, 0.90], p&lt;0.001; 8th: sub-HR = 0.83, CI = [0.75, 0.92], p&lt;0.001; 9th: sub-HR = 0.76, CI = [0.68, 0.85], p&lt;0.001; 10th: sub-HR = 0.73, CI = [0.63, 0.86], p&lt;0.001). For DCI, candidates in the 3</w:t>
      </w:r>
      <w:r w:rsidRPr="005978DE">
        <w:rPr>
          <w:vertAlign w:val="superscript"/>
        </w:rPr>
        <w:t>rd</w:t>
      </w:r>
      <w:r>
        <w:t xml:space="preserve"> (sub-HR = 0.90, CI = [0.83, 0.98], p=0.02) and 10th (sub-HR = 0.87, CI = [0.78, 0.96], p = 0.006) decile</w:t>
      </w:r>
      <w:r w:rsidR="005978DE">
        <w:t>s</w:t>
      </w:r>
      <w:r>
        <w:t xml:space="preserve"> were less likely to receive</w:t>
      </w:r>
      <w:r w:rsidR="00221DE8">
        <w:t xml:space="preserve"> a</w:t>
      </w:r>
      <w:r>
        <w:t xml:space="preserve"> transplant than candidates in the 1st </w:t>
      </w:r>
      <w:r w:rsidR="005978DE">
        <w:t xml:space="preserve">DCI </w:t>
      </w:r>
      <w:r>
        <w:t>decile.</w:t>
      </w:r>
      <w:r w:rsidR="00F8657A">
        <w:t xml:space="preserve"> </w:t>
      </w:r>
    </w:p>
    <w:p w14:paraId="50BD5FF8" w14:textId="4A861E9E" w:rsidR="00B35699" w:rsidRDefault="00180419" w:rsidP="00B35699">
      <w:pPr>
        <w:spacing w:line="480" w:lineRule="auto"/>
        <w:ind w:firstLine="720"/>
      </w:pPr>
      <w:r>
        <w:t xml:space="preserve">For death or deterioration, we found that candidates in the </w:t>
      </w:r>
      <w:r w:rsidR="008369C1">
        <w:t xml:space="preserve">7th, 9th, and 10th SVM deciles were </w:t>
      </w:r>
      <w:r w:rsidR="008374B1">
        <w:t xml:space="preserve">significantly </w:t>
      </w:r>
      <w:r w:rsidR="008369C1">
        <w:t xml:space="preserve">more likely </w:t>
      </w:r>
      <w:r w:rsidR="003A3DA9">
        <w:t xml:space="preserve">to die or deteriorate </w:t>
      </w:r>
      <w:r w:rsidR="007D04AB">
        <w:t xml:space="preserve">than candidates in the 1st SVM decile </w:t>
      </w:r>
      <w:r w:rsidR="003A3DA9">
        <w:t xml:space="preserve">(7th: sub-HR = </w:t>
      </w:r>
      <w:r w:rsidR="003473E1">
        <w:t>1.26, CI = [1.01, 1.56], p = 0.038</w:t>
      </w:r>
      <w:r w:rsidR="00B906E6">
        <w:t>;</w:t>
      </w:r>
      <w:r w:rsidR="003473E1">
        <w:t xml:space="preserve"> 9th: sub-HR = </w:t>
      </w:r>
      <w:r w:rsidR="007D04AB">
        <w:t>1.35, CI = [1.07, 1.71], p = 0.0</w:t>
      </w:r>
      <w:r w:rsidR="00B906E6">
        <w:t>1; 10th: sub-HR = 1.45, CI = [1.12, 1.87], p = 0.005)</w:t>
      </w:r>
      <w:r w:rsidR="00D4010A">
        <w:t>.</w:t>
      </w:r>
      <w:r w:rsidR="00B67588">
        <w:t xml:space="preserve"> </w:t>
      </w:r>
      <w:r w:rsidR="007F15BE">
        <w:t xml:space="preserve">SVI decile did not significantly predict a candidate’s likelihood of death or deterioration. </w:t>
      </w:r>
      <w:r w:rsidR="00412E1D">
        <w:t>For ADI, candidates in the 4th and 7th through 10th</w:t>
      </w:r>
      <w:r w:rsidR="008374B1">
        <w:t xml:space="preserve"> decile were significantly more likely to die or deteriorate than candidates in the 1st ADI decile (4th decile: sub-HR = 1.40, CI = [1.02, 1.93], p</w:t>
      </w:r>
      <w:r w:rsidR="00411E18">
        <w:t xml:space="preserve"> = 0.038</w:t>
      </w:r>
      <w:r w:rsidR="008374B1">
        <w:t xml:space="preserve">; 7th: sub-HR = </w:t>
      </w:r>
      <w:r w:rsidR="00411E18">
        <w:t>1</w:t>
      </w:r>
      <w:r w:rsidR="008374B1">
        <w:t>.81, CI = [</w:t>
      </w:r>
      <w:r w:rsidR="00411E18">
        <w:t>1</w:t>
      </w:r>
      <w:r w:rsidR="008374B1">
        <w:t>.</w:t>
      </w:r>
      <w:r w:rsidR="00411E18">
        <w:t>32</w:t>
      </w:r>
      <w:r w:rsidR="008374B1">
        <w:t xml:space="preserve">, </w:t>
      </w:r>
      <w:r w:rsidR="00411E18">
        <w:t>2</w:t>
      </w:r>
      <w:r w:rsidR="008374B1">
        <w:t>.</w:t>
      </w:r>
      <w:r w:rsidR="00411E18">
        <w:t>48</w:t>
      </w:r>
      <w:r w:rsidR="008374B1">
        <w:t xml:space="preserve">], p&lt;0.001; 8th: sub-HR = </w:t>
      </w:r>
      <w:r w:rsidR="00411E18">
        <w:t>1</w:t>
      </w:r>
      <w:r w:rsidR="008374B1">
        <w:t>.</w:t>
      </w:r>
      <w:r w:rsidR="00411E18">
        <w:t>41</w:t>
      </w:r>
      <w:r w:rsidR="008374B1">
        <w:t>, CI = [</w:t>
      </w:r>
      <w:r w:rsidR="005B663E">
        <w:t>1.02</w:t>
      </w:r>
      <w:r w:rsidR="008374B1">
        <w:t xml:space="preserve">, </w:t>
      </w:r>
      <w:r w:rsidR="005B663E">
        <w:t>1</w:t>
      </w:r>
      <w:r w:rsidR="008374B1">
        <w:t>.9</w:t>
      </w:r>
      <w:r w:rsidR="005B663E">
        <w:t>5</w:t>
      </w:r>
      <w:r w:rsidR="008374B1">
        <w:t>], p</w:t>
      </w:r>
      <w:r w:rsidR="005B663E">
        <w:t xml:space="preserve"> = </w:t>
      </w:r>
      <w:r w:rsidR="008374B1">
        <w:t>0.0</w:t>
      </w:r>
      <w:r w:rsidR="005B663E">
        <w:t>37</w:t>
      </w:r>
      <w:r w:rsidR="008374B1">
        <w:t xml:space="preserve">; 9th: sub-HR = </w:t>
      </w:r>
      <w:r w:rsidR="005B663E">
        <w:t>1</w:t>
      </w:r>
      <w:r w:rsidR="008374B1">
        <w:t>.</w:t>
      </w:r>
      <w:r w:rsidR="005B663E">
        <w:t>94</w:t>
      </w:r>
      <w:r w:rsidR="008374B1">
        <w:t>, CI = [</w:t>
      </w:r>
      <w:r w:rsidR="005B663E">
        <w:t>1</w:t>
      </w:r>
      <w:r w:rsidR="008374B1">
        <w:t>.</w:t>
      </w:r>
      <w:r w:rsidR="005B663E">
        <w:t>40</w:t>
      </w:r>
      <w:r w:rsidR="008374B1">
        <w:t xml:space="preserve">, </w:t>
      </w:r>
      <w:r w:rsidR="005B663E">
        <w:t>2</w:t>
      </w:r>
      <w:r w:rsidR="008374B1">
        <w:t>.</w:t>
      </w:r>
      <w:r w:rsidR="005B663E">
        <w:t>70</w:t>
      </w:r>
      <w:r w:rsidR="008374B1">
        <w:t xml:space="preserve">], p&lt;0.001; 10th: sub-HR = </w:t>
      </w:r>
      <w:r w:rsidR="005B663E">
        <w:t>2.16</w:t>
      </w:r>
      <w:r w:rsidR="008374B1">
        <w:t>, CI = [</w:t>
      </w:r>
      <w:r w:rsidR="006321AC">
        <w:t>1.43</w:t>
      </w:r>
      <w:r w:rsidR="008374B1">
        <w:t xml:space="preserve">, </w:t>
      </w:r>
      <w:r w:rsidR="006321AC">
        <w:t>3.25</w:t>
      </w:r>
      <w:r w:rsidR="008374B1">
        <w:t>], p&lt;0.001). For DCI, candidates in the 3</w:t>
      </w:r>
      <w:r w:rsidR="008374B1" w:rsidRPr="005978DE">
        <w:rPr>
          <w:vertAlign w:val="superscript"/>
        </w:rPr>
        <w:t>rd</w:t>
      </w:r>
      <w:r w:rsidR="005978DE">
        <w:t xml:space="preserve">, 7th, and 10th DCI decile were more likely to die or deteriorate than candidates in the </w:t>
      </w:r>
      <w:r w:rsidR="000805A0">
        <w:t>1</w:t>
      </w:r>
      <w:r w:rsidR="005978DE">
        <w:t>st DCI decil</w:t>
      </w:r>
      <w:r w:rsidR="00DF012E">
        <w:t>e</w:t>
      </w:r>
      <w:r w:rsidR="008374B1">
        <w:t xml:space="preserve"> (</w:t>
      </w:r>
      <w:r w:rsidR="00DF012E">
        <w:t xml:space="preserve">3rd: </w:t>
      </w:r>
      <w:r w:rsidR="008374B1">
        <w:t xml:space="preserve">sub-HR = </w:t>
      </w:r>
      <w:r w:rsidR="00FA4570">
        <w:t>1</w:t>
      </w:r>
      <w:r w:rsidR="008374B1">
        <w:t>.</w:t>
      </w:r>
      <w:r w:rsidR="00FA4570">
        <w:t>28</w:t>
      </w:r>
      <w:r w:rsidR="008374B1">
        <w:t>, CI = [</w:t>
      </w:r>
      <w:r w:rsidR="00FA4570">
        <w:t>1.00</w:t>
      </w:r>
      <w:r w:rsidR="008374B1">
        <w:t xml:space="preserve">, </w:t>
      </w:r>
      <w:r w:rsidR="00FA4570">
        <w:t>1</w:t>
      </w:r>
      <w:r w:rsidR="008374B1">
        <w:t>.</w:t>
      </w:r>
      <w:r w:rsidR="00FA4570">
        <w:t>62</w:t>
      </w:r>
      <w:r w:rsidR="008374B1">
        <w:t>], p=0.0</w:t>
      </w:r>
      <w:r w:rsidR="00FA4570">
        <w:t>45</w:t>
      </w:r>
      <w:r w:rsidR="00DF012E">
        <w:t>; 7th:</w:t>
      </w:r>
      <w:r w:rsidR="00FA4570">
        <w:t xml:space="preserve"> sub-HR = 1.33, CI = [</w:t>
      </w:r>
      <w:r w:rsidR="008177BD">
        <w:t>1</w:t>
      </w:r>
      <w:r w:rsidR="00FA4570">
        <w:t>.</w:t>
      </w:r>
      <w:r w:rsidR="008177BD">
        <w:t>04</w:t>
      </w:r>
      <w:r w:rsidR="00FA4570">
        <w:t xml:space="preserve">, </w:t>
      </w:r>
      <w:r w:rsidR="008177BD">
        <w:t>1</w:t>
      </w:r>
      <w:r w:rsidR="00FA4570">
        <w:t>.</w:t>
      </w:r>
      <w:r w:rsidR="008177BD">
        <w:t>70</w:t>
      </w:r>
      <w:r w:rsidR="00FA4570">
        <w:t>], p=0.02</w:t>
      </w:r>
      <w:r w:rsidR="008177BD">
        <w:t>3</w:t>
      </w:r>
      <w:r w:rsidR="00FA4570">
        <w:t xml:space="preserve">; 10th: sub-HR = </w:t>
      </w:r>
      <w:r w:rsidR="008177BD">
        <w:t>1</w:t>
      </w:r>
      <w:r w:rsidR="00FA4570">
        <w:t>.</w:t>
      </w:r>
      <w:r w:rsidR="008177BD">
        <w:t>47</w:t>
      </w:r>
      <w:r w:rsidR="00FA4570">
        <w:t>, CI = [</w:t>
      </w:r>
      <w:r w:rsidR="008177BD">
        <w:t>1</w:t>
      </w:r>
      <w:r w:rsidR="00FA4570">
        <w:t>.</w:t>
      </w:r>
      <w:r w:rsidR="008177BD">
        <w:t>13</w:t>
      </w:r>
      <w:r w:rsidR="00FA4570">
        <w:t xml:space="preserve">, </w:t>
      </w:r>
      <w:r w:rsidR="008177BD">
        <w:t>1</w:t>
      </w:r>
      <w:r w:rsidR="00FA4570">
        <w:t>.9</w:t>
      </w:r>
      <w:r w:rsidR="008177BD">
        <w:t>1</w:t>
      </w:r>
      <w:r w:rsidR="00FA4570">
        <w:t>], p=0.0</w:t>
      </w:r>
      <w:r w:rsidR="008177BD">
        <w:t>04</w:t>
      </w:r>
      <w:r w:rsidR="008374B1">
        <w:t>)</w:t>
      </w:r>
      <w:r w:rsidR="000805A0">
        <w:t>.</w:t>
      </w:r>
    </w:p>
    <w:p w14:paraId="14DB03D6" w14:textId="0BBD2FBE" w:rsidR="002158B6" w:rsidRPr="00900F1C" w:rsidRDefault="00F8657A" w:rsidP="00B35699">
      <w:pPr>
        <w:spacing w:line="480" w:lineRule="auto"/>
        <w:ind w:firstLine="720"/>
      </w:pPr>
      <w:r>
        <w:t xml:space="preserve">Figure 2 shows the cumulative </w:t>
      </w:r>
      <w:r w:rsidR="006B5875">
        <w:t xml:space="preserve">incidence plots </w:t>
      </w:r>
      <w:r w:rsidR="00222F11">
        <w:t xml:space="preserve">for the 1st and 10th decile of each index for transplantation and death or deterioration. </w:t>
      </w:r>
      <w:r w:rsidR="00EA0308">
        <w:t>Sub</w:t>
      </w:r>
      <w:r w:rsidR="00731419">
        <w:t>-</w:t>
      </w:r>
      <w:r w:rsidR="009C00DE">
        <w:t xml:space="preserve">hazard ratios of transplantation </w:t>
      </w:r>
      <w:r w:rsidR="00A74CE4">
        <w:t xml:space="preserve">and death or </w:t>
      </w:r>
      <w:r w:rsidR="00A74CE4">
        <w:lastRenderedPageBreak/>
        <w:t xml:space="preserve">deterioration </w:t>
      </w:r>
      <w:r w:rsidR="009C00DE">
        <w:t xml:space="preserve">for </w:t>
      </w:r>
      <w:r w:rsidR="00222F11">
        <w:t xml:space="preserve">each ADI </w:t>
      </w:r>
      <w:r w:rsidR="009C00DE">
        <w:t xml:space="preserve">decile are shown in </w:t>
      </w:r>
      <w:commentRangeStart w:id="23"/>
      <w:r w:rsidR="009C00DE">
        <w:t>Figure 3.</w:t>
      </w:r>
      <w:commentRangeEnd w:id="23"/>
      <w:r w:rsidR="00D51C15">
        <w:rPr>
          <w:rStyle w:val="CommentReference"/>
        </w:rPr>
        <w:commentReference w:id="23"/>
      </w:r>
      <w:r w:rsidR="009C00DE">
        <w:t xml:space="preserve"> Full model effects </w:t>
      </w:r>
      <w:r w:rsidR="00ED73FC">
        <w:t xml:space="preserve">are </w:t>
      </w:r>
      <w:r w:rsidR="009C00DE">
        <w:t xml:space="preserve">shown </w:t>
      </w:r>
      <w:r w:rsidR="009C00DE" w:rsidRPr="00900F1C">
        <w:t>in Supplemental Table</w:t>
      </w:r>
      <w:r w:rsidR="001B1DC6" w:rsidRPr="00900F1C">
        <w:t>s</w:t>
      </w:r>
      <w:r w:rsidR="009C00DE" w:rsidRPr="00900F1C">
        <w:t xml:space="preserve"> 2</w:t>
      </w:r>
      <w:r w:rsidR="001B1DC6" w:rsidRPr="00900F1C">
        <w:t>-5</w:t>
      </w:r>
      <w:commentRangeStart w:id="24"/>
      <w:r w:rsidR="009C00DE" w:rsidRPr="00900F1C">
        <w:t>.</w:t>
      </w:r>
      <w:r w:rsidR="00403A92">
        <w:t xml:space="preserve"> </w:t>
      </w:r>
      <w:commentRangeEnd w:id="24"/>
      <w:r w:rsidR="00ED73FC">
        <w:rPr>
          <w:rStyle w:val="CommentReference"/>
        </w:rPr>
        <w:commentReference w:id="24"/>
      </w:r>
      <w:r w:rsidR="007376D8" w:rsidRPr="0034494C">
        <w:rPr>
          <w:highlight w:val="yellow"/>
        </w:rPr>
        <w:t xml:space="preserve">Sub-hazard ratios of </w:t>
      </w:r>
      <w:r w:rsidR="007376D8" w:rsidRPr="00CB2608">
        <w:rPr>
          <w:highlight w:val="yellow"/>
        </w:rPr>
        <w:t>transplantation and death or deterioration for SVM, SVI, and DCI are shown in Supplemental Figure</w:t>
      </w:r>
      <w:r w:rsidR="00F43ED0">
        <w:t xml:space="preserve"> </w:t>
      </w:r>
      <w:r w:rsidR="00572346">
        <w:t>2</w:t>
      </w:r>
    </w:p>
    <w:p w14:paraId="72815006" w14:textId="15454932" w:rsidR="007376D8" w:rsidRDefault="007376D8" w:rsidP="007376D8">
      <w:pPr>
        <w:spacing w:line="480" w:lineRule="auto"/>
        <w:rPr>
          <w:b/>
          <w:bCs/>
        </w:rPr>
      </w:pPr>
      <w:r w:rsidRPr="00D827F5">
        <w:rPr>
          <w:b/>
          <w:bCs/>
        </w:rPr>
        <w:t>Sensitivity Analysis</w:t>
      </w:r>
      <w:r w:rsidR="003A1F69" w:rsidRPr="00D827F5">
        <w:rPr>
          <w:b/>
          <w:bCs/>
        </w:rPr>
        <w:t xml:space="preserve">: </w:t>
      </w:r>
      <w:r w:rsidR="00D827F5" w:rsidRPr="00D827F5">
        <w:rPr>
          <w:b/>
          <w:bCs/>
        </w:rPr>
        <w:t xml:space="preserve">Competing Risk Regression </w:t>
      </w:r>
      <w:r w:rsidR="003A1F69" w:rsidRPr="00D827F5">
        <w:rPr>
          <w:b/>
          <w:bCs/>
        </w:rPr>
        <w:t>Stratified by Transplant Center</w:t>
      </w:r>
    </w:p>
    <w:p w14:paraId="18D27A70" w14:textId="77777777" w:rsidR="003A1F69" w:rsidRDefault="003A1F69" w:rsidP="003A1F69">
      <w:pPr>
        <w:spacing w:line="480" w:lineRule="auto"/>
        <w:ind w:firstLine="720"/>
      </w:pPr>
      <w:r w:rsidRPr="00900F1C">
        <w:t>When we stratified our adjusted competing risk regressions by transplant center</w:t>
      </w:r>
      <w:r>
        <w:t xml:space="preserve"> in our sensitivity analysis</w:t>
      </w:r>
      <w:r w:rsidRPr="00900F1C">
        <w:t xml:space="preserve">, we found that </w:t>
      </w:r>
      <w:r>
        <w:t>SVM decile did not significantly predict a candidate’s likelihood of receiving a transplant. For SVI, candidates in every SVI decile (2</w:t>
      </w:r>
      <w:r w:rsidRPr="001D39A8">
        <w:rPr>
          <w:vertAlign w:val="superscript"/>
        </w:rPr>
        <w:t>nd</w:t>
      </w:r>
      <w:r>
        <w:t xml:space="preserve"> – 10</w:t>
      </w:r>
      <w:r w:rsidRPr="001D39A8">
        <w:rPr>
          <w:vertAlign w:val="superscript"/>
        </w:rPr>
        <w:t>th</w:t>
      </w:r>
      <w:r>
        <w:t>) were significantly less likely to receive a transplant than candidates in the 1</w:t>
      </w:r>
      <w:r w:rsidRPr="001D39A8">
        <w:rPr>
          <w:vertAlign w:val="superscript"/>
        </w:rPr>
        <w:t>st</w:t>
      </w:r>
      <w:r>
        <w:t xml:space="preserve"> SVI decile (2</w:t>
      </w:r>
      <w:r w:rsidRPr="001D39A8">
        <w:rPr>
          <w:vertAlign w:val="superscript"/>
        </w:rPr>
        <w:t>nd</w:t>
      </w:r>
      <w:r>
        <w:t xml:space="preserve"> decile: sub-HR = 0.85, p=0.047; 3</w:t>
      </w:r>
      <w:r w:rsidRPr="001D39A8">
        <w:rPr>
          <w:vertAlign w:val="superscript"/>
        </w:rPr>
        <w:t>rd</w:t>
      </w:r>
      <w:r>
        <w:t>: sub-HR = 0.80, p=0.005; 4</w:t>
      </w:r>
      <w:r w:rsidRPr="001D39A8">
        <w:rPr>
          <w:vertAlign w:val="superscript"/>
        </w:rPr>
        <w:t>th</w:t>
      </w:r>
      <w:r>
        <w:t>: sub-HR = 0.77, p=0.001; 5</w:t>
      </w:r>
      <w:r w:rsidRPr="001D39A8">
        <w:rPr>
          <w:vertAlign w:val="superscript"/>
        </w:rPr>
        <w:t>th</w:t>
      </w:r>
      <w:r>
        <w:t>: sub-HR = 0.78, p=0.002; 6</w:t>
      </w:r>
      <w:r w:rsidRPr="001D39A8">
        <w:rPr>
          <w:vertAlign w:val="superscript"/>
        </w:rPr>
        <w:t>th</w:t>
      </w:r>
      <w:r>
        <w:t xml:space="preserve">: sub-HR = 0.80, p=0.007; 7th: sub-HR = 0.78, p=0.002; 8th: sub-HR = 0.82, p=0.015; 9th: sub-HR = 0.79, p=0.006; 10th: sub-HR = 0.79, p=0.035). For ADI, candidates in the 9th decile were significantly less likely to receive a transplant than patients in the 1st ADI decile (sub-HR = 0.86, p=0.025). For DCI, candidates in the 3rd decile were significantly less likely to receive a transplant than patients in the 1st DCI decile (sub-HR = 0.91, p=0.048). Full model effects shown in Supplemental Table 6. </w:t>
      </w:r>
    </w:p>
    <w:p w14:paraId="2FF2BCB7" w14:textId="77777777" w:rsidR="003A1F69" w:rsidRPr="009D31D5" w:rsidRDefault="003A1F69" w:rsidP="009D31D5">
      <w:pPr>
        <w:spacing w:line="480" w:lineRule="auto"/>
        <w:rPr>
          <w:b/>
          <w:bCs/>
        </w:rPr>
      </w:pPr>
    </w:p>
    <w:p w14:paraId="6D028AAE" w14:textId="77777777" w:rsidR="002158B6" w:rsidRDefault="009C00DE">
      <w:pPr>
        <w:spacing w:line="480" w:lineRule="auto"/>
        <w:rPr>
          <w:b/>
        </w:rPr>
      </w:pPr>
      <w:commentRangeStart w:id="25"/>
      <w:r w:rsidRPr="009D31D5">
        <w:rPr>
          <w:b/>
          <w:highlight w:val="yellow"/>
        </w:rPr>
        <w:t>Cause-Specific Hazard of Transplantation with Restricted Cubic Spline</w:t>
      </w:r>
      <w:commentRangeEnd w:id="25"/>
      <w:r w:rsidR="00A81698">
        <w:rPr>
          <w:rStyle w:val="CommentReference"/>
        </w:rPr>
        <w:commentReference w:id="25"/>
      </w:r>
    </w:p>
    <w:p w14:paraId="158F162C" w14:textId="4E0DE6BF" w:rsidR="002158B6" w:rsidRDefault="009C00DE">
      <w:pPr>
        <w:spacing w:line="480" w:lineRule="auto"/>
        <w:ind w:firstLine="720"/>
      </w:pPr>
      <w:r>
        <w:t xml:space="preserve">In our </w:t>
      </w:r>
      <w:r w:rsidR="003A1F69">
        <w:t>mixed-effects</w:t>
      </w:r>
      <w:r>
        <w:t xml:space="preserve"> </w:t>
      </w:r>
      <w:r w:rsidR="00C14646">
        <w:t>Cox proportional hazard models</w:t>
      </w:r>
      <w:r>
        <w:t>, we found</w:t>
      </w:r>
      <w:r w:rsidR="00E35960">
        <w:t xml:space="preserve"> that</w:t>
      </w:r>
      <w:r>
        <w:t xml:space="preserve"> the SVM model had an AUC of 0.</w:t>
      </w:r>
      <w:r w:rsidR="00A92F57">
        <w:t>523</w:t>
      </w:r>
      <w:r>
        <w:t xml:space="preserve"> (95% CI = [0.</w:t>
      </w:r>
      <w:r w:rsidR="00A92F57">
        <w:t>513</w:t>
      </w:r>
      <w:r>
        <w:t>, 0.</w:t>
      </w:r>
      <w:r w:rsidR="00A92F57">
        <w:t>53</w:t>
      </w:r>
      <w:r w:rsidR="00077367">
        <w:t>4</w:t>
      </w:r>
      <w:r>
        <w:t>]). The SVI model had an AUC of 0.</w:t>
      </w:r>
      <w:r w:rsidR="00A92F57">
        <w:t>5</w:t>
      </w:r>
      <w:r w:rsidR="00077367">
        <w:t>20</w:t>
      </w:r>
      <w:r w:rsidR="00A92F57">
        <w:t xml:space="preserve"> (95% CI = [0.5</w:t>
      </w:r>
      <w:r w:rsidR="00077367">
        <w:t>10</w:t>
      </w:r>
      <w:r w:rsidR="00A92F57">
        <w:t>, 0.5</w:t>
      </w:r>
      <w:r w:rsidR="00077367">
        <w:t>30</w:t>
      </w:r>
      <w:r w:rsidR="00A92F57">
        <w:t>]).</w:t>
      </w:r>
      <w:r w:rsidR="00E563F1">
        <w:t xml:space="preserve"> The ADI model </w:t>
      </w:r>
      <w:r w:rsidR="003130A0">
        <w:t>had</w:t>
      </w:r>
      <w:r w:rsidR="00E563F1">
        <w:t xml:space="preserve"> an AUC of 0.541</w:t>
      </w:r>
      <w:r>
        <w:t xml:space="preserve"> (95% CI = [0.</w:t>
      </w:r>
      <w:r w:rsidR="00E563F1">
        <w:t>531</w:t>
      </w:r>
      <w:r>
        <w:t>, 0.</w:t>
      </w:r>
      <w:r w:rsidR="00E563F1">
        <w:t>551</w:t>
      </w:r>
      <w:r>
        <w:t>]). The DCI model had an AUC of 0.</w:t>
      </w:r>
      <w:r w:rsidR="00A92F57">
        <w:t>528</w:t>
      </w:r>
      <w:r>
        <w:t xml:space="preserve"> (95% CI = [0.</w:t>
      </w:r>
      <w:r w:rsidR="00A92F57">
        <w:t>517</w:t>
      </w:r>
      <w:r>
        <w:t>, 0.</w:t>
      </w:r>
      <w:r w:rsidR="00A92F57">
        <w:t>53</w:t>
      </w:r>
      <w:r w:rsidR="00077367">
        <w:t>9</w:t>
      </w:r>
      <w:r>
        <w:t>]). The c-index was 0.5130 for SVM (95% CI = [0.5074, 0.5186]), 0.5111 for SVI (95% CI = [0.5055, 0.5168</w:t>
      </w:r>
      <w:r w:rsidR="00A92F57">
        <w:t>]),</w:t>
      </w:r>
      <w:r w:rsidR="003130A0">
        <w:t xml:space="preserve"> 0.5267 for ADI (95% CI = [0.5210, 0.5324</w:t>
      </w:r>
      <w:r>
        <w:t xml:space="preserve">]), and 0.5144 for DCI (95% CI = [0.5085, 0.5204]). </w:t>
      </w:r>
    </w:p>
    <w:p w14:paraId="3799E557" w14:textId="3889B3A1" w:rsidR="00F0686A" w:rsidRPr="00350C56" w:rsidRDefault="00350C56" w:rsidP="00F0686A">
      <w:pPr>
        <w:spacing w:line="480" w:lineRule="auto"/>
        <w:rPr>
          <w:b/>
          <w:bCs/>
        </w:rPr>
      </w:pPr>
      <w:commentRangeStart w:id="26"/>
      <w:r w:rsidRPr="009D31D5">
        <w:rPr>
          <w:b/>
          <w:bCs/>
          <w:highlight w:val="yellow"/>
        </w:rPr>
        <w:t>Odds of Durable LVAD with Restricted Cubic Spline</w:t>
      </w:r>
      <w:commentRangeEnd w:id="26"/>
      <w:r w:rsidR="00A81698">
        <w:rPr>
          <w:rStyle w:val="CommentReference"/>
        </w:rPr>
        <w:commentReference w:id="26"/>
      </w:r>
    </w:p>
    <w:p w14:paraId="70E1D86A" w14:textId="338222E2" w:rsidR="007376D8" w:rsidRPr="007376D8" w:rsidRDefault="00C14646" w:rsidP="007376D8">
      <w:pPr>
        <w:spacing w:line="480" w:lineRule="auto"/>
        <w:ind w:firstLine="720"/>
      </w:pPr>
      <w:r>
        <w:t>In our logistic regression models</w:t>
      </w:r>
      <w:r w:rsidR="009C00DE">
        <w:t xml:space="preserve">, we found </w:t>
      </w:r>
      <w:r w:rsidR="00E35960">
        <w:t xml:space="preserve">that </w:t>
      </w:r>
      <w:r w:rsidR="004416EE">
        <w:t>SVM had a c-index of 0.5582 (</w:t>
      </w:r>
      <w:r w:rsidR="00F800A6">
        <w:t>95% CI = 0.5474, 0.5688</w:t>
      </w:r>
      <w:r w:rsidR="00C110E9">
        <w:t xml:space="preserve">). The SVI model had a c-index of </w:t>
      </w:r>
      <w:r w:rsidR="00C110E9" w:rsidRPr="00C110E9">
        <w:t>0.5304</w:t>
      </w:r>
      <w:r w:rsidR="005F485C">
        <w:t xml:space="preserve"> (95% CI = </w:t>
      </w:r>
      <w:r w:rsidR="005F485C" w:rsidRPr="005F485C">
        <w:t>0.519</w:t>
      </w:r>
      <w:r w:rsidR="005F485C">
        <w:t>6,</w:t>
      </w:r>
      <w:r w:rsidR="005F485C" w:rsidRPr="005F485C">
        <w:t xml:space="preserve"> 0.5412</w:t>
      </w:r>
      <w:r w:rsidR="005F485C">
        <w:t xml:space="preserve">). The ADI </w:t>
      </w:r>
      <w:r w:rsidR="005F485C">
        <w:lastRenderedPageBreak/>
        <w:t xml:space="preserve">model had a c-index of </w:t>
      </w:r>
      <w:r w:rsidR="004928CC" w:rsidRPr="004928CC">
        <w:t>0.5627</w:t>
      </w:r>
      <w:r w:rsidR="004928CC">
        <w:t xml:space="preserve"> (95% CI = </w:t>
      </w:r>
      <w:r w:rsidR="004928CC" w:rsidRPr="004928CC">
        <w:t>0.552</w:t>
      </w:r>
      <w:r w:rsidR="004928CC">
        <w:t>1,</w:t>
      </w:r>
      <w:r w:rsidR="004928CC" w:rsidRPr="004928CC">
        <w:t xml:space="preserve"> 0.573</w:t>
      </w:r>
      <w:r w:rsidR="004928CC">
        <w:t xml:space="preserve">4). The DCI model had a c-index of </w:t>
      </w:r>
      <w:r w:rsidR="00915D12" w:rsidRPr="00915D12">
        <w:t>0.5561</w:t>
      </w:r>
      <w:r w:rsidR="00915D12">
        <w:t xml:space="preserve"> (95% CI = 0.5448, 0.5673).</w:t>
      </w:r>
    </w:p>
    <w:p w14:paraId="491E026F" w14:textId="77777777" w:rsidR="002158B6" w:rsidRDefault="009C00DE">
      <w:pPr>
        <w:spacing w:line="480" w:lineRule="auto"/>
        <w:rPr>
          <w:b/>
        </w:rPr>
      </w:pPr>
      <w:r>
        <w:rPr>
          <w:b/>
        </w:rPr>
        <w:t>Discussion</w:t>
      </w:r>
    </w:p>
    <w:p w14:paraId="1F5045E7" w14:textId="08EDEEF4" w:rsidR="002158B6" w:rsidRDefault="009C00DE" w:rsidP="000C1F10">
      <w:pPr>
        <w:spacing w:line="480" w:lineRule="auto"/>
        <w:ind w:firstLine="720"/>
      </w:pPr>
      <w:r>
        <w:t xml:space="preserve">In our analysis of 16,639 adult heart transplant candidates initially listed between 2019 and 2022, we found that </w:t>
      </w:r>
      <w:r w:rsidR="001826E9">
        <w:t xml:space="preserve">all four </w:t>
      </w:r>
      <w:r w:rsidR="00715187">
        <w:t>indices</w:t>
      </w:r>
      <w:r w:rsidR="001826E9">
        <w:t xml:space="preserve"> showed some association with </w:t>
      </w:r>
      <w:r w:rsidR="007D30D3">
        <w:t>transplant</w:t>
      </w:r>
      <w:r w:rsidR="001826E9">
        <w:t xml:space="preserve">, </w:t>
      </w:r>
      <w:r w:rsidR="00BB69B5">
        <w:t xml:space="preserve">but </w:t>
      </w:r>
      <w:r w:rsidR="001826E9">
        <w:t>ADI</w:t>
      </w:r>
      <w:r w:rsidR="00BB69B5">
        <w:t xml:space="preserve"> had the strongest relationship</w:t>
      </w:r>
      <w:r w:rsidR="001826E9">
        <w:t>. When we did not stratify by listing</w:t>
      </w:r>
      <w:r w:rsidR="007D30D3">
        <w:t xml:space="preserve"> center</w:t>
      </w:r>
      <w:r w:rsidR="001826E9">
        <w:t>,</w:t>
      </w:r>
      <w:r>
        <w:t xml:space="preserve"> ADI was significantly associated with receiving a transplant across a greater range of deciles than the </w:t>
      </w:r>
      <w:r w:rsidR="00715187">
        <w:t>other indices</w:t>
      </w:r>
      <w:r>
        <w:t xml:space="preserve"> we studied</w:t>
      </w:r>
      <w:r w:rsidR="001826E9">
        <w:t xml:space="preserve">. </w:t>
      </w:r>
      <w:r w:rsidR="00284C84">
        <w:t xml:space="preserve">However, after stratifying our competing risk regressions by </w:t>
      </w:r>
      <w:r w:rsidR="004205F4">
        <w:t xml:space="preserve">listing </w:t>
      </w:r>
      <w:r w:rsidR="00284C84">
        <w:t>transplant center in our sensitivity analysis, we found that</w:t>
      </w:r>
      <w:r w:rsidR="001826E9">
        <w:t xml:space="preserve"> </w:t>
      </w:r>
      <w:r w:rsidR="00284C84">
        <w:t>SVI</w:t>
      </w:r>
      <w:r w:rsidR="001826E9">
        <w:t xml:space="preserve"> </w:t>
      </w:r>
      <w:r w:rsidR="007D30D3">
        <w:t xml:space="preserve">was the most </w:t>
      </w:r>
      <w:r w:rsidR="001826E9">
        <w:t>significantly associated with likelihood of transplant.</w:t>
      </w:r>
      <w:r w:rsidR="009C5A03">
        <w:t xml:space="preserve"> </w:t>
      </w:r>
      <w:r w:rsidR="001826E9">
        <w:t xml:space="preserve">These results highlight the complexity of the relationship between neighborhood and likelihood of transplant, and the importance of thoroughly investigating which </w:t>
      </w:r>
      <w:r w:rsidR="00A57804">
        <w:t>place-based disadvantage index</w:t>
      </w:r>
      <w:r w:rsidR="001826E9">
        <w:t xml:space="preserve"> could </w:t>
      </w:r>
      <w:r w:rsidR="00EB60C4">
        <w:t>best be used to promote equity in the new allocation system.</w:t>
      </w:r>
    </w:p>
    <w:p w14:paraId="5E27EE44" w14:textId="22D1D982" w:rsidR="003E1557" w:rsidRDefault="00821D93" w:rsidP="003E1557">
      <w:pPr>
        <w:spacing w:line="480" w:lineRule="auto"/>
        <w:ind w:firstLine="720"/>
      </w:pPr>
      <w:r>
        <w:t xml:space="preserve">The </w:t>
      </w:r>
      <w:r w:rsidR="00F92F26">
        <w:t xml:space="preserve">differences in </w:t>
      </w:r>
      <w:r w:rsidR="00A57804">
        <w:t>p</w:t>
      </w:r>
      <w:r w:rsidR="00A35D31">
        <w:t>lace-based disadvantage index</w:t>
      </w:r>
      <w:r w:rsidR="00F92F26">
        <w:t xml:space="preserve"> performance between our unstratified and stratified competing risk regressions </w:t>
      </w:r>
      <w:r w:rsidR="00946464">
        <w:t xml:space="preserve">illustrate the complexity and challenge of quantifying </w:t>
      </w:r>
      <w:r w:rsidR="00A25C57">
        <w:t xml:space="preserve">patient access. </w:t>
      </w:r>
      <w:commentRangeStart w:id="27"/>
      <w:r w:rsidR="00374D7F">
        <w:t>In liver and kidney transplantation, place-based disadvantage indices had low inter-</w:t>
      </w:r>
      <w:r w:rsidR="00715187">
        <w:t>index</w:t>
      </w:r>
      <w:r w:rsidR="00374D7F">
        <w:t xml:space="preserve"> concordance in their ability to identify vulnerable communities.</w:t>
      </w:r>
      <w:r w:rsidR="00374D7F" w:rsidRPr="00427AF8">
        <w:rPr>
          <w:highlight w:val="yellow"/>
          <w:vertAlign w:val="superscript"/>
        </w:rPr>
        <w:t>10</w:t>
      </w:r>
      <w:r w:rsidR="00374D7F" w:rsidRPr="00427AF8">
        <w:rPr>
          <w:highlight w:val="yellow"/>
        </w:rPr>
        <w:t xml:space="preserve"> </w:t>
      </w:r>
      <w:commentRangeEnd w:id="27"/>
      <w:r w:rsidR="00374D7F" w:rsidRPr="00427AF8">
        <w:rPr>
          <w:rStyle w:val="CommentReference"/>
          <w:highlight w:val="yellow"/>
        </w:rPr>
        <w:commentReference w:id="27"/>
      </w:r>
      <w:r w:rsidR="009C00DE">
        <w:t xml:space="preserve">Another interesting finding was the </w:t>
      </w:r>
      <w:r w:rsidR="006F6F4C">
        <w:t xml:space="preserve">association between </w:t>
      </w:r>
      <w:r w:rsidR="003C29F7">
        <w:t xml:space="preserve">durable LVAD usage and </w:t>
      </w:r>
      <w:r w:rsidR="00501BD7">
        <w:t>p</w:t>
      </w:r>
      <w:r w:rsidR="00A35D31">
        <w:t>lace-based disadvantage index</w:t>
      </w:r>
      <w:r w:rsidR="003C29F7">
        <w:t xml:space="preserve"> percentile</w:t>
      </w:r>
      <w:r w:rsidR="009C00DE">
        <w:t xml:space="preserve"> (Figure 4). </w:t>
      </w:r>
      <w:r w:rsidR="00766DD6">
        <w:t>In our logistic regression models, c</w:t>
      </w:r>
      <w:r w:rsidR="0064371F">
        <w:t>andidates</w:t>
      </w:r>
      <w:r w:rsidR="00823236">
        <w:t xml:space="preserve"> from more vulnerable communities (regardless of the selected </w:t>
      </w:r>
      <w:r w:rsidR="00A57804">
        <w:t>index</w:t>
      </w:r>
      <w:r w:rsidR="00823236">
        <w:t xml:space="preserve">) </w:t>
      </w:r>
      <w:r w:rsidR="00275074">
        <w:t xml:space="preserve">have increased odds of having a durable LVAD. </w:t>
      </w:r>
      <w:r w:rsidR="00AB3F07">
        <w:t>This</w:t>
      </w:r>
      <w:r w:rsidR="002E012C">
        <w:t xml:space="preserve"> finding</w:t>
      </w:r>
      <w:r w:rsidR="00AD1C43">
        <w:t xml:space="preserve"> </w:t>
      </w:r>
      <w:r w:rsidR="00757918">
        <w:t>is</w:t>
      </w:r>
      <w:r w:rsidR="004B7280">
        <w:t xml:space="preserve"> consistent with the fact that</w:t>
      </w:r>
      <w:r w:rsidR="005E0C8D">
        <w:t xml:space="preserve"> receiving a durable LVAD generally lowers a candidate’s status ranking (and thus probability of transplant) under the current system</w:t>
      </w:r>
      <w:r w:rsidR="00BF1E71">
        <w:t xml:space="preserve">. </w:t>
      </w:r>
      <w:r w:rsidR="00DD66BB" w:rsidRPr="00DD66BB">
        <w:t>Previous work has found that among heart transplant recipients who used either a durable LVAD or a t</w:t>
      </w:r>
      <w:r w:rsidR="00D35779">
        <w:t>emporary L</w:t>
      </w:r>
      <w:r w:rsidR="00DD66BB" w:rsidRPr="00DD66BB">
        <w:t>VAD as a bridge-to-transplant, the time period from 2018-2021 showed a gradual decrease in the proportion of recipients using a durable LVAD.</w:t>
      </w:r>
      <w:r w:rsidR="00BF1E71">
        <w:rPr>
          <w:vertAlign w:val="superscript"/>
        </w:rPr>
        <w:t>21</w:t>
      </w:r>
      <w:r w:rsidR="00DD66BB" w:rsidRPr="00DD66BB">
        <w:t xml:space="preserve"> Given that the 2018 policy change effectively lowered the priority status of most durable LVAD recipients, </w:t>
      </w:r>
      <w:r w:rsidR="00DD66BB" w:rsidRPr="00DD66BB">
        <w:lastRenderedPageBreak/>
        <w:t>the downward trend in durable LVAD use may reflect a trend of clinicians choosing to avoid durable LVAD use as a way to advocate for their patients’ chance of receiving a donor heart. If the avoidance of durable LVADs is effectively a form of patient advocacy, it is essential to question whether patients from vulnerable and marginalized communities are less likely to receive such advocacy (and</w:t>
      </w:r>
      <w:r w:rsidR="00222145">
        <w:t xml:space="preserve"> ultimately</w:t>
      </w:r>
      <w:r w:rsidR="00DD66BB" w:rsidRPr="00DD66BB">
        <w:t xml:space="preserve"> more likely to receive a</w:t>
      </w:r>
      <w:r w:rsidR="006D0620">
        <w:t xml:space="preserve"> durable</w:t>
      </w:r>
      <w:r w:rsidR="00DD66BB" w:rsidRPr="00DD66BB">
        <w:t xml:space="preserve"> LVAD</w:t>
      </w:r>
      <w:r w:rsidR="006D0620">
        <w:t xml:space="preserve"> in </w:t>
      </w:r>
      <w:r w:rsidR="00925C90">
        <w:t>lieu of heart transplantation</w:t>
      </w:r>
      <w:r w:rsidR="00DD66BB" w:rsidRPr="00DD66BB">
        <w:t xml:space="preserve">). </w:t>
      </w:r>
    </w:p>
    <w:p w14:paraId="17A8C9F1" w14:textId="258E7CF8" w:rsidR="00E97DD9" w:rsidRDefault="00DD66BB" w:rsidP="00D827F5">
      <w:pPr>
        <w:spacing w:line="480" w:lineRule="auto"/>
        <w:ind w:firstLine="720"/>
      </w:pPr>
      <w:r w:rsidRPr="00DD66BB">
        <w:t xml:space="preserve">Our own results are consistent with such a bias, with </w:t>
      </w:r>
      <w:commentRangeStart w:id="28"/>
      <w:r w:rsidRPr="009D2E78">
        <w:rPr>
          <w:highlight w:val="yellow"/>
        </w:rPr>
        <w:t>Figure 4</w:t>
      </w:r>
      <w:commentRangeEnd w:id="28"/>
      <w:r w:rsidR="00D827F5">
        <w:rPr>
          <w:rStyle w:val="CommentReference"/>
        </w:rPr>
        <w:commentReference w:id="28"/>
      </w:r>
      <w:r w:rsidRPr="00DD66BB">
        <w:t xml:space="preserve"> demonstrating a clear trend in which more socially vulnerable patients are more likely to receive LVADs.</w:t>
      </w:r>
      <w:r w:rsidR="006D0620">
        <w:t xml:space="preserve"> </w:t>
      </w:r>
      <w:r w:rsidR="0092353B">
        <w:t>Previous work has demonstrated</w:t>
      </w:r>
      <w:r w:rsidR="009C00DE">
        <w:t xml:space="preserve"> that patients from racial-ethnic minority groups </w:t>
      </w:r>
      <w:r w:rsidR="0092353B">
        <w:t xml:space="preserve">are </w:t>
      </w:r>
      <w:r w:rsidR="009C00DE">
        <w:t>significantly less likely to receive kidneys with a lower chance of graft failure than White patients</w:t>
      </w:r>
      <w:r w:rsidR="0092353B">
        <w:t>,</w:t>
      </w:r>
      <w:r w:rsidR="009C00DE">
        <w:rPr>
          <w:vertAlign w:val="superscript"/>
        </w:rPr>
        <w:t>22</w:t>
      </w:r>
      <w:r w:rsidR="009C00DE">
        <w:t xml:space="preserve"> </w:t>
      </w:r>
      <w:r w:rsidR="0092353B">
        <w:t xml:space="preserve">while another study demonstrated that </w:t>
      </w:r>
      <w:r w:rsidR="009C00DE">
        <w:t>Black patients are significantly less likely to have their first heart offer accepted by transplant teams.</w:t>
      </w:r>
      <w:r w:rsidR="009C00DE">
        <w:rPr>
          <w:vertAlign w:val="superscript"/>
        </w:rPr>
        <w:t>23</w:t>
      </w:r>
      <w:r w:rsidR="009C00DE">
        <w:t xml:space="preserve"> </w:t>
      </w:r>
      <w:r w:rsidR="0065391D">
        <w:t>Other work has found that patients from vulnerable and marginalized communities are less likely to be referred and selected as heart transplant candidates and have worse post-transplant outcomes.</w:t>
      </w:r>
      <w:r w:rsidR="0065391D">
        <w:rPr>
          <w:vertAlign w:val="superscript"/>
        </w:rPr>
        <w:t>7</w:t>
      </w:r>
      <w:r w:rsidR="0065391D" w:rsidRPr="00630C80">
        <w:rPr>
          <w:vertAlign w:val="superscript"/>
        </w:rPr>
        <w:t xml:space="preserve"> </w:t>
      </w:r>
      <w:r w:rsidR="00C44F93">
        <w:t xml:space="preserve">To effectively use tools such as </w:t>
      </w:r>
      <w:r w:rsidR="00A35D31">
        <w:t>Place-based disadvantage ind</w:t>
      </w:r>
      <w:r w:rsidR="00501BD7">
        <w:t>ice</w:t>
      </w:r>
      <w:r w:rsidR="00C44F93">
        <w:t xml:space="preserve">s to promote equitable distribution, it is imperative that we continue to deepen our understanding of the disparities that occur at all stages of the heart transplantation process. </w:t>
      </w:r>
    </w:p>
    <w:p w14:paraId="04E40020" w14:textId="1D089D9F" w:rsidR="00C44F93" w:rsidRDefault="00C44F93" w:rsidP="00C44F93">
      <w:pPr>
        <w:spacing w:line="480" w:lineRule="auto"/>
        <w:ind w:firstLine="720"/>
      </w:pPr>
      <w:r>
        <w:t xml:space="preserve">As the first study to quantitatively compare a number of common </w:t>
      </w:r>
      <w:r w:rsidR="0006641D">
        <w:t>p</w:t>
      </w:r>
      <w:r w:rsidR="00A35D31">
        <w:t>lace-based disadvantage ind</w:t>
      </w:r>
      <w:r w:rsidR="0006641D">
        <w:t>ice</w:t>
      </w:r>
      <w:r>
        <w:t>s in heart transplantation, we hope these findings contribute to meaningful policy changes to work towards previously described disparities in heart allocation.</w:t>
      </w:r>
      <w:r>
        <w:rPr>
          <w:vertAlign w:val="superscript"/>
        </w:rPr>
        <w:t>2-7</w:t>
      </w:r>
      <w:r>
        <w:t xml:space="preserve"> As OPTN continues to develop the continuous distribution framework for heart transplantation, </w:t>
      </w:r>
      <w:r w:rsidR="0015007D">
        <w:t xml:space="preserve">place-based disadvantage </w:t>
      </w:r>
      <w:r w:rsidR="00EC78C8">
        <w:t>indices</w:t>
      </w:r>
      <w:r>
        <w:t xml:space="preserve"> offer a readily accessible tool to quantify and adjust for differences in candidate access to transplantation based on social determinants of health. In donor liver allocation, Mankowski et al. used simulation with optimization to preserve the existing policy priorities in liver allocation, while generating a CAS that decreased overall deaths by 1.2%.</w:t>
      </w:r>
      <w:r>
        <w:rPr>
          <w:vertAlign w:val="superscript"/>
        </w:rPr>
        <w:t>19</w:t>
      </w:r>
      <w:r>
        <w:t xml:space="preserve"> We suggest that a similar optimization methodology could be applied to assign specific weights to </w:t>
      </w:r>
      <w:r w:rsidR="009D2E78">
        <w:lastRenderedPageBreak/>
        <w:t xml:space="preserve">index </w:t>
      </w:r>
      <w:r>
        <w:t>deciles in the development of the heart allocation CAS, combining the strengths of these methods to strive towards equity in heart transplantation.</w:t>
      </w:r>
    </w:p>
    <w:p w14:paraId="4A89BC5E" w14:textId="77777777" w:rsidR="00E97DD9" w:rsidRDefault="00E97DD9">
      <w:pPr>
        <w:spacing w:line="480" w:lineRule="auto"/>
        <w:ind w:firstLine="720"/>
      </w:pPr>
    </w:p>
    <w:p w14:paraId="20D3D451" w14:textId="77777777" w:rsidR="002158B6" w:rsidRDefault="009C00DE">
      <w:pPr>
        <w:spacing w:line="480" w:lineRule="auto"/>
      </w:pPr>
      <w:r>
        <w:rPr>
          <w:b/>
        </w:rPr>
        <w:t>Limitations</w:t>
      </w:r>
    </w:p>
    <w:p w14:paraId="7984F2A7" w14:textId="44017534" w:rsidR="002158B6" w:rsidRDefault="00871B2E">
      <w:pPr>
        <w:spacing w:line="480" w:lineRule="auto"/>
        <w:ind w:firstLine="720"/>
      </w:pPr>
      <w:r>
        <w:t xml:space="preserve">Our study has certain limitations based on the available data. </w:t>
      </w:r>
      <w:r w:rsidR="009C00DE">
        <w:t>First, the SRTR dataset is center</w:t>
      </w:r>
      <w:r>
        <w:t>-r</w:t>
      </w:r>
      <w:r w:rsidR="009C00DE">
        <w:t xml:space="preserve">eported. While the data are reviewed by the US Department of Health and Human Services, this data collection protocol introduces potential biases into our study. Second, ADI and SVI were initially calculated using census tracts, whereas DCI and SVM were calculated at the ZIP code level. For the majority of candidates, permanent ZIP code was only available at the 5-digit ZIP code level. Thus, we chose to assign ADI at the 5-digit ZIP code level. </w:t>
      </w:r>
      <w:r w:rsidR="00F67E95">
        <w:t xml:space="preserve">We recommend that future work </w:t>
      </w:r>
      <w:r w:rsidR="009C00DE">
        <w:t xml:space="preserve">utilize census tract codes or 9-digit ZIP codes (which are mentioned as a viable alternative on the ADI website). </w:t>
      </w:r>
    </w:p>
    <w:p w14:paraId="62857827" w14:textId="77777777" w:rsidR="000237F1" w:rsidRDefault="000237F1">
      <w:pPr>
        <w:spacing w:line="480" w:lineRule="auto"/>
        <w:ind w:firstLine="720"/>
      </w:pPr>
    </w:p>
    <w:p w14:paraId="7C5DD897" w14:textId="77777777" w:rsidR="002158B6" w:rsidRDefault="009C00DE" w:rsidP="006B1DED">
      <w:pPr>
        <w:spacing w:line="480" w:lineRule="auto"/>
        <w:rPr>
          <w:b/>
        </w:rPr>
      </w:pPr>
      <w:r>
        <w:rPr>
          <w:b/>
        </w:rPr>
        <w:t>Conclusion</w:t>
      </w:r>
    </w:p>
    <w:p w14:paraId="374B16A9" w14:textId="041A2B57" w:rsidR="002158B6" w:rsidRDefault="009C00DE">
      <w:pPr>
        <w:spacing w:line="480" w:lineRule="auto"/>
      </w:pPr>
      <w:r>
        <w:rPr>
          <w:b/>
        </w:rPr>
        <w:tab/>
      </w:r>
      <w:r>
        <w:t xml:space="preserve">In this study of US adult heart transplantation candidates, we compared a series of </w:t>
      </w:r>
      <w:r w:rsidR="00E3149D">
        <w:t>p</w:t>
      </w:r>
      <w:r w:rsidR="00A35D31">
        <w:t>lace-based disadvantage ind</w:t>
      </w:r>
      <w:r w:rsidR="00E3149D">
        <w:t>ice</w:t>
      </w:r>
      <w:r>
        <w:t>s (SVM, SVI, ADI, and DCI) in their ability to predict a candidate’s likelihood of transplantation based on their permanent ZIP code. We</w:t>
      </w:r>
      <w:r w:rsidR="000C1309">
        <w:t xml:space="preserve"> </w:t>
      </w:r>
      <w:r>
        <w:t xml:space="preserve">found that </w:t>
      </w:r>
      <w:r w:rsidR="00C44F93">
        <w:t xml:space="preserve">all four </w:t>
      </w:r>
      <w:r w:rsidR="00715187">
        <w:t xml:space="preserve">indices </w:t>
      </w:r>
      <w:r w:rsidR="00C44F93">
        <w:t xml:space="preserve">showed </w:t>
      </w:r>
      <w:r w:rsidR="00FD7E0B">
        <w:t xml:space="preserve">some </w:t>
      </w:r>
      <w:r w:rsidR="00C44F93">
        <w:t xml:space="preserve">association with likelihood of transplant. </w:t>
      </w:r>
      <w:r w:rsidR="00FD7E0B">
        <w:t>There was</w:t>
      </w:r>
      <w:r w:rsidR="00C44F93">
        <w:t xml:space="preserve"> significant variation between </w:t>
      </w:r>
      <w:r w:rsidR="00FD7E0B">
        <w:t xml:space="preserve">the predictive abilities of </w:t>
      </w:r>
      <w:r w:rsidR="00C44F93">
        <w:t xml:space="preserve">the four </w:t>
      </w:r>
      <w:r w:rsidR="00715187">
        <w:t>indices,</w:t>
      </w:r>
      <w:r w:rsidR="00C44F93">
        <w:t xml:space="preserve"> highlighting the complexity of </w:t>
      </w:r>
      <w:r w:rsidR="00A52EAF">
        <w:t>the relationship between social vulnerability and access to transplant.</w:t>
      </w:r>
      <w:r>
        <w:t xml:space="preserve"> </w:t>
      </w:r>
      <w:r w:rsidR="006903B7">
        <w:t xml:space="preserve">We believe that these findings can support the development of the continuous distribution framework as the </w:t>
      </w:r>
      <w:r>
        <w:t xml:space="preserve">OPTN </w:t>
      </w:r>
      <w:r w:rsidR="006903B7">
        <w:t xml:space="preserve">works </w:t>
      </w:r>
      <w:r>
        <w:t>towards eliminating inequities in heart allocation.</w:t>
      </w:r>
    </w:p>
    <w:p w14:paraId="55312EA9" w14:textId="77777777" w:rsidR="005F16E4" w:rsidRDefault="005F16E4">
      <w:pPr>
        <w:rPr>
          <w:b/>
        </w:rPr>
      </w:pPr>
      <w:r>
        <w:rPr>
          <w:b/>
        </w:rPr>
        <w:br w:type="page"/>
      </w:r>
    </w:p>
    <w:p w14:paraId="56B12A55" w14:textId="6EDDFC9E" w:rsidR="002158B6" w:rsidRDefault="009C00DE">
      <w:pPr>
        <w:spacing w:line="480" w:lineRule="auto"/>
        <w:rPr>
          <w:b/>
        </w:rPr>
      </w:pPr>
      <w:r>
        <w:rPr>
          <w:b/>
        </w:rPr>
        <w:lastRenderedPageBreak/>
        <w:t xml:space="preserve">Figure 1: STROBE </w:t>
      </w:r>
      <w:commentRangeStart w:id="29"/>
      <w:r>
        <w:rPr>
          <w:b/>
        </w:rPr>
        <w:t>Diagram</w:t>
      </w:r>
      <w:commentRangeEnd w:id="29"/>
      <w:r>
        <w:rPr>
          <w:rStyle w:val="CommentReference"/>
        </w:rPr>
        <w:commentReference w:id="29"/>
      </w:r>
    </w:p>
    <w:p w14:paraId="2C94945F" w14:textId="1C512543" w:rsidR="00C20243" w:rsidRDefault="00C20243">
      <w:pPr>
        <w:spacing w:line="480" w:lineRule="auto"/>
        <w:rPr>
          <w:b/>
        </w:rPr>
      </w:pPr>
      <w:r w:rsidRPr="00C20243">
        <w:rPr>
          <w:b/>
          <w:noProof/>
        </w:rPr>
        <w:drawing>
          <wp:inline distT="0" distB="0" distL="0" distR="0" wp14:anchorId="700F2B5E" wp14:editId="319099EA">
            <wp:extent cx="5285014" cy="3484947"/>
            <wp:effectExtent l="0" t="0" r="0" b="1270"/>
            <wp:docPr id="1824204774" name="Picture 1" descr="A flowchart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04774" name="Picture 1" descr="A flowchart of a patient&#10;&#10;Description automatically generated"/>
                    <pic:cNvPicPr/>
                  </pic:nvPicPr>
                  <pic:blipFill>
                    <a:blip r:embed="rId9"/>
                    <a:stretch>
                      <a:fillRect/>
                    </a:stretch>
                  </pic:blipFill>
                  <pic:spPr>
                    <a:xfrm>
                      <a:off x="0" y="0"/>
                      <a:ext cx="5288569" cy="3487291"/>
                    </a:xfrm>
                    <a:prstGeom prst="rect">
                      <a:avLst/>
                    </a:prstGeom>
                  </pic:spPr>
                </pic:pic>
              </a:graphicData>
            </a:graphic>
          </wp:inline>
        </w:drawing>
      </w:r>
    </w:p>
    <w:p w14:paraId="65B1F005" w14:textId="77777777" w:rsidR="002158B6" w:rsidRDefault="009C00DE">
      <w:pPr>
        <w:spacing w:line="480" w:lineRule="auto"/>
      </w:pPr>
      <w:commentRangeStart w:id="30"/>
      <w:r>
        <w:rPr>
          <w:b/>
        </w:rPr>
        <w:t>Table 1: Cohort Characteristics</w:t>
      </w:r>
      <w:commentRangeEnd w:id="30"/>
      <w:r w:rsidR="00B10B96">
        <w:rPr>
          <w:rStyle w:val="CommentReference"/>
        </w:rPr>
        <w:commentReference w:id="30"/>
      </w:r>
    </w:p>
    <w:tbl>
      <w:tblPr>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220"/>
        <w:gridCol w:w="1800"/>
        <w:gridCol w:w="1800"/>
        <w:gridCol w:w="1800"/>
      </w:tblGrid>
      <w:tr w:rsidR="00141184" w14:paraId="18D8E529" w14:textId="77777777" w:rsidTr="009D2E78">
        <w:tc>
          <w:tcPr>
            <w:tcW w:w="4220" w:type="dxa"/>
            <w:shd w:val="clear" w:color="auto" w:fill="auto"/>
            <w:tcMar>
              <w:top w:w="100" w:type="dxa"/>
              <w:left w:w="100" w:type="dxa"/>
              <w:bottom w:w="100" w:type="dxa"/>
              <w:right w:w="100" w:type="dxa"/>
            </w:tcMar>
          </w:tcPr>
          <w:p w14:paraId="7651D44B" w14:textId="77777777" w:rsidR="002158B6" w:rsidRDefault="002158B6">
            <w:pPr>
              <w:widowControl w:val="0"/>
              <w:pBdr>
                <w:top w:val="nil"/>
                <w:left w:val="nil"/>
                <w:bottom w:val="nil"/>
                <w:right w:val="nil"/>
                <w:between w:val="nil"/>
              </w:pBdr>
              <w:spacing w:line="240" w:lineRule="auto"/>
            </w:pPr>
          </w:p>
        </w:tc>
        <w:tc>
          <w:tcPr>
            <w:tcW w:w="1800" w:type="dxa"/>
            <w:shd w:val="clear" w:color="auto" w:fill="auto"/>
            <w:tcMar>
              <w:top w:w="100" w:type="dxa"/>
              <w:left w:w="100" w:type="dxa"/>
              <w:bottom w:w="100" w:type="dxa"/>
              <w:right w:w="100" w:type="dxa"/>
            </w:tcMar>
          </w:tcPr>
          <w:p w14:paraId="3DF68799" w14:textId="41948AB8" w:rsidR="00CD15EB" w:rsidRDefault="00CD15EB">
            <w:pPr>
              <w:widowControl w:val="0"/>
              <w:pBdr>
                <w:top w:val="nil"/>
                <w:left w:val="nil"/>
                <w:bottom w:val="nil"/>
                <w:right w:val="nil"/>
                <w:between w:val="nil"/>
              </w:pBdr>
              <w:spacing w:line="240" w:lineRule="auto"/>
            </w:pPr>
            <w:r>
              <w:t>Study Cohort</w:t>
            </w:r>
          </w:p>
          <w:p w14:paraId="0553A642" w14:textId="686290AE" w:rsidR="00CD15EB" w:rsidRDefault="00CD15EB">
            <w:pPr>
              <w:widowControl w:val="0"/>
              <w:pBdr>
                <w:top w:val="nil"/>
                <w:left w:val="nil"/>
                <w:bottom w:val="nil"/>
                <w:right w:val="nil"/>
                <w:between w:val="nil"/>
              </w:pBdr>
              <w:spacing w:line="240" w:lineRule="auto"/>
            </w:pPr>
            <w:r>
              <w:t>N = 16,639</w:t>
            </w:r>
          </w:p>
        </w:tc>
        <w:tc>
          <w:tcPr>
            <w:tcW w:w="1800" w:type="dxa"/>
            <w:shd w:val="clear" w:color="auto" w:fill="auto"/>
            <w:tcMar>
              <w:top w:w="100" w:type="dxa"/>
              <w:left w:w="100" w:type="dxa"/>
              <w:bottom w:w="100" w:type="dxa"/>
              <w:right w:w="100" w:type="dxa"/>
            </w:tcMar>
          </w:tcPr>
          <w:p w14:paraId="751DE8AC" w14:textId="7A9A9067" w:rsidR="002158B6" w:rsidRDefault="00CD15EB">
            <w:pPr>
              <w:widowControl w:val="0"/>
              <w:pBdr>
                <w:top w:val="nil"/>
                <w:left w:val="nil"/>
                <w:bottom w:val="nil"/>
                <w:right w:val="nil"/>
                <w:between w:val="nil"/>
              </w:pBdr>
              <w:spacing w:line="240" w:lineRule="auto"/>
            </w:pPr>
            <w:r>
              <w:t>ADI 1st Decile</w:t>
            </w:r>
          </w:p>
          <w:p w14:paraId="1773FF41" w14:textId="16A2BE46" w:rsidR="002158B6" w:rsidRDefault="009C00DE">
            <w:pPr>
              <w:widowControl w:val="0"/>
              <w:pBdr>
                <w:top w:val="nil"/>
                <w:left w:val="nil"/>
                <w:bottom w:val="nil"/>
                <w:right w:val="nil"/>
                <w:between w:val="nil"/>
              </w:pBdr>
              <w:spacing w:line="240" w:lineRule="auto"/>
            </w:pPr>
            <w:r>
              <w:t xml:space="preserve">N = </w:t>
            </w:r>
            <w:r w:rsidR="00CD15EB">
              <w:t>922</w:t>
            </w:r>
          </w:p>
        </w:tc>
        <w:tc>
          <w:tcPr>
            <w:tcW w:w="1800" w:type="dxa"/>
            <w:shd w:val="clear" w:color="auto" w:fill="auto"/>
            <w:tcMar>
              <w:top w:w="100" w:type="dxa"/>
              <w:left w:w="100" w:type="dxa"/>
              <w:bottom w:w="100" w:type="dxa"/>
              <w:right w:w="100" w:type="dxa"/>
            </w:tcMar>
          </w:tcPr>
          <w:p w14:paraId="5B504C06" w14:textId="4DA8E411" w:rsidR="002158B6" w:rsidRDefault="00CD15EB">
            <w:pPr>
              <w:widowControl w:val="0"/>
              <w:pBdr>
                <w:top w:val="nil"/>
                <w:left w:val="nil"/>
                <w:bottom w:val="nil"/>
                <w:right w:val="nil"/>
                <w:between w:val="nil"/>
              </w:pBdr>
              <w:spacing w:line="240" w:lineRule="auto"/>
            </w:pPr>
            <w:r>
              <w:t>ADI 10th Decile</w:t>
            </w:r>
          </w:p>
          <w:p w14:paraId="1775AF75" w14:textId="5454A1F1" w:rsidR="00CD15EB" w:rsidRDefault="00CD15EB">
            <w:pPr>
              <w:widowControl w:val="0"/>
              <w:pBdr>
                <w:top w:val="nil"/>
                <w:left w:val="nil"/>
                <w:bottom w:val="nil"/>
                <w:right w:val="nil"/>
                <w:between w:val="nil"/>
              </w:pBdr>
              <w:spacing w:line="240" w:lineRule="auto"/>
            </w:pPr>
            <w:r>
              <w:t>N = 390</w:t>
            </w:r>
          </w:p>
        </w:tc>
      </w:tr>
      <w:tr w:rsidR="00CD15EB" w14:paraId="35EB43AF" w14:textId="77777777" w:rsidTr="009D2E78">
        <w:tc>
          <w:tcPr>
            <w:tcW w:w="4220" w:type="dxa"/>
            <w:shd w:val="clear" w:color="auto" w:fill="auto"/>
            <w:tcMar>
              <w:top w:w="100" w:type="dxa"/>
              <w:left w:w="100" w:type="dxa"/>
              <w:bottom w:w="100" w:type="dxa"/>
              <w:right w:w="100" w:type="dxa"/>
            </w:tcMar>
          </w:tcPr>
          <w:p w14:paraId="53DC1E93" w14:textId="77777777" w:rsidR="00CD15EB" w:rsidRDefault="00CD15EB" w:rsidP="00CD15EB">
            <w:pPr>
              <w:widowControl w:val="0"/>
              <w:pBdr>
                <w:top w:val="nil"/>
                <w:left w:val="nil"/>
                <w:bottom w:val="nil"/>
                <w:right w:val="nil"/>
                <w:between w:val="nil"/>
              </w:pBdr>
              <w:spacing w:line="240" w:lineRule="auto"/>
            </w:pPr>
            <w:r>
              <w:t>Age at Listing, mean (SD)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DCE96" w14:textId="77777777" w:rsidR="00CD15EB" w:rsidRDefault="00CD15EB" w:rsidP="00CD15EB">
            <w:pPr>
              <w:widowControl w:val="0"/>
              <w:spacing w:line="240" w:lineRule="auto"/>
            </w:pPr>
            <w:r>
              <w:t>53 (13)</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B1A85" w14:textId="63424241" w:rsidR="00CD15EB" w:rsidRDefault="00CD15EB" w:rsidP="00CD15EB">
            <w:pPr>
              <w:widowControl w:val="0"/>
              <w:spacing w:line="240" w:lineRule="auto"/>
            </w:pPr>
            <w:r w:rsidRPr="002C6915">
              <w:t>55 (13)</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54BD7" w14:textId="7FF4AEE5" w:rsidR="00CD15EB" w:rsidRDefault="00CD15EB" w:rsidP="00CD15EB">
            <w:pPr>
              <w:widowControl w:val="0"/>
              <w:spacing w:line="240" w:lineRule="auto"/>
            </w:pPr>
            <w:r w:rsidRPr="002C6915">
              <w:t>50 (12)</w:t>
            </w:r>
          </w:p>
        </w:tc>
      </w:tr>
      <w:tr w:rsidR="00141184" w14:paraId="3A6F1060" w14:textId="77777777" w:rsidTr="009D2E78">
        <w:tc>
          <w:tcPr>
            <w:tcW w:w="4220" w:type="dxa"/>
            <w:shd w:val="clear" w:color="auto" w:fill="auto"/>
            <w:tcMar>
              <w:top w:w="100" w:type="dxa"/>
              <w:left w:w="100" w:type="dxa"/>
              <w:bottom w:w="100" w:type="dxa"/>
              <w:right w:w="100" w:type="dxa"/>
            </w:tcMar>
          </w:tcPr>
          <w:p w14:paraId="1D905C7B" w14:textId="77777777" w:rsidR="002158B6" w:rsidRDefault="009C00DE">
            <w:pPr>
              <w:widowControl w:val="0"/>
              <w:pBdr>
                <w:top w:val="nil"/>
                <w:left w:val="nil"/>
                <w:bottom w:val="nil"/>
                <w:right w:val="nil"/>
                <w:between w:val="nil"/>
              </w:pBdr>
              <w:spacing w:line="240" w:lineRule="auto"/>
            </w:pPr>
            <w:r>
              <w:t>Sex, n (%)</w:t>
            </w:r>
          </w:p>
          <w:p w14:paraId="46388E3C" w14:textId="77777777" w:rsidR="002158B6" w:rsidRDefault="009C00DE">
            <w:pPr>
              <w:widowControl w:val="0"/>
              <w:pBdr>
                <w:top w:val="nil"/>
                <w:left w:val="nil"/>
                <w:bottom w:val="nil"/>
                <w:right w:val="nil"/>
                <w:between w:val="nil"/>
              </w:pBdr>
              <w:spacing w:line="240" w:lineRule="auto"/>
              <w:jc w:val="right"/>
            </w:pPr>
            <w:r>
              <w:t>Male</w:t>
            </w:r>
          </w:p>
          <w:p w14:paraId="02B56C71" w14:textId="77777777" w:rsidR="002158B6" w:rsidRDefault="009C00DE">
            <w:pPr>
              <w:widowControl w:val="0"/>
              <w:pBdr>
                <w:top w:val="nil"/>
                <w:left w:val="nil"/>
                <w:bottom w:val="nil"/>
                <w:right w:val="nil"/>
                <w:between w:val="nil"/>
              </w:pBdr>
              <w:spacing w:line="240" w:lineRule="auto"/>
              <w:jc w:val="right"/>
            </w:pPr>
            <w:r>
              <w:t>Female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DD9F6" w14:textId="77777777" w:rsidR="002158B6" w:rsidRDefault="002158B6">
            <w:pPr>
              <w:widowControl w:val="0"/>
              <w:spacing w:line="240" w:lineRule="auto"/>
            </w:pPr>
          </w:p>
          <w:p w14:paraId="31A80D6F" w14:textId="6135C474" w:rsidR="00CD15EB" w:rsidRDefault="00CD15EB">
            <w:pPr>
              <w:widowControl w:val="0"/>
              <w:spacing w:line="240" w:lineRule="auto"/>
            </w:pPr>
            <w:r w:rsidRPr="00CD15EB">
              <w:t>12,234 (74%)</w:t>
            </w:r>
          </w:p>
          <w:p w14:paraId="6DF3CB88" w14:textId="3830246D" w:rsidR="002158B6" w:rsidRDefault="00CD15EB">
            <w:pPr>
              <w:widowControl w:val="0"/>
              <w:spacing w:line="240" w:lineRule="auto"/>
            </w:pPr>
            <w:r w:rsidRPr="00CD15EB">
              <w:t>4,405 (26%)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40C3B" w14:textId="77777777" w:rsidR="002158B6" w:rsidRDefault="002158B6">
            <w:pPr>
              <w:widowControl w:val="0"/>
              <w:spacing w:line="240" w:lineRule="auto"/>
            </w:pPr>
          </w:p>
          <w:p w14:paraId="7F8D0A0C" w14:textId="033E18F0" w:rsidR="00CD15EB" w:rsidRDefault="00CD15EB">
            <w:pPr>
              <w:widowControl w:val="0"/>
              <w:spacing w:line="240" w:lineRule="auto"/>
            </w:pPr>
            <w:r w:rsidRPr="00CD15EB">
              <w:t>696 (75%)</w:t>
            </w:r>
          </w:p>
          <w:p w14:paraId="6A0BB0F7" w14:textId="004F7134" w:rsidR="002158B6" w:rsidRDefault="00CD15EB">
            <w:pPr>
              <w:widowControl w:val="0"/>
              <w:spacing w:line="240" w:lineRule="auto"/>
            </w:pPr>
            <w:r w:rsidRPr="00CD15EB">
              <w:t>226 (25%)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0F162" w14:textId="77777777" w:rsidR="002158B6" w:rsidRDefault="002158B6">
            <w:pPr>
              <w:widowControl w:val="0"/>
              <w:spacing w:line="240" w:lineRule="auto"/>
            </w:pPr>
          </w:p>
          <w:p w14:paraId="50128FDE" w14:textId="283B4DC3" w:rsidR="00CD15EB" w:rsidRDefault="00CD15EB">
            <w:pPr>
              <w:widowControl w:val="0"/>
              <w:spacing w:line="240" w:lineRule="auto"/>
            </w:pPr>
            <w:r w:rsidRPr="00CD15EB">
              <w:t>275 (71%)</w:t>
            </w:r>
          </w:p>
          <w:p w14:paraId="55B2763E" w14:textId="0622ED73" w:rsidR="002158B6" w:rsidRDefault="00CD15EB">
            <w:pPr>
              <w:widowControl w:val="0"/>
              <w:spacing w:line="240" w:lineRule="auto"/>
            </w:pPr>
            <w:r w:rsidRPr="00CD15EB">
              <w:t>115 (29%)</w:t>
            </w:r>
          </w:p>
        </w:tc>
      </w:tr>
      <w:tr w:rsidR="00141184" w14:paraId="7583A510" w14:textId="77777777" w:rsidTr="009D2E78">
        <w:tc>
          <w:tcPr>
            <w:tcW w:w="4220" w:type="dxa"/>
            <w:shd w:val="clear" w:color="auto" w:fill="auto"/>
            <w:tcMar>
              <w:top w:w="100" w:type="dxa"/>
              <w:left w:w="100" w:type="dxa"/>
              <w:bottom w:w="100" w:type="dxa"/>
              <w:right w:w="100" w:type="dxa"/>
            </w:tcMar>
          </w:tcPr>
          <w:p w14:paraId="51D40346" w14:textId="3432E38D" w:rsidR="002158B6" w:rsidRDefault="009C00DE">
            <w:pPr>
              <w:widowControl w:val="0"/>
              <w:pBdr>
                <w:top w:val="nil"/>
                <w:left w:val="nil"/>
                <w:bottom w:val="nil"/>
                <w:right w:val="nil"/>
                <w:between w:val="nil"/>
              </w:pBdr>
              <w:spacing w:line="240" w:lineRule="auto"/>
            </w:pPr>
            <w:r>
              <w:t>Race, n (%)</w:t>
            </w:r>
          </w:p>
          <w:p w14:paraId="4D8E6A72" w14:textId="77777777" w:rsidR="002158B6" w:rsidRDefault="009C00DE">
            <w:pPr>
              <w:widowControl w:val="0"/>
              <w:pBdr>
                <w:top w:val="nil"/>
                <w:left w:val="nil"/>
                <w:bottom w:val="nil"/>
                <w:right w:val="nil"/>
                <w:between w:val="nil"/>
              </w:pBdr>
              <w:spacing w:line="240" w:lineRule="auto"/>
              <w:jc w:val="right"/>
            </w:pPr>
            <w:r>
              <w:t>White</w:t>
            </w:r>
          </w:p>
          <w:p w14:paraId="6B968555" w14:textId="77777777" w:rsidR="002158B6" w:rsidRDefault="009C00DE">
            <w:pPr>
              <w:widowControl w:val="0"/>
              <w:pBdr>
                <w:top w:val="nil"/>
                <w:left w:val="nil"/>
                <w:bottom w:val="nil"/>
                <w:right w:val="nil"/>
                <w:between w:val="nil"/>
              </w:pBdr>
              <w:spacing w:line="240" w:lineRule="auto"/>
              <w:jc w:val="right"/>
            </w:pPr>
            <w:r>
              <w:t>Black</w:t>
            </w:r>
          </w:p>
          <w:p w14:paraId="0885F9A1" w14:textId="77777777" w:rsidR="002158B6" w:rsidRDefault="009C00DE">
            <w:pPr>
              <w:widowControl w:val="0"/>
              <w:pBdr>
                <w:top w:val="nil"/>
                <w:left w:val="nil"/>
                <w:bottom w:val="nil"/>
                <w:right w:val="nil"/>
                <w:between w:val="nil"/>
              </w:pBdr>
              <w:spacing w:line="240" w:lineRule="auto"/>
              <w:jc w:val="right"/>
            </w:pPr>
            <w:r>
              <w:t>Asian</w:t>
            </w:r>
          </w:p>
          <w:p w14:paraId="16C650C2" w14:textId="77777777" w:rsidR="002158B6" w:rsidRDefault="009C00DE">
            <w:pPr>
              <w:widowControl w:val="0"/>
              <w:pBdr>
                <w:top w:val="nil"/>
                <w:left w:val="nil"/>
                <w:bottom w:val="nil"/>
                <w:right w:val="nil"/>
                <w:between w:val="nil"/>
              </w:pBdr>
              <w:spacing w:line="240" w:lineRule="auto"/>
              <w:jc w:val="right"/>
            </w:pPr>
            <w:r>
              <w:t>American Indian or Alaska Native</w:t>
            </w:r>
          </w:p>
          <w:p w14:paraId="5114EFF4" w14:textId="77777777" w:rsidR="002158B6" w:rsidRDefault="009C00DE">
            <w:pPr>
              <w:widowControl w:val="0"/>
              <w:pBdr>
                <w:top w:val="nil"/>
                <w:left w:val="nil"/>
                <w:bottom w:val="nil"/>
                <w:right w:val="nil"/>
                <w:between w:val="nil"/>
              </w:pBdr>
              <w:spacing w:line="240" w:lineRule="auto"/>
              <w:jc w:val="right"/>
            </w:pPr>
            <w:r>
              <w:t>Native Hawaiian or Other Pacific Islander</w:t>
            </w:r>
          </w:p>
          <w:p w14:paraId="2B463670" w14:textId="1F507117" w:rsidR="002158B6" w:rsidRDefault="007A04F5" w:rsidP="00CB47B7">
            <w:pPr>
              <w:widowControl w:val="0"/>
              <w:pBdr>
                <w:top w:val="nil"/>
                <w:left w:val="nil"/>
                <w:bottom w:val="nil"/>
                <w:right w:val="nil"/>
                <w:between w:val="nil"/>
              </w:pBdr>
              <w:spacing w:line="240" w:lineRule="auto"/>
              <w:jc w:val="right"/>
            </w:pPr>
            <w:r>
              <w:t>Other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33583" w14:textId="77777777" w:rsidR="002158B6" w:rsidRDefault="002158B6">
            <w:pPr>
              <w:widowControl w:val="0"/>
              <w:spacing w:line="240" w:lineRule="auto"/>
            </w:pPr>
          </w:p>
          <w:p w14:paraId="7348BFB9" w14:textId="04FC0812" w:rsidR="002158B6" w:rsidRDefault="00CD15EB">
            <w:pPr>
              <w:widowControl w:val="0"/>
              <w:spacing w:line="240" w:lineRule="auto"/>
            </w:pPr>
            <w:r w:rsidRPr="00CD15EB">
              <w:t>9,766 (59%)</w:t>
            </w:r>
          </w:p>
          <w:p w14:paraId="3E505FB9" w14:textId="49788847" w:rsidR="00CD15EB" w:rsidRDefault="00CD15EB">
            <w:pPr>
              <w:widowControl w:val="0"/>
              <w:spacing w:line="240" w:lineRule="auto"/>
            </w:pPr>
            <w:r w:rsidRPr="00CD15EB">
              <w:t>4,392 (26%)</w:t>
            </w:r>
          </w:p>
          <w:p w14:paraId="0EADE925" w14:textId="5C66B043" w:rsidR="00CD15EB" w:rsidRDefault="00CD15EB">
            <w:pPr>
              <w:widowControl w:val="0"/>
              <w:spacing w:line="240" w:lineRule="auto"/>
            </w:pPr>
            <w:r w:rsidRPr="00CD15EB">
              <w:t>621 (3.7%)</w:t>
            </w:r>
          </w:p>
          <w:p w14:paraId="142FECAC" w14:textId="6BEC038A" w:rsidR="00CD15EB" w:rsidRDefault="00CD15EB">
            <w:pPr>
              <w:widowControl w:val="0"/>
              <w:spacing w:line="240" w:lineRule="auto"/>
            </w:pPr>
            <w:r w:rsidRPr="00CD15EB">
              <w:t>65 (0.4%)</w:t>
            </w:r>
          </w:p>
          <w:p w14:paraId="0D0842B8" w14:textId="4BC7BCCF" w:rsidR="00CD15EB" w:rsidRDefault="00CD15EB">
            <w:pPr>
              <w:widowControl w:val="0"/>
              <w:spacing w:line="240" w:lineRule="auto"/>
            </w:pPr>
            <w:r w:rsidRPr="00CD15EB">
              <w:t>62 (0.4%)</w:t>
            </w:r>
          </w:p>
          <w:p w14:paraId="7B034F33" w14:textId="5CA4B89B" w:rsidR="002158B6" w:rsidRDefault="00CD15EB">
            <w:pPr>
              <w:widowControl w:val="0"/>
              <w:spacing w:line="240" w:lineRule="auto"/>
            </w:pPr>
            <w:r w:rsidRPr="00CD15EB">
              <w:t>1,733 (10%)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26464" w14:textId="77777777" w:rsidR="002158B6" w:rsidRDefault="009C00DE">
            <w:pPr>
              <w:widowControl w:val="0"/>
              <w:spacing w:line="240" w:lineRule="auto"/>
            </w:pPr>
            <w:r>
              <w:t xml:space="preserve"> </w:t>
            </w:r>
          </w:p>
          <w:p w14:paraId="7BD23CBF" w14:textId="364B0C11" w:rsidR="002158B6" w:rsidRDefault="00CD15EB">
            <w:pPr>
              <w:widowControl w:val="0"/>
              <w:spacing w:line="240" w:lineRule="auto"/>
            </w:pPr>
            <w:r w:rsidRPr="00CD15EB">
              <w:t>524 (57%)</w:t>
            </w:r>
          </w:p>
          <w:p w14:paraId="37413116" w14:textId="04ABDF23" w:rsidR="00CD15EB" w:rsidRDefault="00CD15EB">
            <w:pPr>
              <w:widowControl w:val="0"/>
              <w:spacing w:line="240" w:lineRule="auto"/>
            </w:pPr>
            <w:r w:rsidRPr="00CD15EB">
              <w:t>127 (14%)</w:t>
            </w:r>
          </w:p>
          <w:p w14:paraId="75226596" w14:textId="30901DCC" w:rsidR="00CD15EB" w:rsidRDefault="00CD15EB">
            <w:pPr>
              <w:widowControl w:val="0"/>
              <w:spacing w:line="240" w:lineRule="auto"/>
            </w:pPr>
            <w:r w:rsidRPr="00CD15EB">
              <w:t>130 (14%)</w:t>
            </w:r>
          </w:p>
          <w:p w14:paraId="41483D53" w14:textId="27A1D033" w:rsidR="00CD15EB" w:rsidRDefault="00CD15EB">
            <w:pPr>
              <w:widowControl w:val="0"/>
              <w:spacing w:line="240" w:lineRule="auto"/>
            </w:pPr>
            <w:r w:rsidRPr="00CD15EB">
              <w:t>2 (0.2%)</w:t>
            </w:r>
          </w:p>
          <w:p w14:paraId="56538620" w14:textId="3164E77C" w:rsidR="002158B6" w:rsidRDefault="00CD15EB">
            <w:pPr>
              <w:widowControl w:val="0"/>
              <w:spacing w:line="240" w:lineRule="auto"/>
            </w:pPr>
            <w:r w:rsidRPr="00CD15EB">
              <w:t>4 (0.4%)</w:t>
            </w:r>
          </w:p>
          <w:p w14:paraId="13C80405" w14:textId="52E7ED17" w:rsidR="00CD15EB" w:rsidRDefault="00CD15EB">
            <w:pPr>
              <w:widowControl w:val="0"/>
              <w:spacing w:line="240" w:lineRule="auto"/>
            </w:pPr>
            <w:r w:rsidRPr="00CD15EB">
              <w:t>135 (15%)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EEB7C" w14:textId="77777777" w:rsidR="002158B6" w:rsidRDefault="009C00DE">
            <w:pPr>
              <w:widowControl w:val="0"/>
              <w:spacing w:line="240" w:lineRule="auto"/>
            </w:pPr>
            <w:r>
              <w:t xml:space="preserve"> </w:t>
            </w:r>
          </w:p>
          <w:p w14:paraId="78BFF844" w14:textId="08AFCA70" w:rsidR="00CD15EB" w:rsidRDefault="00CD15EB">
            <w:pPr>
              <w:widowControl w:val="0"/>
              <w:spacing w:line="240" w:lineRule="auto"/>
            </w:pPr>
            <w:r w:rsidRPr="00CD15EB">
              <w:t>96 (25%)</w:t>
            </w:r>
          </w:p>
          <w:p w14:paraId="0EE6AFCA" w14:textId="5AF5E462" w:rsidR="002158B6" w:rsidRDefault="00CD15EB">
            <w:pPr>
              <w:widowControl w:val="0"/>
              <w:spacing w:line="240" w:lineRule="auto"/>
            </w:pPr>
            <w:r w:rsidRPr="00CD15EB">
              <w:t>248 (64%)</w:t>
            </w:r>
          </w:p>
          <w:p w14:paraId="49018036" w14:textId="45D52B1F" w:rsidR="00CD15EB" w:rsidRDefault="00CD15EB">
            <w:pPr>
              <w:widowControl w:val="0"/>
              <w:spacing w:line="240" w:lineRule="auto"/>
            </w:pPr>
            <w:r w:rsidRPr="00CD15EB">
              <w:t>0 (0%)</w:t>
            </w:r>
          </w:p>
          <w:p w14:paraId="716A405F" w14:textId="1DE4272B" w:rsidR="002158B6" w:rsidRDefault="00E426D5">
            <w:pPr>
              <w:widowControl w:val="0"/>
              <w:spacing w:line="240" w:lineRule="auto"/>
            </w:pPr>
            <w:r w:rsidRPr="00E426D5">
              <w:t>13 (3.3%)</w:t>
            </w:r>
          </w:p>
          <w:p w14:paraId="0201F788" w14:textId="31F32393" w:rsidR="00E426D5" w:rsidRDefault="00E426D5">
            <w:pPr>
              <w:widowControl w:val="0"/>
              <w:spacing w:line="240" w:lineRule="auto"/>
            </w:pPr>
            <w:r w:rsidRPr="00E426D5">
              <w:t>0 (0%)</w:t>
            </w:r>
          </w:p>
          <w:p w14:paraId="3A3745F5" w14:textId="53E4FCC4" w:rsidR="002158B6" w:rsidRDefault="00E426D5">
            <w:pPr>
              <w:widowControl w:val="0"/>
              <w:spacing w:line="240" w:lineRule="auto"/>
            </w:pPr>
            <w:r w:rsidRPr="00E426D5">
              <w:t>33 (8.5%)</w:t>
            </w:r>
          </w:p>
        </w:tc>
      </w:tr>
      <w:tr w:rsidR="007A04F5" w14:paraId="2C105F74" w14:textId="77777777" w:rsidTr="009D2E78">
        <w:tc>
          <w:tcPr>
            <w:tcW w:w="4220" w:type="dxa"/>
            <w:shd w:val="clear" w:color="auto" w:fill="auto"/>
            <w:tcMar>
              <w:top w:w="100" w:type="dxa"/>
              <w:left w:w="100" w:type="dxa"/>
              <w:bottom w:w="100" w:type="dxa"/>
              <w:right w:w="100" w:type="dxa"/>
            </w:tcMar>
          </w:tcPr>
          <w:p w14:paraId="0B25ECF6" w14:textId="0B24FFA8" w:rsidR="007A04F5" w:rsidRDefault="00940BFA">
            <w:pPr>
              <w:widowControl w:val="0"/>
              <w:pBdr>
                <w:top w:val="nil"/>
                <w:left w:val="nil"/>
                <w:bottom w:val="nil"/>
                <w:right w:val="nil"/>
                <w:between w:val="nil"/>
              </w:pBdr>
              <w:spacing w:line="240" w:lineRule="auto"/>
            </w:pPr>
            <w:r>
              <w:t>Latinx</w:t>
            </w:r>
            <w:r w:rsidR="00CB47B7">
              <w:t>, n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04846" w14:textId="12C1CD23" w:rsidR="007A04F5" w:rsidRDefault="00CD15EB">
            <w:pPr>
              <w:widowControl w:val="0"/>
              <w:spacing w:line="240" w:lineRule="auto"/>
            </w:pPr>
            <w:r w:rsidRPr="00CD15EB">
              <w:t>1,732 (10%)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17408" w14:textId="2FE77AB4" w:rsidR="007A04F5" w:rsidRDefault="00E426D5">
            <w:pPr>
              <w:widowControl w:val="0"/>
              <w:spacing w:line="240" w:lineRule="auto"/>
            </w:pPr>
            <w:r w:rsidRPr="00E426D5">
              <w:t>131 (14%)</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D1F24" w14:textId="5E5B0DB3" w:rsidR="007A04F5" w:rsidRDefault="00E426D5">
            <w:pPr>
              <w:widowControl w:val="0"/>
              <w:spacing w:line="240" w:lineRule="auto"/>
            </w:pPr>
            <w:r w:rsidRPr="00E426D5">
              <w:t>33 (8.5%)</w:t>
            </w:r>
          </w:p>
        </w:tc>
      </w:tr>
      <w:tr w:rsidR="00141184" w14:paraId="27054715" w14:textId="77777777" w:rsidTr="009D2E78">
        <w:tc>
          <w:tcPr>
            <w:tcW w:w="4220" w:type="dxa"/>
            <w:shd w:val="clear" w:color="auto" w:fill="auto"/>
            <w:tcMar>
              <w:top w:w="100" w:type="dxa"/>
              <w:left w:w="100" w:type="dxa"/>
              <w:bottom w:w="100" w:type="dxa"/>
              <w:right w:w="100" w:type="dxa"/>
            </w:tcMar>
          </w:tcPr>
          <w:p w14:paraId="56604794" w14:textId="77777777" w:rsidR="002158B6" w:rsidRDefault="009C00DE">
            <w:pPr>
              <w:widowControl w:val="0"/>
              <w:pBdr>
                <w:top w:val="nil"/>
                <w:left w:val="nil"/>
                <w:bottom w:val="nil"/>
                <w:right w:val="nil"/>
                <w:between w:val="nil"/>
              </w:pBdr>
              <w:spacing w:line="240" w:lineRule="auto"/>
            </w:pPr>
            <w:r>
              <w:t>Ventricular Assist Device, n (%)</w:t>
            </w:r>
          </w:p>
          <w:p w14:paraId="46A6E0D7" w14:textId="77777777" w:rsidR="002158B6" w:rsidRDefault="009C00DE">
            <w:pPr>
              <w:widowControl w:val="0"/>
              <w:pBdr>
                <w:top w:val="nil"/>
                <w:left w:val="nil"/>
                <w:bottom w:val="nil"/>
                <w:right w:val="nil"/>
                <w:between w:val="nil"/>
              </w:pBdr>
              <w:spacing w:line="240" w:lineRule="auto"/>
              <w:jc w:val="right"/>
            </w:pPr>
            <w:r>
              <w:t>Durable LVAD</w:t>
            </w:r>
          </w:p>
          <w:p w14:paraId="0B0C7D69" w14:textId="77777777" w:rsidR="002158B6" w:rsidRDefault="009C00DE">
            <w:pPr>
              <w:widowControl w:val="0"/>
              <w:pBdr>
                <w:top w:val="nil"/>
                <w:left w:val="nil"/>
                <w:bottom w:val="nil"/>
                <w:right w:val="nil"/>
                <w:between w:val="nil"/>
              </w:pBdr>
              <w:spacing w:line="240" w:lineRule="auto"/>
              <w:jc w:val="right"/>
            </w:pPr>
            <w:r>
              <w:t>Temporary LVAD</w:t>
            </w:r>
          </w:p>
          <w:p w14:paraId="7933EECC" w14:textId="77777777" w:rsidR="002158B6" w:rsidRDefault="009C00DE">
            <w:pPr>
              <w:widowControl w:val="0"/>
              <w:pBdr>
                <w:top w:val="nil"/>
                <w:left w:val="nil"/>
                <w:bottom w:val="nil"/>
                <w:right w:val="nil"/>
                <w:between w:val="nil"/>
              </w:pBdr>
              <w:spacing w:line="240" w:lineRule="auto"/>
              <w:jc w:val="right"/>
            </w:pPr>
            <w:r>
              <w:t>RVAD</w:t>
            </w:r>
          </w:p>
          <w:p w14:paraId="585CF727" w14:textId="77777777" w:rsidR="002158B6" w:rsidRDefault="009C00DE">
            <w:pPr>
              <w:widowControl w:val="0"/>
              <w:pBdr>
                <w:top w:val="nil"/>
                <w:left w:val="nil"/>
                <w:bottom w:val="nil"/>
                <w:right w:val="nil"/>
                <w:between w:val="nil"/>
              </w:pBdr>
              <w:spacing w:line="240" w:lineRule="auto"/>
              <w:jc w:val="right"/>
            </w:pPr>
            <w:r>
              <w:t>LVAD+RVAD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27481" w14:textId="77777777" w:rsidR="002158B6" w:rsidRDefault="002158B6">
            <w:pPr>
              <w:widowControl w:val="0"/>
              <w:spacing w:line="240" w:lineRule="auto"/>
            </w:pPr>
          </w:p>
          <w:p w14:paraId="04BC2A78" w14:textId="662982B6" w:rsidR="002158B6" w:rsidRDefault="00CD15EB">
            <w:pPr>
              <w:widowControl w:val="0"/>
              <w:spacing w:line="240" w:lineRule="auto"/>
            </w:pPr>
            <w:r w:rsidRPr="00CD15EB">
              <w:t>3,477 (21%)</w:t>
            </w:r>
          </w:p>
          <w:p w14:paraId="5345B894" w14:textId="22C0B001" w:rsidR="00CD15EB" w:rsidRDefault="00CD15EB">
            <w:pPr>
              <w:widowControl w:val="0"/>
              <w:spacing w:line="240" w:lineRule="auto"/>
            </w:pPr>
            <w:r w:rsidRPr="00CD15EB">
              <w:t>1,050 (6.3%)</w:t>
            </w:r>
          </w:p>
          <w:p w14:paraId="4478C9DB" w14:textId="40BA2837" w:rsidR="00CD15EB" w:rsidRDefault="00CD15EB">
            <w:pPr>
              <w:widowControl w:val="0"/>
              <w:spacing w:line="240" w:lineRule="auto"/>
            </w:pPr>
            <w:r w:rsidRPr="00CD15EB">
              <w:t>1,094 (6.6%)</w:t>
            </w:r>
          </w:p>
          <w:p w14:paraId="3F784A69" w14:textId="40A58C0A" w:rsidR="002158B6" w:rsidRDefault="00CD15EB">
            <w:pPr>
              <w:widowControl w:val="0"/>
              <w:spacing w:line="240" w:lineRule="auto"/>
            </w:pPr>
            <w:r w:rsidRPr="00CD15EB">
              <w:t>172 (1.0%)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B7823" w14:textId="77777777" w:rsidR="002158B6" w:rsidRDefault="002158B6">
            <w:pPr>
              <w:widowControl w:val="0"/>
              <w:spacing w:line="240" w:lineRule="auto"/>
            </w:pPr>
          </w:p>
          <w:p w14:paraId="6514E8BA" w14:textId="483B2DBA" w:rsidR="00E426D5" w:rsidRDefault="00E426D5">
            <w:pPr>
              <w:widowControl w:val="0"/>
              <w:spacing w:line="240" w:lineRule="auto"/>
            </w:pPr>
            <w:r w:rsidRPr="00E426D5">
              <w:t>113 (12%)</w:t>
            </w:r>
          </w:p>
          <w:p w14:paraId="63FA2556" w14:textId="33427CDF" w:rsidR="00E426D5" w:rsidRDefault="00E426D5">
            <w:pPr>
              <w:widowControl w:val="0"/>
              <w:spacing w:line="240" w:lineRule="auto"/>
            </w:pPr>
            <w:r w:rsidRPr="00E426D5">
              <w:t>48 (5.2%)</w:t>
            </w:r>
          </w:p>
          <w:p w14:paraId="7CA9838F" w14:textId="0671A7E6" w:rsidR="00E426D5" w:rsidRDefault="00E426D5">
            <w:pPr>
              <w:widowControl w:val="0"/>
              <w:spacing w:line="240" w:lineRule="auto"/>
            </w:pPr>
            <w:r w:rsidRPr="00E426D5">
              <w:t>52 (5.6%)</w:t>
            </w:r>
          </w:p>
          <w:p w14:paraId="1279562C" w14:textId="5142D4D5" w:rsidR="002158B6" w:rsidRDefault="00E426D5">
            <w:pPr>
              <w:widowControl w:val="0"/>
              <w:spacing w:line="240" w:lineRule="auto"/>
            </w:pPr>
            <w:r w:rsidRPr="00E426D5">
              <w:t>5 (0.5%)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B9F1D" w14:textId="77777777" w:rsidR="002158B6" w:rsidRDefault="002158B6">
            <w:pPr>
              <w:widowControl w:val="0"/>
              <w:spacing w:line="240" w:lineRule="auto"/>
            </w:pPr>
          </w:p>
          <w:p w14:paraId="34620F11" w14:textId="76F4CD52" w:rsidR="00E426D5" w:rsidRDefault="00E426D5">
            <w:pPr>
              <w:widowControl w:val="0"/>
              <w:spacing w:line="240" w:lineRule="auto"/>
            </w:pPr>
            <w:r w:rsidRPr="00E426D5">
              <w:t>106 (27%)</w:t>
            </w:r>
          </w:p>
          <w:p w14:paraId="5DA42342" w14:textId="25309679" w:rsidR="00E426D5" w:rsidRDefault="00E426D5">
            <w:pPr>
              <w:widowControl w:val="0"/>
              <w:spacing w:line="240" w:lineRule="auto"/>
            </w:pPr>
            <w:r w:rsidRPr="00E426D5">
              <w:t>18 (4.6%)</w:t>
            </w:r>
          </w:p>
          <w:p w14:paraId="482ED566" w14:textId="0A387067" w:rsidR="00E426D5" w:rsidRDefault="00E426D5">
            <w:pPr>
              <w:widowControl w:val="0"/>
              <w:spacing w:line="240" w:lineRule="auto"/>
            </w:pPr>
            <w:r w:rsidRPr="00E426D5">
              <w:t>19 (4.9%)</w:t>
            </w:r>
          </w:p>
          <w:p w14:paraId="5D4123BF" w14:textId="323CE1F5" w:rsidR="002158B6" w:rsidRDefault="00E426D5">
            <w:pPr>
              <w:widowControl w:val="0"/>
              <w:spacing w:line="240" w:lineRule="auto"/>
            </w:pPr>
            <w:r w:rsidRPr="00E426D5">
              <w:t>5 (1.3%)</w:t>
            </w:r>
          </w:p>
        </w:tc>
      </w:tr>
      <w:tr w:rsidR="00141184" w14:paraId="0FD5E92B" w14:textId="77777777" w:rsidTr="009D2E78">
        <w:tc>
          <w:tcPr>
            <w:tcW w:w="4220" w:type="dxa"/>
            <w:shd w:val="clear" w:color="auto" w:fill="auto"/>
            <w:tcMar>
              <w:top w:w="100" w:type="dxa"/>
              <w:left w:w="100" w:type="dxa"/>
              <w:bottom w:w="100" w:type="dxa"/>
              <w:right w:w="100" w:type="dxa"/>
            </w:tcMar>
          </w:tcPr>
          <w:p w14:paraId="1084AB4D" w14:textId="77777777" w:rsidR="002158B6" w:rsidRDefault="009C00DE">
            <w:pPr>
              <w:widowControl w:val="0"/>
              <w:pBdr>
                <w:top w:val="nil"/>
                <w:left w:val="nil"/>
                <w:bottom w:val="nil"/>
                <w:right w:val="nil"/>
                <w:between w:val="nil"/>
              </w:pBdr>
              <w:spacing w:line="240" w:lineRule="auto"/>
            </w:pPr>
            <w:r>
              <w:lastRenderedPageBreak/>
              <w:t>Total Artificial Heart, n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C6511" w14:textId="64B532DE" w:rsidR="002158B6" w:rsidRDefault="00CD15EB">
            <w:pPr>
              <w:widowControl w:val="0"/>
              <w:spacing w:line="240" w:lineRule="auto"/>
            </w:pPr>
            <w:r w:rsidRPr="00CD15EB">
              <w:t>36 (0.2%)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E0A95" w14:textId="7BCA3AD3" w:rsidR="002158B6" w:rsidRDefault="00E426D5">
            <w:pPr>
              <w:widowControl w:val="0"/>
              <w:spacing w:line="240" w:lineRule="auto"/>
            </w:pPr>
            <w:r>
              <w:t>0</w:t>
            </w:r>
            <w:r w:rsidR="009C00DE">
              <w:t xml:space="preserve"> (0%)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89B99" w14:textId="2F618FA8" w:rsidR="002158B6" w:rsidRDefault="00E426D5">
            <w:pPr>
              <w:widowControl w:val="0"/>
              <w:spacing w:line="240" w:lineRule="auto"/>
            </w:pPr>
            <w:r>
              <w:t>0</w:t>
            </w:r>
            <w:r w:rsidR="009C00DE">
              <w:t xml:space="preserve"> (0%)</w:t>
            </w:r>
          </w:p>
        </w:tc>
      </w:tr>
      <w:tr w:rsidR="00141184" w14:paraId="00FC51EA" w14:textId="77777777" w:rsidTr="009D2E78">
        <w:tc>
          <w:tcPr>
            <w:tcW w:w="4220" w:type="dxa"/>
            <w:shd w:val="clear" w:color="auto" w:fill="auto"/>
            <w:tcMar>
              <w:top w:w="100" w:type="dxa"/>
              <w:left w:w="100" w:type="dxa"/>
              <w:bottom w:w="100" w:type="dxa"/>
              <w:right w:w="100" w:type="dxa"/>
            </w:tcMar>
          </w:tcPr>
          <w:p w14:paraId="1C5ECD06" w14:textId="77777777" w:rsidR="002158B6" w:rsidRDefault="009C00DE">
            <w:pPr>
              <w:widowControl w:val="0"/>
              <w:pBdr>
                <w:top w:val="nil"/>
                <w:left w:val="nil"/>
                <w:bottom w:val="nil"/>
                <w:right w:val="nil"/>
                <w:between w:val="nil"/>
              </w:pBdr>
              <w:spacing w:line="240" w:lineRule="auto"/>
            </w:pPr>
            <w:r>
              <w:t>Initial UNOS Status, n (%)</w:t>
            </w:r>
          </w:p>
          <w:p w14:paraId="7BEC0DB5" w14:textId="77777777" w:rsidR="002158B6" w:rsidRDefault="009C00DE">
            <w:pPr>
              <w:widowControl w:val="0"/>
              <w:pBdr>
                <w:top w:val="nil"/>
                <w:left w:val="nil"/>
                <w:bottom w:val="nil"/>
                <w:right w:val="nil"/>
                <w:between w:val="nil"/>
              </w:pBdr>
              <w:spacing w:line="240" w:lineRule="auto"/>
              <w:jc w:val="right"/>
            </w:pPr>
            <w:r>
              <w:t>1</w:t>
            </w:r>
          </w:p>
          <w:p w14:paraId="29D6D13E" w14:textId="77777777" w:rsidR="002158B6" w:rsidRDefault="009C00DE">
            <w:pPr>
              <w:widowControl w:val="0"/>
              <w:pBdr>
                <w:top w:val="nil"/>
                <w:left w:val="nil"/>
                <w:bottom w:val="nil"/>
                <w:right w:val="nil"/>
                <w:between w:val="nil"/>
              </w:pBdr>
              <w:spacing w:line="240" w:lineRule="auto"/>
              <w:jc w:val="right"/>
            </w:pPr>
            <w:r>
              <w:t>2</w:t>
            </w:r>
          </w:p>
          <w:p w14:paraId="3125EDFF" w14:textId="77777777" w:rsidR="002158B6" w:rsidRDefault="009C00DE">
            <w:pPr>
              <w:widowControl w:val="0"/>
              <w:pBdr>
                <w:top w:val="nil"/>
                <w:left w:val="nil"/>
                <w:bottom w:val="nil"/>
                <w:right w:val="nil"/>
                <w:between w:val="nil"/>
              </w:pBdr>
              <w:spacing w:line="240" w:lineRule="auto"/>
              <w:jc w:val="right"/>
            </w:pPr>
            <w:r>
              <w:t>3</w:t>
            </w:r>
          </w:p>
          <w:p w14:paraId="17282B80" w14:textId="77777777" w:rsidR="002158B6" w:rsidRDefault="009C00DE">
            <w:pPr>
              <w:widowControl w:val="0"/>
              <w:pBdr>
                <w:top w:val="nil"/>
                <w:left w:val="nil"/>
                <w:bottom w:val="nil"/>
                <w:right w:val="nil"/>
                <w:between w:val="nil"/>
              </w:pBdr>
              <w:spacing w:line="240" w:lineRule="auto"/>
              <w:jc w:val="right"/>
            </w:pPr>
            <w:r>
              <w:t>4</w:t>
            </w:r>
          </w:p>
          <w:p w14:paraId="7B199B7F" w14:textId="77777777" w:rsidR="002158B6" w:rsidRDefault="009C00DE">
            <w:pPr>
              <w:widowControl w:val="0"/>
              <w:pBdr>
                <w:top w:val="nil"/>
                <w:left w:val="nil"/>
                <w:bottom w:val="nil"/>
                <w:right w:val="nil"/>
                <w:between w:val="nil"/>
              </w:pBdr>
              <w:spacing w:line="240" w:lineRule="auto"/>
              <w:jc w:val="right"/>
            </w:pPr>
            <w:r>
              <w:t>5</w:t>
            </w:r>
          </w:p>
          <w:p w14:paraId="206F5AB7" w14:textId="77777777" w:rsidR="002158B6" w:rsidRDefault="009C00DE">
            <w:pPr>
              <w:widowControl w:val="0"/>
              <w:pBdr>
                <w:top w:val="nil"/>
                <w:left w:val="nil"/>
                <w:bottom w:val="nil"/>
                <w:right w:val="nil"/>
                <w:between w:val="nil"/>
              </w:pBdr>
              <w:spacing w:line="240" w:lineRule="auto"/>
              <w:jc w:val="right"/>
            </w:pPr>
            <w:r>
              <w:t>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7D075" w14:textId="77777777" w:rsidR="002158B6" w:rsidRPr="00891439" w:rsidRDefault="002158B6" w:rsidP="00891439">
            <w:pPr>
              <w:widowControl w:val="0"/>
              <w:spacing w:line="240" w:lineRule="auto"/>
            </w:pPr>
          </w:p>
          <w:p w14:paraId="441FAC66" w14:textId="660E0BFF" w:rsidR="00CD15EB" w:rsidRPr="00891439" w:rsidRDefault="00CD15EB" w:rsidP="00891439">
            <w:pPr>
              <w:widowControl w:val="0"/>
              <w:spacing w:line="240" w:lineRule="auto"/>
            </w:pPr>
            <w:r w:rsidRPr="00891439">
              <w:t>879 (5.4%)</w:t>
            </w:r>
          </w:p>
          <w:p w14:paraId="6B51683D" w14:textId="10520B3C" w:rsidR="00CD15EB" w:rsidRPr="00891439" w:rsidRDefault="00CD15EB" w:rsidP="00891439">
            <w:pPr>
              <w:widowControl w:val="0"/>
              <w:spacing w:line="240" w:lineRule="auto"/>
            </w:pPr>
            <w:r w:rsidRPr="00891439">
              <w:t>4,149 (25%)</w:t>
            </w:r>
          </w:p>
          <w:p w14:paraId="368A9FBD" w14:textId="5CD5E37E" w:rsidR="00CD15EB" w:rsidRPr="00891439" w:rsidRDefault="00CD15EB" w:rsidP="00891439">
            <w:pPr>
              <w:widowControl w:val="0"/>
              <w:spacing w:line="240" w:lineRule="auto"/>
            </w:pPr>
            <w:r w:rsidRPr="00891439">
              <w:t>1,782 (11%)</w:t>
            </w:r>
          </w:p>
          <w:p w14:paraId="7C0C3DB7" w14:textId="22EF948A" w:rsidR="00CD15EB" w:rsidRPr="00891439" w:rsidRDefault="00CD15EB" w:rsidP="00891439">
            <w:pPr>
              <w:widowControl w:val="0"/>
              <w:spacing w:line="240" w:lineRule="auto"/>
            </w:pPr>
            <w:r w:rsidRPr="00891439">
              <w:t>5,953 (36%)</w:t>
            </w:r>
          </w:p>
          <w:p w14:paraId="60B54ABF" w14:textId="52FBF9C0" w:rsidR="00CD15EB" w:rsidRPr="00891439" w:rsidRDefault="00CD15EB" w:rsidP="00891439">
            <w:pPr>
              <w:widowControl w:val="0"/>
              <w:spacing w:line="240" w:lineRule="auto"/>
            </w:pPr>
            <w:r w:rsidRPr="00891439">
              <w:t>558 (3.4%)</w:t>
            </w:r>
          </w:p>
          <w:p w14:paraId="388944D2" w14:textId="27A90980" w:rsidR="002158B6" w:rsidRPr="00891439" w:rsidRDefault="00CD15EB" w:rsidP="00891439">
            <w:pPr>
              <w:widowControl w:val="0"/>
              <w:spacing w:line="240" w:lineRule="auto"/>
            </w:pPr>
            <w:r w:rsidRPr="00891439">
              <w:t>3,057 (19%)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204DC" w14:textId="77777777" w:rsidR="002158B6" w:rsidRPr="00891439" w:rsidRDefault="002158B6" w:rsidP="00891439">
            <w:pPr>
              <w:widowControl w:val="0"/>
              <w:spacing w:line="240" w:lineRule="auto"/>
            </w:pPr>
          </w:p>
          <w:p w14:paraId="0D7CC20A" w14:textId="3A0A5C5D" w:rsidR="00E426D5" w:rsidRPr="00891439" w:rsidRDefault="00E426D5" w:rsidP="00891439">
            <w:pPr>
              <w:widowControl w:val="0"/>
              <w:spacing w:line="240" w:lineRule="auto"/>
            </w:pPr>
            <w:r w:rsidRPr="00891439">
              <w:t>57 (6.2%)</w:t>
            </w:r>
          </w:p>
          <w:p w14:paraId="5565B594" w14:textId="2791D40C" w:rsidR="00E426D5" w:rsidRPr="00891439" w:rsidRDefault="00E426D5" w:rsidP="00891439">
            <w:pPr>
              <w:widowControl w:val="0"/>
              <w:spacing w:line="240" w:lineRule="auto"/>
            </w:pPr>
            <w:r w:rsidRPr="00891439">
              <w:t>267 (29%)</w:t>
            </w:r>
          </w:p>
          <w:p w14:paraId="75923A57" w14:textId="5EA1A281" w:rsidR="00E426D5" w:rsidRPr="00891439" w:rsidRDefault="00E426D5" w:rsidP="00891439">
            <w:pPr>
              <w:widowControl w:val="0"/>
              <w:spacing w:line="240" w:lineRule="auto"/>
            </w:pPr>
            <w:r w:rsidRPr="00891439">
              <w:t>137 (15%)</w:t>
            </w:r>
          </w:p>
          <w:p w14:paraId="58A5B6B0" w14:textId="3E02F059" w:rsidR="00E426D5" w:rsidRPr="00891439" w:rsidRDefault="00E426D5" w:rsidP="00891439">
            <w:pPr>
              <w:widowControl w:val="0"/>
              <w:spacing w:line="240" w:lineRule="auto"/>
            </w:pPr>
            <w:r w:rsidRPr="00891439">
              <w:t>248 (27%)</w:t>
            </w:r>
          </w:p>
          <w:p w14:paraId="32FC912B" w14:textId="51822B6D" w:rsidR="00E426D5" w:rsidRPr="00891439" w:rsidRDefault="00E426D5" w:rsidP="00891439">
            <w:pPr>
              <w:widowControl w:val="0"/>
              <w:spacing w:line="240" w:lineRule="auto"/>
            </w:pPr>
            <w:r w:rsidRPr="00891439">
              <w:t>35 (3.8%)</w:t>
            </w:r>
          </w:p>
          <w:p w14:paraId="1FE4AEEB" w14:textId="09C8DBA1" w:rsidR="002158B6" w:rsidRPr="00891439" w:rsidRDefault="00E426D5" w:rsidP="00891439">
            <w:pPr>
              <w:widowControl w:val="0"/>
              <w:spacing w:line="240" w:lineRule="auto"/>
            </w:pPr>
            <w:r w:rsidRPr="00891439">
              <w:t>169 (19%)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7414B" w14:textId="77777777" w:rsidR="002158B6" w:rsidRPr="00891439" w:rsidRDefault="002158B6" w:rsidP="00891439">
            <w:pPr>
              <w:widowControl w:val="0"/>
              <w:spacing w:line="240" w:lineRule="auto"/>
            </w:pPr>
          </w:p>
          <w:p w14:paraId="35C747F3" w14:textId="7CEAD8F2" w:rsidR="00E426D5" w:rsidRPr="00891439" w:rsidRDefault="00E426D5" w:rsidP="00891439">
            <w:pPr>
              <w:widowControl w:val="0"/>
              <w:spacing w:line="240" w:lineRule="auto"/>
            </w:pPr>
            <w:r w:rsidRPr="00891439">
              <w:t>9 (2.3%)</w:t>
            </w:r>
          </w:p>
          <w:p w14:paraId="1D09BDF3" w14:textId="4EFDC213" w:rsidR="00E426D5" w:rsidRPr="00891439" w:rsidRDefault="00E426D5" w:rsidP="00891439">
            <w:pPr>
              <w:widowControl w:val="0"/>
              <w:spacing w:line="240" w:lineRule="auto"/>
            </w:pPr>
            <w:r w:rsidRPr="00891439">
              <w:t>113 (30%)</w:t>
            </w:r>
          </w:p>
          <w:p w14:paraId="194627AB" w14:textId="6F097DE4" w:rsidR="00E426D5" w:rsidRPr="00891439" w:rsidRDefault="00E426D5" w:rsidP="00891439">
            <w:pPr>
              <w:widowControl w:val="0"/>
              <w:spacing w:line="240" w:lineRule="auto"/>
            </w:pPr>
            <w:r w:rsidRPr="00891439">
              <w:t>32 (8.4%)</w:t>
            </w:r>
          </w:p>
          <w:p w14:paraId="72BB50E0" w14:textId="207B637E" w:rsidR="00E426D5" w:rsidRPr="00891439" w:rsidRDefault="00E426D5" w:rsidP="00891439">
            <w:pPr>
              <w:widowControl w:val="0"/>
              <w:spacing w:line="240" w:lineRule="auto"/>
            </w:pPr>
            <w:r w:rsidRPr="00891439">
              <w:t>146 (38%)</w:t>
            </w:r>
          </w:p>
          <w:p w14:paraId="6D2B023C" w14:textId="426AD2D3" w:rsidR="00E426D5" w:rsidRPr="00891439" w:rsidRDefault="00E426D5" w:rsidP="00891439">
            <w:pPr>
              <w:widowControl w:val="0"/>
              <w:spacing w:line="240" w:lineRule="auto"/>
            </w:pPr>
            <w:r w:rsidRPr="00891439">
              <w:t>13 (3.4%)</w:t>
            </w:r>
          </w:p>
          <w:p w14:paraId="0E9B9052" w14:textId="1726B455" w:rsidR="002158B6" w:rsidRPr="00891439" w:rsidRDefault="00E426D5" w:rsidP="00891439">
            <w:pPr>
              <w:widowControl w:val="0"/>
              <w:spacing w:line="240" w:lineRule="auto"/>
            </w:pPr>
            <w:r w:rsidRPr="00891439">
              <w:t>70 (18%)</w:t>
            </w:r>
          </w:p>
        </w:tc>
      </w:tr>
      <w:tr w:rsidR="006B7369" w14:paraId="254BBE36" w14:textId="77777777" w:rsidTr="009D2E78">
        <w:tc>
          <w:tcPr>
            <w:tcW w:w="4220" w:type="dxa"/>
            <w:shd w:val="clear" w:color="auto" w:fill="auto"/>
            <w:tcMar>
              <w:top w:w="100" w:type="dxa"/>
              <w:left w:w="100" w:type="dxa"/>
              <w:bottom w:w="100" w:type="dxa"/>
              <w:right w:w="100" w:type="dxa"/>
            </w:tcMar>
          </w:tcPr>
          <w:p w14:paraId="6ADF335B" w14:textId="42E0E5E3" w:rsidR="006B7369" w:rsidRDefault="006B7369" w:rsidP="006B7369">
            <w:pPr>
              <w:widowControl w:val="0"/>
              <w:pBdr>
                <w:top w:val="nil"/>
                <w:left w:val="nil"/>
                <w:bottom w:val="nil"/>
                <w:right w:val="nil"/>
                <w:between w:val="nil"/>
              </w:pBdr>
              <w:spacing w:line="240" w:lineRule="auto"/>
            </w:pPr>
            <w:r>
              <w:t>SVM Percentile, mean (SD)</w:t>
            </w:r>
          </w:p>
        </w:tc>
        <w:tc>
          <w:tcPr>
            <w:tcW w:w="1800" w:type="dxa"/>
            <w:shd w:val="clear" w:color="auto" w:fill="auto"/>
            <w:tcMar>
              <w:top w:w="100" w:type="dxa"/>
              <w:left w:w="100" w:type="dxa"/>
              <w:bottom w:w="100" w:type="dxa"/>
              <w:right w:w="100" w:type="dxa"/>
            </w:tcMar>
          </w:tcPr>
          <w:p w14:paraId="0FC2107D" w14:textId="48E01A78" w:rsidR="006B7369" w:rsidRPr="00891439" w:rsidRDefault="00F75DAC" w:rsidP="006B7369">
            <w:pPr>
              <w:widowControl w:val="0"/>
              <w:spacing w:line="240" w:lineRule="auto"/>
            </w:pPr>
            <w:r w:rsidRPr="00F75DAC">
              <w:t>42 (29)</w:t>
            </w:r>
          </w:p>
        </w:tc>
        <w:tc>
          <w:tcPr>
            <w:tcW w:w="1800" w:type="dxa"/>
            <w:shd w:val="clear" w:color="auto" w:fill="auto"/>
            <w:tcMar>
              <w:top w:w="100" w:type="dxa"/>
              <w:left w:w="100" w:type="dxa"/>
              <w:bottom w:w="100" w:type="dxa"/>
              <w:right w:w="100" w:type="dxa"/>
            </w:tcMar>
          </w:tcPr>
          <w:p w14:paraId="22FF561E" w14:textId="586441BD" w:rsidR="006B7369" w:rsidRPr="00891439" w:rsidRDefault="006B7369" w:rsidP="006B7369">
            <w:pPr>
              <w:widowControl w:val="0"/>
              <w:spacing w:line="240" w:lineRule="auto"/>
            </w:pPr>
            <w:r w:rsidRPr="009B057D">
              <w:t>14 (18)</w:t>
            </w:r>
          </w:p>
        </w:tc>
        <w:tc>
          <w:tcPr>
            <w:tcW w:w="1800" w:type="dxa"/>
            <w:shd w:val="clear" w:color="auto" w:fill="auto"/>
            <w:tcMar>
              <w:top w:w="100" w:type="dxa"/>
              <w:left w:w="100" w:type="dxa"/>
              <w:bottom w:w="100" w:type="dxa"/>
              <w:right w:w="100" w:type="dxa"/>
            </w:tcMar>
          </w:tcPr>
          <w:p w14:paraId="3897740C" w14:textId="01C6895D" w:rsidR="006B7369" w:rsidRPr="00891439" w:rsidRDefault="006B7369" w:rsidP="006B7369">
            <w:pPr>
              <w:widowControl w:val="0"/>
              <w:spacing w:line="240" w:lineRule="auto"/>
            </w:pPr>
            <w:r w:rsidRPr="009B057D">
              <w:t>91 (8)</w:t>
            </w:r>
          </w:p>
        </w:tc>
      </w:tr>
      <w:tr w:rsidR="00D163AA" w14:paraId="2EC3D4A8" w14:textId="5C5CCDBE" w:rsidTr="009D2E78">
        <w:tc>
          <w:tcPr>
            <w:tcW w:w="4220" w:type="dxa"/>
            <w:shd w:val="clear" w:color="auto" w:fill="auto"/>
            <w:tcMar>
              <w:top w:w="100" w:type="dxa"/>
              <w:left w:w="100" w:type="dxa"/>
              <w:bottom w:w="100" w:type="dxa"/>
              <w:right w:w="100" w:type="dxa"/>
            </w:tcMar>
          </w:tcPr>
          <w:p w14:paraId="65CCECE4" w14:textId="7A4FAC00" w:rsidR="00D163AA" w:rsidRDefault="00D163AA" w:rsidP="00D163AA">
            <w:pPr>
              <w:widowControl w:val="0"/>
              <w:pBdr>
                <w:top w:val="nil"/>
                <w:left w:val="nil"/>
                <w:bottom w:val="nil"/>
                <w:right w:val="nil"/>
                <w:between w:val="nil"/>
              </w:pBdr>
              <w:spacing w:line="240" w:lineRule="auto"/>
            </w:pPr>
            <w:r>
              <w:t>SVI Percentile, mean (SD)</w:t>
            </w:r>
          </w:p>
        </w:tc>
        <w:tc>
          <w:tcPr>
            <w:tcW w:w="1800" w:type="dxa"/>
            <w:shd w:val="clear" w:color="auto" w:fill="auto"/>
            <w:tcMar>
              <w:top w:w="100" w:type="dxa"/>
              <w:left w:w="100" w:type="dxa"/>
              <w:bottom w:w="100" w:type="dxa"/>
              <w:right w:w="100" w:type="dxa"/>
            </w:tcMar>
          </w:tcPr>
          <w:p w14:paraId="01A8C76A" w14:textId="4ECE3015" w:rsidR="00D163AA" w:rsidRDefault="00D163AA" w:rsidP="00D163AA">
            <w:pPr>
              <w:widowControl w:val="0"/>
              <w:spacing w:line="240" w:lineRule="auto"/>
            </w:pPr>
            <w:r>
              <w:t>49 (21)</w:t>
            </w:r>
          </w:p>
        </w:tc>
        <w:tc>
          <w:tcPr>
            <w:tcW w:w="1800" w:type="dxa"/>
            <w:shd w:val="clear" w:color="auto" w:fill="auto"/>
            <w:tcMar>
              <w:top w:w="100" w:type="dxa"/>
              <w:left w:w="100" w:type="dxa"/>
              <w:bottom w:w="100" w:type="dxa"/>
              <w:right w:w="100" w:type="dxa"/>
            </w:tcMar>
          </w:tcPr>
          <w:p w14:paraId="42F6E627" w14:textId="38905947" w:rsidR="00D163AA" w:rsidRDefault="00D163AA" w:rsidP="00D163AA">
            <w:pPr>
              <w:widowControl w:val="0"/>
              <w:spacing w:line="240" w:lineRule="auto"/>
            </w:pPr>
            <w:r w:rsidRPr="008C5532">
              <w:t>39 (20)</w:t>
            </w:r>
          </w:p>
        </w:tc>
        <w:tc>
          <w:tcPr>
            <w:tcW w:w="1800" w:type="dxa"/>
            <w:shd w:val="clear" w:color="auto" w:fill="auto"/>
            <w:tcMar>
              <w:top w:w="100" w:type="dxa"/>
              <w:left w:w="100" w:type="dxa"/>
              <w:bottom w:w="100" w:type="dxa"/>
              <w:right w:w="100" w:type="dxa"/>
            </w:tcMar>
          </w:tcPr>
          <w:p w14:paraId="14E84C4D" w14:textId="14BDBDE2" w:rsidR="00D163AA" w:rsidRDefault="00D163AA" w:rsidP="00D163AA">
            <w:pPr>
              <w:widowControl w:val="0"/>
              <w:spacing w:line="240" w:lineRule="auto"/>
            </w:pPr>
            <w:r w:rsidRPr="008C5532">
              <w:t>77 (12)</w:t>
            </w:r>
          </w:p>
        </w:tc>
      </w:tr>
      <w:tr w:rsidR="00891439" w14:paraId="61F5FE75" w14:textId="70D445B3" w:rsidTr="009D2E78">
        <w:tc>
          <w:tcPr>
            <w:tcW w:w="4220" w:type="dxa"/>
            <w:shd w:val="clear" w:color="auto" w:fill="auto"/>
            <w:tcMar>
              <w:top w:w="100" w:type="dxa"/>
              <w:left w:w="100" w:type="dxa"/>
              <w:bottom w:w="100" w:type="dxa"/>
              <w:right w:w="100" w:type="dxa"/>
            </w:tcMar>
          </w:tcPr>
          <w:p w14:paraId="29C1EABA" w14:textId="6F4DE93B" w:rsidR="00891439" w:rsidRDefault="00891439" w:rsidP="00891439">
            <w:pPr>
              <w:widowControl w:val="0"/>
              <w:pBdr>
                <w:top w:val="nil"/>
                <w:left w:val="nil"/>
                <w:bottom w:val="nil"/>
                <w:right w:val="nil"/>
                <w:between w:val="nil"/>
              </w:pBdr>
              <w:spacing w:line="240" w:lineRule="auto"/>
            </w:pPr>
            <w:r>
              <w:t>ADI Percentile, mean (SD)</w:t>
            </w:r>
          </w:p>
        </w:tc>
        <w:tc>
          <w:tcPr>
            <w:tcW w:w="1800" w:type="dxa"/>
            <w:shd w:val="clear" w:color="auto" w:fill="auto"/>
            <w:tcMar>
              <w:top w:w="100" w:type="dxa"/>
              <w:left w:w="100" w:type="dxa"/>
              <w:bottom w:w="100" w:type="dxa"/>
              <w:right w:w="100" w:type="dxa"/>
            </w:tcMar>
          </w:tcPr>
          <w:p w14:paraId="0F56B62B" w14:textId="4E2A3D59" w:rsidR="00891439" w:rsidRDefault="00891439" w:rsidP="00891439">
            <w:pPr>
              <w:widowControl w:val="0"/>
              <w:spacing w:line="240" w:lineRule="auto"/>
            </w:pPr>
            <w:r w:rsidRPr="00891439">
              <w:t>48 (24)</w:t>
            </w:r>
          </w:p>
        </w:tc>
        <w:tc>
          <w:tcPr>
            <w:tcW w:w="1800" w:type="dxa"/>
            <w:shd w:val="clear" w:color="auto" w:fill="auto"/>
            <w:tcMar>
              <w:top w:w="100" w:type="dxa"/>
              <w:left w:w="100" w:type="dxa"/>
              <w:bottom w:w="100" w:type="dxa"/>
              <w:right w:w="100" w:type="dxa"/>
            </w:tcMar>
          </w:tcPr>
          <w:p w14:paraId="0C9745DF" w14:textId="45806CA7" w:rsidR="00891439" w:rsidRDefault="00891439" w:rsidP="00891439">
            <w:pPr>
              <w:widowControl w:val="0"/>
              <w:spacing w:line="240" w:lineRule="auto"/>
            </w:pPr>
            <w:r w:rsidRPr="00891439">
              <w:t>6 (2)</w:t>
            </w:r>
          </w:p>
        </w:tc>
        <w:tc>
          <w:tcPr>
            <w:tcW w:w="1800" w:type="dxa"/>
            <w:shd w:val="clear" w:color="auto" w:fill="auto"/>
            <w:tcMar>
              <w:top w:w="100" w:type="dxa"/>
              <w:left w:w="100" w:type="dxa"/>
              <w:bottom w:w="100" w:type="dxa"/>
              <w:right w:w="100" w:type="dxa"/>
            </w:tcMar>
          </w:tcPr>
          <w:p w14:paraId="226042F9" w14:textId="6AD51D07" w:rsidR="00891439" w:rsidRDefault="00891439" w:rsidP="00891439">
            <w:pPr>
              <w:widowControl w:val="0"/>
              <w:spacing w:line="240" w:lineRule="auto"/>
            </w:pPr>
            <w:r w:rsidRPr="00891439">
              <w:t>93 (3)</w:t>
            </w:r>
          </w:p>
        </w:tc>
      </w:tr>
      <w:tr w:rsidR="004041F2" w14:paraId="76D16F1B" w14:textId="2B7AB203" w:rsidTr="009D2E78">
        <w:tc>
          <w:tcPr>
            <w:tcW w:w="4220" w:type="dxa"/>
            <w:shd w:val="clear" w:color="auto" w:fill="auto"/>
            <w:tcMar>
              <w:top w:w="100" w:type="dxa"/>
              <w:left w:w="100" w:type="dxa"/>
              <w:bottom w:w="100" w:type="dxa"/>
              <w:right w:w="100" w:type="dxa"/>
            </w:tcMar>
          </w:tcPr>
          <w:p w14:paraId="352FAA97" w14:textId="1A82D014" w:rsidR="004041F2" w:rsidRDefault="004041F2" w:rsidP="004041F2">
            <w:pPr>
              <w:widowControl w:val="0"/>
              <w:pBdr>
                <w:top w:val="nil"/>
                <w:left w:val="nil"/>
                <w:bottom w:val="nil"/>
                <w:right w:val="nil"/>
                <w:between w:val="nil"/>
              </w:pBdr>
              <w:spacing w:line="240" w:lineRule="auto"/>
            </w:pPr>
            <w:r>
              <w:t>DCI Percentile, mean (SD)</w:t>
            </w:r>
          </w:p>
        </w:tc>
        <w:tc>
          <w:tcPr>
            <w:tcW w:w="1800" w:type="dxa"/>
            <w:shd w:val="clear" w:color="auto" w:fill="auto"/>
            <w:tcMar>
              <w:top w:w="100" w:type="dxa"/>
              <w:left w:w="100" w:type="dxa"/>
              <w:bottom w:w="100" w:type="dxa"/>
              <w:right w:w="100" w:type="dxa"/>
            </w:tcMar>
          </w:tcPr>
          <w:p w14:paraId="00B045C4" w14:textId="2775400C" w:rsidR="004041F2" w:rsidRDefault="004041F2" w:rsidP="004041F2">
            <w:pPr>
              <w:widowControl w:val="0"/>
              <w:spacing w:line="240" w:lineRule="auto"/>
            </w:pPr>
            <w:r>
              <w:t>46 (29)</w:t>
            </w:r>
          </w:p>
        </w:tc>
        <w:tc>
          <w:tcPr>
            <w:tcW w:w="1800" w:type="dxa"/>
            <w:shd w:val="clear" w:color="auto" w:fill="auto"/>
            <w:tcMar>
              <w:top w:w="100" w:type="dxa"/>
              <w:left w:w="100" w:type="dxa"/>
              <w:bottom w:w="100" w:type="dxa"/>
              <w:right w:w="100" w:type="dxa"/>
            </w:tcMar>
          </w:tcPr>
          <w:p w14:paraId="05711AB1" w14:textId="0CC797FF" w:rsidR="004041F2" w:rsidRDefault="004041F2" w:rsidP="004041F2">
            <w:pPr>
              <w:widowControl w:val="0"/>
              <w:spacing w:line="240" w:lineRule="auto"/>
            </w:pPr>
            <w:r w:rsidRPr="00A74669">
              <w:t>32 (24)</w:t>
            </w:r>
          </w:p>
        </w:tc>
        <w:tc>
          <w:tcPr>
            <w:tcW w:w="1800" w:type="dxa"/>
            <w:shd w:val="clear" w:color="auto" w:fill="auto"/>
            <w:tcMar>
              <w:top w:w="100" w:type="dxa"/>
              <w:left w:w="100" w:type="dxa"/>
              <w:bottom w:w="100" w:type="dxa"/>
              <w:right w:w="100" w:type="dxa"/>
            </w:tcMar>
          </w:tcPr>
          <w:p w14:paraId="5F19AB67" w14:textId="601ECE41" w:rsidR="004041F2" w:rsidRDefault="004041F2" w:rsidP="004041F2">
            <w:pPr>
              <w:widowControl w:val="0"/>
              <w:spacing w:line="240" w:lineRule="auto"/>
            </w:pPr>
            <w:r w:rsidRPr="00A74669">
              <w:t>91 (10)</w:t>
            </w:r>
          </w:p>
        </w:tc>
      </w:tr>
      <w:tr w:rsidR="00891439" w14:paraId="7396D6B1" w14:textId="77777777" w:rsidTr="009D2E78">
        <w:tc>
          <w:tcPr>
            <w:tcW w:w="4220" w:type="dxa"/>
            <w:shd w:val="clear" w:color="auto" w:fill="auto"/>
            <w:tcMar>
              <w:top w:w="100" w:type="dxa"/>
              <w:left w:w="100" w:type="dxa"/>
              <w:bottom w:w="100" w:type="dxa"/>
              <w:right w:w="100" w:type="dxa"/>
            </w:tcMar>
          </w:tcPr>
          <w:p w14:paraId="34FD5A38" w14:textId="218285B4" w:rsidR="00891439" w:rsidRDefault="00891439" w:rsidP="00891439">
            <w:pPr>
              <w:widowControl w:val="0"/>
              <w:pBdr>
                <w:top w:val="nil"/>
                <w:left w:val="nil"/>
                <w:bottom w:val="nil"/>
                <w:right w:val="nil"/>
                <w:between w:val="nil"/>
              </w:pBdr>
              <w:spacing w:line="240" w:lineRule="auto"/>
            </w:pPr>
            <w:r>
              <w:t>Received transplant, n (%)</w:t>
            </w:r>
          </w:p>
        </w:tc>
        <w:tc>
          <w:tcPr>
            <w:tcW w:w="1800" w:type="dxa"/>
            <w:shd w:val="clear" w:color="auto" w:fill="auto"/>
            <w:tcMar>
              <w:top w:w="100" w:type="dxa"/>
              <w:left w:w="100" w:type="dxa"/>
              <w:bottom w:w="100" w:type="dxa"/>
              <w:right w:w="100" w:type="dxa"/>
            </w:tcMar>
          </w:tcPr>
          <w:p w14:paraId="767ADF3F" w14:textId="27500510" w:rsidR="00891439" w:rsidRDefault="00891439" w:rsidP="00891439">
            <w:pPr>
              <w:widowControl w:val="0"/>
              <w:spacing w:line="240" w:lineRule="auto"/>
            </w:pPr>
            <w:r w:rsidRPr="00891439">
              <w:t>12,399 (75%)</w:t>
            </w:r>
          </w:p>
        </w:tc>
        <w:tc>
          <w:tcPr>
            <w:tcW w:w="1800" w:type="dxa"/>
            <w:shd w:val="clear" w:color="auto" w:fill="auto"/>
            <w:tcMar>
              <w:top w:w="100" w:type="dxa"/>
              <w:left w:w="100" w:type="dxa"/>
              <w:bottom w:w="100" w:type="dxa"/>
              <w:right w:w="100" w:type="dxa"/>
            </w:tcMar>
            <w:vAlign w:val="center"/>
          </w:tcPr>
          <w:p w14:paraId="62D369F9" w14:textId="43DEF2E8" w:rsidR="00891439" w:rsidRDefault="00891439" w:rsidP="00891439">
            <w:pPr>
              <w:widowControl w:val="0"/>
              <w:spacing w:line="240" w:lineRule="auto"/>
            </w:pPr>
            <w:r w:rsidRPr="00890CD8">
              <w:rPr>
                <w:color w:val="333333"/>
              </w:rPr>
              <w:t>744 (81%)</w:t>
            </w:r>
          </w:p>
        </w:tc>
        <w:tc>
          <w:tcPr>
            <w:tcW w:w="1800" w:type="dxa"/>
            <w:shd w:val="clear" w:color="auto" w:fill="auto"/>
            <w:tcMar>
              <w:top w:w="100" w:type="dxa"/>
              <w:left w:w="100" w:type="dxa"/>
              <w:bottom w:w="100" w:type="dxa"/>
              <w:right w:w="100" w:type="dxa"/>
            </w:tcMar>
            <w:vAlign w:val="center"/>
          </w:tcPr>
          <w:p w14:paraId="6395597C" w14:textId="5B197BAE" w:rsidR="00891439" w:rsidRDefault="00891439" w:rsidP="00891439">
            <w:pPr>
              <w:widowControl w:val="0"/>
              <w:spacing w:line="240" w:lineRule="auto"/>
            </w:pPr>
            <w:r w:rsidRPr="00890CD8">
              <w:rPr>
                <w:color w:val="333333"/>
              </w:rPr>
              <w:t>250 (64%)</w:t>
            </w:r>
          </w:p>
        </w:tc>
      </w:tr>
    </w:tbl>
    <w:p w14:paraId="702B7B42" w14:textId="77777777" w:rsidR="002158B6" w:rsidRDefault="002158B6">
      <w:pPr>
        <w:spacing w:line="240" w:lineRule="auto"/>
      </w:pPr>
    </w:p>
    <w:p w14:paraId="4F24943A" w14:textId="4B20995A" w:rsidR="002158B6" w:rsidRDefault="009C00DE">
      <w:pPr>
        <w:spacing w:line="480" w:lineRule="auto"/>
        <w:rPr>
          <w:b/>
        </w:rPr>
      </w:pPr>
      <w:r>
        <w:rPr>
          <w:b/>
        </w:rPr>
        <w:t xml:space="preserve">Figure 2: </w:t>
      </w:r>
      <w:r w:rsidR="009028AA">
        <w:rPr>
          <w:b/>
        </w:rPr>
        <w:t>Cumulative Incidence Plots for 1</w:t>
      </w:r>
      <w:r w:rsidR="009028AA" w:rsidRPr="009D2E78">
        <w:rPr>
          <w:b/>
          <w:vertAlign w:val="superscript"/>
        </w:rPr>
        <w:t>st</w:t>
      </w:r>
      <w:r w:rsidR="009028AA">
        <w:rPr>
          <w:b/>
        </w:rPr>
        <w:t xml:space="preserve"> and 10</w:t>
      </w:r>
      <w:r w:rsidR="009028AA" w:rsidRPr="009D2E78">
        <w:rPr>
          <w:b/>
          <w:vertAlign w:val="superscript"/>
        </w:rPr>
        <w:t>th</w:t>
      </w:r>
      <w:r w:rsidR="009028AA">
        <w:rPr>
          <w:b/>
        </w:rPr>
        <w:t xml:space="preserve"> Decile of Each </w:t>
      </w:r>
      <w:r w:rsidR="0028707D">
        <w:rPr>
          <w:b/>
        </w:rPr>
        <w:t xml:space="preserve">Place-Based Disadvantage </w:t>
      </w:r>
      <w:r w:rsidR="009028AA">
        <w:rPr>
          <w:b/>
        </w:rPr>
        <w:t>Index</w:t>
      </w:r>
    </w:p>
    <w:p w14:paraId="143934F6" w14:textId="6699056D" w:rsidR="009028AA" w:rsidRPr="009028AA" w:rsidRDefault="009028AA" w:rsidP="009028AA">
      <w:pPr>
        <w:spacing w:line="480" w:lineRule="auto"/>
        <w:rPr>
          <w:lang w:val="en-US"/>
        </w:rPr>
      </w:pPr>
      <w:r w:rsidRPr="009028AA">
        <w:rPr>
          <w:noProof/>
          <w:lang w:val="en-US"/>
        </w:rPr>
        <w:drawing>
          <wp:inline distT="0" distB="0" distL="0" distR="0" wp14:anchorId="6F65173B" wp14:editId="6B845962">
            <wp:extent cx="5943600" cy="3407410"/>
            <wp:effectExtent l="0" t="0" r="0" b="2540"/>
            <wp:docPr id="629155194" name="Picture 9"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55194" name="Picture 9" descr="A collage of graph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49575BA6" w14:textId="71B18506" w:rsidR="002158B6" w:rsidRDefault="002158B6">
      <w:pPr>
        <w:spacing w:line="480" w:lineRule="auto"/>
        <w:rPr>
          <w:b/>
        </w:rPr>
      </w:pPr>
    </w:p>
    <w:p w14:paraId="6E6E3A47" w14:textId="655C5E86" w:rsidR="005B3535" w:rsidRPr="005B3535" w:rsidRDefault="009C00DE" w:rsidP="005B3535">
      <w:pPr>
        <w:spacing w:line="480" w:lineRule="auto"/>
        <w:rPr>
          <w:b/>
          <w:lang w:val="en-US"/>
        </w:rPr>
      </w:pPr>
      <w:r>
        <w:rPr>
          <w:b/>
        </w:rPr>
        <w:t xml:space="preserve">Figure 3: </w:t>
      </w:r>
      <w:bookmarkStart w:id="31" w:name="_Hlk169895438"/>
      <w:r>
        <w:rPr>
          <w:b/>
        </w:rPr>
        <w:t>Adjusted</w:t>
      </w:r>
      <w:commentRangeStart w:id="32"/>
      <w:r>
        <w:rPr>
          <w:b/>
        </w:rPr>
        <w:t xml:space="preserve"> Competing Risk Regression </w:t>
      </w:r>
      <w:commentRangeEnd w:id="32"/>
      <w:r w:rsidR="00D76FB7">
        <w:rPr>
          <w:rStyle w:val="CommentReference"/>
        </w:rPr>
        <w:commentReference w:id="32"/>
      </w:r>
      <w:r>
        <w:rPr>
          <w:b/>
        </w:rPr>
        <w:t xml:space="preserve">Hazard Ratios by </w:t>
      </w:r>
      <w:r w:rsidR="00B44B90">
        <w:rPr>
          <w:b/>
        </w:rPr>
        <w:t>A</w:t>
      </w:r>
      <w:commentRangeStart w:id="33"/>
      <w:r w:rsidR="00B44B90">
        <w:rPr>
          <w:b/>
        </w:rPr>
        <w:t>D</w:t>
      </w:r>
      <w:commentRangeEnd w:id="33"/>
      <w:r w:rsidR="005B3535">
        <w:rPr>
          <w:rStyle w:val="CommentReference"/>
        </w:rPr>
        <w:commentReference w:id="33"/>
      </w:r>
      <w:r w:rsidR="00B44B90">
        <w:rPr>
          <w:b/>
        </w:rPr>
        <w:t>I</w:t>
      </w:r>
      <w:r>
        <w:rPr>
          <w:b/>
        </w:rPr>
        <w:t xml:space="preserve"> </w:t>
      </w:r>
      <w:commentRangeStart w:id="34"/>
      <w:r>
        <w:rPr>
          <w:b/>
        </w:rPr>
        <w:t>Decile</w:t>
      </w:r>
      <w:commentRangeEnd w:id="34"/>
      <w:r w:rsidR="00D610B5">
        <w:rPr>
          <w:rStyle w:val="CommentReference"/>
        </w:rPr>
        <w:commentReference w:id="34"/>
      </w:r>
      <w:bookmarkEnd w:id="31"/>
      <w:r w:rsidR="005B3535" w:rsidRPr="005B3535">
        <w:rPr>
          <w:rFonts w:ascii="Times New Roman" w:eastAsia="Times New Roman" w:hAnsi="Times New Roman" w:cs="Times New Roman"/>
          <w:sz w:val="24"/>
          <w:szCs w:val="24"/>
          <w:lang w:val="en-US"/>
        </w:rPr>
        <w:t xml:space="preserve"> </w:t>
      </w:r>
    </w:p>
    <w:p w14:paraId="202FEFE5" w14:textId="6E31EF63" w:rsidR="00B44B90" w:rsidRDefault="00D63BD6">
      <w:pPr>
        <w:spacing w:line="480" w:lineRule="auto"/>
        <w:rPr>
          <w:b/>
        </w:rPr>
      </w:pPr>
      <w:r>
        <w:rPr>
          <w:noProof/>
        </w:rPr>
        <w:lastRenderedPageBreak/>
        <w:drawing>
          <wp:inline distT="0" distB="0" distL="0" distR="0" wp14:anchorId="5F1A51FC" wp14:editId="1FDA2438">
            <wp:extent cx="5943600" cy="4245610"/>
            <wp:effectExtent l="0" t="0" r="0" b="2540"/>
            <wp:docPr id="1858285526" name="Picture 12" descr="A graph of 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85526" name="Picture 12" descr="A graph of a graph of a number of objec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14010A0" w14:textId="221632E3" w:rsidR="002158B6" w:rsidRDefault="00846A9D">
      <w:pPr>
        <w:spacing w:line="480" w:lineRule="auto"/>
      </w:pPr>
      <w:commentRangeStart w:id="35"/>
      <w:commentRangeEnd w:id="35"/>
      <w:r>
        <w:rPr>
          <w:rStyle w:val="CommentReference"/>
        </w:rPr>
        <w:commentReference w:id="35"/>
      </w:r>
      <w:r w:rsidR="009C00DE">
        <w:t>*Covariates included: age, sex, race and ethnicity, initial UNOS status, use of ventricular assist devices and/or total artificial heart</w:t>
      </w:r>
    </w:p>
    <w:p w14:paraId="31CA7EA7" w14:textId="77777777" w:rsidR="002158B6" w:rsidRDefault="002158B6">
      <w:pPr>
        <w:spacing w:line="480" w:lineRule="auto"/>
        <w:rPr>
          <w:b/>
        </w:rPr>
      </w:pPr>
    </w:p>
    <w:p w14:paraId="40698CCF" w14:textId="48AAE46A" w:rsidR="002158B6" w:rsidRDefault="009C00DE">
      <w:pPr>
        <w:spacing w:line="480" w:lineRule="auto"/>
        <w:rPr>
          <w:b/>
        </w:rPr>
      </w:pPr>
      <w:commentRangeStart w:id="36"/>
      <w:r w:rsidRPr="002B3F45">
        <w:rPr>
          <w:b/>
          <w:highlight w:val="yellow"/>
        </w:rPr>
        <w:t xml:space="preserve">Figure 4: </w:t>
      </w:r>
      <w:commentRangeEnd w:id="36"/>
      <w:r w:rsidR="0004754D" w:rsidRPr="002B3F45">
        <w:rPr>
          <w:rStyle w:val="CommentReference"/>
          <w:highlight w:val="yellow"/>
        </w:rPr>
        <w:commentReference w:id="36"/>
      </w:r>
      <w:r w:rsidR="0050611F" w:rsidRPr="002B3F45">
        <w:rPr>
          <w:b/>
          <w:highlight w:val="yellow"/>
        </w:rPr>
        <w:t>Association</w:t>
      </w:r>
      <w:r w:rsidR="00A0588D" w:rsidRPr="002B3F45">
        <w:rPr>
          <w:b/>
          <w:highlight w:val="yellow"/>
        </w:rPr>
        <w:t>s</w:t>
      </w:r>
      <w:r w:rsidR="0050611F" w:rsidRPr="002B3F45">
        <w:rPr>
          <w:b/>
          <w:highlight w:val="yellow"/>
        </w:rPr>
        <w:t xml:space="preserve"> between </w:t>
      </w:r>
      <w:r w:rsidR="00861227" w:rsidRPr="002B3F45">
        <w:rPr>
          <w:b/>
          <w:highlight w:val="yellow"/>
        </w:rPr>
        <w:t>Index</w:t>
      </w:r>
      <w:r w:rsidR="00A0588D" w:rsidRPr="002B3F45">
        <w:rPr>
          <w:b/>
          <w:highlight w:val="yellow"/>
        </w:rPr>
        <w:t xml:space="preserve"> Percentile, Transplantation, </w:t>
      </w:r>
      <w:r w:rsidR="00861227" w:rsidRPr="002B3F45">
        <w:rPr>
          <w:b/>
          <w:highlight w:val="yellow"/>
        </w:rPr>
        <w:t xml:space="preserve">Death or Deterioration, </w:t>
      </w:r>
      <w:r w:rsidR="00A0588D" w:rsidRPr="002B3F45">
        <w:rPr>
          <w:b/>
          <w:highlight w:val="yellow"/>
        </w:rPr>
        <w:t>and Durable LVAD using</w:t>
      </w:r>
      <w:r w:rsidR="005E6269" w:rsidRPr="002B3F45">
        <w:rPr>
          <w:b/>
          <w:highlight w:val="yellow"/>
        </w:rPr>
        <w:t xml:space="preserve"> Restricted Cubic Spline</w:t>
      </w:r>
    </w:p>
    <w:p w14:paraId="2C4BA742" w14:textId="5B1F5F56" w:rsidR="002158B6" w:rsidRDefault="00EC07A3">
      <w:pPr>
        <w:spacing w:line="480" w:lineRule="auto"/>
        <w:rPr>
          <w:b/>
        </w:rPr>
      </w:pPr>
      <w:commentRangeStart w:id="37"/>
      <w:commentRangeEnd w:id="37"/>
      <w:r>
        <w:rPr>
          <w:rStyle w:val="CommentReference"/>
        </w:rPr>
        <w:commentReference w:id="37"/>
      </w:r>
    </w:p>
    <w:p w14:paraId="6D5C6272" w14:textId="573A06C9" w:rsidR="002158B6" w:rsidRDefault="002158B6">
      <w:pPr>
        <w:spacing w:line="480" w:lineRule="auto"/>
        <w:rPr>
          <w:b/>
        </w:rPr>
      </w:pPr>
    </w:p>
    <w:p w14:paraId="0C399698" w14:textId="77777777" w:rsidR="002158B6" w:rsidRDefault="002158B6">
      <w:pPr>
        <w:spacing w:line="480" w:lineRule="auto"/>
        <w:rPr>
          <w:b/>
        </w:rPr>
      </w:pPr>
    </w:p>
    <w:p w14:paraId="1852FD58" w14:textId="77777777" w:rsidR="002158B6" w:rsidRDefault="009C00DE">
      <w:pPr>
        <w:spacing w:line="480" w:lineRule="auto"/>
        <w:rPr>
          <w:b/>
        </w:rPr>
      </w:pPr>
      <w:r>
        <w:br w:type="page"/>
      </w:r>
    </w:p>
    <w:p w14:paraId="42CDCE51" w14:textId="77777777" w:rsidR="002158B6" w:rsidRDefault="009C00DE">
      <w:pPr>
        <w:spacing w:line="480" w:lineRule="auto"/>
        <w:jc w:val="center"/>
        <w:rPr>
          <w:b/>
        </w:rPr>
      </w:pPr>
      <w:r>
        <w:rPr>
          <w:b/>
        </w:rPr>
        <w:lastRenderedPageBreak/>
        <w:t>References</w:t>
      </w:r>
    </w:p>
    <w:p w14:paraId="6C70DFDA" w14:textId="77777777" w:rsidR="002158B6" w:rsidRDefault="009C00DE" w:rsidP="00194819">
      <w:pPr>
        <w:numPr>
          <w:ilvl w:val="0"/>
          <w:numId w:val="1"/>
        </w:numPr>
        <w:spacing w:line="480" w:lineRule="auto"/>
      </w:pPr>
      <w:r>
        <w:rPr>
          <w:rFonts w:ascii="Roboto" w:eastAsia="Roboto" w:hAnsi="Roboto" w:cs="Roboto"/>
          <w:color w:val="444746"/>
          <w:sz w:val="21"/>
          <w:szCs w:val="21"/>
          <w:highlight w:val="white"/>
        </w:rPr>
        <w:t>Martin SS, Aday AW, Almarzooq ZI, et al. 2024 Heart Disease and Stroke Statistics: A Report of US and Global Data From the American Heart Association. Circulation. 2024;149(8):e347-e913. doi:10.1161/CIR.0000000000001209</w:t>
      </w:r>
    </w:p>
    <w:p w14:paraId="414893A6" w14:textId="77777777" w:rsidR="002158B6" w:rsidRDefault="009C00DE" w:rsidP="00194819">
      <w:pPr>
        <w:numPr>
          <w:ilvl w:val="0"/>
          <w:numId w:val="1"/>
        </w:numPr>
        <w:spacing w:line="480" w:lineRule="auto"/>
        <w:rPr>
          <w:rFonts w:ascii="Roboto" w:eastAsia="Roboto" w:hAnsi="Roboto" w:cs="Roboto"/>
          <w:color w:val="444746"/>
          <w:sz w:val="21"/>
          <w:szCs w:val="21"/>
          <w:highlight w:val="white"/>
        </w:rPr>
      </w:pPr>
      <w:r>
        <w:rPr>
          <w:rFonts w:ascii="Roboto" w:eastAsia="Roboto" w:hAnsi="Roboto" w:cs="Roboto"/>
          <w:color w:val="444746"/>
          <w:sz w:val="21"/>
          <w:szCs w:val="21"/>
          <w:highlight w:val="white"/>
        </w:rPr>
        <w:t>Chen Q, Malas J, Emerson D, et al. Heart transplantation in patients from socioeconomically distressed communities. The Journal of Heart and Lung Transplantation. 2024;43(2):324-333. doi:10.1016/j.healun.2023.08.004</w:t>
      </w:r>
    </w:p>
    <w:p w14:paraId="18551F0C"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Suarez-Pierre A, Iguidbashian J, Kirsch MJ, et al. Importance of social vulnerability on long-term outcomes after heart transplantation. </w:t>
      </w:r>
      <w:r>
        <w:rPr>
          <w:rFonts w:ascii="Roboto" w:eastAsia="Roboto" w:hAnsi="Roboto" w:cs="Roboto"/>
          <w:i/>
          <w:color w:val="444746"/>
          <w:sz w:val="21"/>
          <w:szCs w:val="21"/>
          <w:highlight w:val="white"/>
        </w:rPr>
        <w:t>American Journal of Transplantation</w:t>
      </w:r>
      <w:r>
        <w:rPr>
          <w:rFonts w:ascii="Roboto" w:eastAsia="Roboto" w:hAnsi="Roboto" w:cs="Roboto"/>
          <w:color w:val="444746"/>
          <w:sz w:val="21"/>
          <w:szCs w:val="21"/>
          <w:highlight w:val="white"/>
        </w:rPr>
        <w:t>. 2023;23(10):1580-1589. doi:</w:t>
      </w:r>
      <w:hyperlink r:id="rId12">
        <w:r>
          <w:rPr>
            <w:rFonts w:ascii="Roboto" w:eastAsia="Roboto" w:hAnsi="Roboto" w:cs="Roboto"/>
            <w:color w:val="1155CC"/>
            <w:sz w:val="21"/>
            <w:szCs w:val="21"/>
            <w:highlight w:val="white"/>
            <w:u w:val="single"/>
          </w:rPr>
          <w:t>10.1016/j.ajt.2023.06.017</w:t>
        </w:r>
      </w:hyperlink>
    </w:p>
    <w:p w14:paraId="1494DDBD"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Cogswell R, Masotti M, Morris AA, Hart A, Murray T, Yancy C. Assessment of U.S. heart transplantation equity as a function of race: Observational analyses of the OPTN database. </w:t>
      </w:r>
      <w:r>
        <w:rPr>
          <w:rFonts w:ascii="Roboto" w:eastAsia="Roboto" w:hAnsi="Roboto" w:cs="Roboto"/>
          <w:i/>
          <w:color w:val="444746"/>
          <w:sz w:val="21"/>
          <w:szCs w:val="21"/>
          <w:highlight w:val="white"/>
        </w:rPr>
        <w:t>The Lancet Regional Health - Americas</w:t>
      </w:r>
      <w:r>
        <w:rPr>
          <w:rFonts w:ascii="Roboto" w:eastAsia="Roboto" w:hAnsi="Roboto" w:cs="Roboto"/>
          <w:color w:val="444746"/>
          <w:sz w:val="21"/>
          <w:szCs w:val="21"/>
          <w:highlight w:val="white"/>
        </w:rPr>
        <w:t>. 2022;13:100290. doi:</w:t>
      </w:r>
      <w:hyperlink r:id="rId13">
        <w:r>
          <w:rPr>
            <w:rFonts w:ascii="Roboto" w:eastAsia="Roboto" w:hAnsi="Roboto" w:cs="Roboto"/>
            <w:color w:val="1155CC"/>
            <w:sz w:val="21"/>
            <w:szCs w:val="21"/>
            <w:highlight w:val="white"/>
            <w:u w:val="single"/>
          </w:rPr>
          <w:t>10.1016/j.lana.2022.100290</w:t>
        </w:r>
      </w:hyperlink>
    </w:p>
    <w:p w14:paraId="2E0B4EFD" w14:textId="77777777" w:rsidR="002158B6" w:rsidRDefault="009C00DE" w:rsidP="00194819">
      <w:pPr>
        <w:numPr>
          <w:ilvl w:val="0"/>
          <w:numId w:val="1"/>
        </w:numPr>
        <w:spacing w:line="480" w:lineRule="auto"/>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Frech A, Tarrence J, Natale G, Tumin D. Ventricular Assist Device Technology and Black-White Disparities on the Heart Transplant Wait List. </w:t>
      </w:r>
      <w:r>
        <w:rPr>
          <w:rFonts w:ascii="Roboto" w:eastAsia="Roboto" w:hAnsi="Roboto" w:cs="Roboto"/>
          <w:i/>
          <w:color w:val="444746"/>
          <w:sz w:val="21"/>
          <w:szCs w:val="21"/>
          <w:highlight w:val="white"/>
        </w:rPr>
        <w:t>Prog Transplant</w:t>
      </w:r>
      <w:r>
        <w:rPr>
          <w:rFonts w:ascii="Roboto" w:eastAsia="Roboto" w:hAnsi="Roboto" w:cs="Roboto"/>
          <w:color w:val="444746"/>
          <w:sz w:val="21"/>
          <w:szCs w:val="21"/>
          <w:highlight w:val="white"/>
        </w:rPr>
        <w:t>. 2021;31(1):80-87. doi:</w:t>
      </w:r>
      <w:hyperlink r:id="rId14">
        <w:r>
          <w:rPr>
            <w:rFonts w:ascii="Roboto" w:eastAsia="Roboto" w:hAnsi="Roboto" w:cs="Roboto"/>
            <w:color w:val="1155CC"/>
            <w:sz w:val="21"/>
            <w:szCs w:val="21"/>
            <w:highlight w:val="white"/>
            <w:u w:val="single"/>
          </w:rPr>
          <w:t>10.1177/1526924820978591</w:t>
        </w:r>
      </w:hyperlink>
    </w:p>
    <w:p w14:paraId="02E203A6"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Okoh AK, Selevanny M, Singh S, et al. Racial disparities and outcomes of left ventricular assist device implantation as a bridge to heart transplantation. </w:t>
      </w:r>
      <w:r>
        <w:rPr>
          <w:rFonts w:ascii="Roboto" w:eastAsia="Roboto" w:hAnsi="Roboto" w:cs="Roboto"/>
          <w:i/>
          <w:color w:val="444746"/>
          <w:sz w:val="21"/>
          <w:szCs w:val="21"/>
          <w:highlight w:val="white"/>
        </w:rPr>
        <w:t>ESC Heart Fail</w:t>
      </w:r>
      <w:r>
        <w:rPr>
          <w:rFonts w:ascii="Roboto" w:eastAsia="Roboto" w:hAnsi="Roboto" w:cs="Roboto"/>
          <w:color w:val="444746"/>
          <w:sz w:val="21"/>
          <w:szCs w:val="21"/>
          <w:highlight w:val="white"/>
        </w:rPr>
        <w:t>. 2020;7(5):2744-2751. doi:</w:t>
      </w:r>
      <w:hyperlink r:id="rId15">
        <w:r>
          <w:rPr>
            <w:rFonts w:ascii="Roboto" w:eastAsia="Roboto" w:hAnsi="Roboto" w:cs="Roboto"/>
            <w:color w:val="1155CC"/>
            <w:sz w:val="21"/>
            <w:szCs w:val="21"/>
            <w:highlight w:val="white"/>
            <w:u w:val="single"/>
          </w:rPr>
          <w:t>10.1002/ehf2.12866</w:t>
        </w:r>
      </w:hyperlink>
    </w:p>
    <w:p w14:paraId="33B2B293" w14:textId="77777777" w:rsidR="002158B6" w:rsidRDefault="009C00DE" w:rsidP="00194819">
      <w:pPr>
        <w:numPr>
          <w:ilvl w:val="0"/>
          <w:numId w:val="1"/>
        </w:numPr>
        <w:spacing w:line="480" w:lineRule="auto"/>
        <w:rPr>
          <w:rFonts w:ascii="Roboto" w:eastAsia="Roboto" w:hAnsi="Roboto" w:cs="Roboto"/>
          <w:color w:val="444746"/>
          <w:sz w:val="21"/>
          <w:szCs w:val="21"/>
          <w:highlight w:val="white"/>
        </w:rPr>
      </w:pPr>
      <w:r>
        <w:rPr>
          <w:rFonts w:ascii="Roboto" w:eastAsia="Roboto" w:hAnsi="Roboto" w:cs="Roboto"/>
          <w:color w:val="444746"/>
          <w:sz w:val="21"/>
          <w:szCs w:val="21"/>
          <w:highlight w:val="white"/>
        </w:rPr>
        <w:t>Park C, Jones MM, Kaplan S, et al. A scoping review of inequities in access to organ transplant in the United States. Int J Equity Health. 2022;21:22. doi:10.1186/s12939-021-01616-x</w:t>
      </w:r>
    </w:p>
    <w:p w14:paraId="69797EE1"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Continuous distribution - OPTN. Accessed May 30, 2024.</w:t>
      </w:r>
      <w:hyperlink r:id="rId16">
        <w:r>
          <w:rPr>
            <w:rFonts w:ascii="Roboto" w:eastAsia="Roboto" w:hAnsi="Roboto" w:cs="Roboto"/>
            <w:color w:val="444746"/>
            <w:sz w:val="21"/>
            <w:szCs w:val="21"/>
            <w:highlight w:val="white"/>
          </w:rPr>
          <w:t xml:space="preserve"> </w:t>
        </w:r>
      </w:hyperlink>
      <w:hyperlink r:id="rId17">
        <w:r>
          <w:rPr>
            <w:rFonts w:ascii="Roboto" w:eastAsia="Roboto" w:hAnsi="Roboto" w:cs="Roboto"/>
            <w:color w:val="1155CC"/>
            <w:sz w:val="21"/>
            <w:szCs w:val="21"/>
            <w:highlight w:val="white"/>
            <w:u w:val="single"/>
          </w:rPr>
          <w:t>https://optn.transplant.hrsa.gov/policies-bylaws/a-closer-look/continuous-distribution/</w:t>
        </w:r>
      </w:hyperlink>
    </w:p>
    <w:p w14:paraId="75056789"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Continuous distribution - heart - OPTN. Accessed May 30, 2024.</w:t>
      </w:r>
      <w:hyperlink r:id="rId18">
        <w:r>
          <w:rPr>
            <w:rFonts w:ascii="Roboto" w:eastAsia="Roboto" w:hAnsi="Roboto" w:cs="Roboto"/>
            <w:color w:val="444746"/>
            <w:sz w:val="21"/>
            <w:szCs w:val="21"/>
            <w:highlight w:val="white"/>
          </w:rPr>
          <w:t xml:space="preserve"> </w:t>
        </w:r>
      </w:hyperlink>
      <w:hyperlink r:id="rId19">
        <w:r>
          <w:rPr>
            <w:rFonts w:ascii="Roboto" w:eastAsia="Roboto" w:hAnsi="Roboto" w:cs="Roboto"/>
            <w:color w:val="1155CC"/>
            <w:sz w:val="21"/>
            <w:szCs w:val="21"/>
            <w:highlight w:val="white"/>
            <w:u w:val="single"/>
          </w:rPr>
          <w:t>https://optn.transplant.hrsa.gov/policies-bylaws/a-closer-look/continuous-distribution/continuous-distribution-heart/</w:t>
        </w:r>
      </w:hyperlink>
    </w:p>
    <w:p w14:paraId="6B61DEE4" w14:textId="77777777" w:rsidR="002158B6" w:rsidRDefault="009C00DE" w:rsidP="00194819">
      <w:pPr>
        <w:numPr>
          <w:ilvl w:val="0"/>
          <w:numId w:val="1"/>
        </w:numPr>
        <w:spacing w:line="480" w:lineRule="auto"/>
        <w:rPr>
          <w:rFonts w:ascii="Roboto" w:eastAsia="Roboto" w:hAnsi="Roboto" w:cs="Roboto"/>
          <w:color w:val="444746"/>
          <w:sz w:val="21"/>
          <w:szCs w:val="21"/>
          <w:highlight w:val="white"/>
        </w:rPr>
      </w:pPr>
      <w:r>
        <w:rPr>
          <w:rFonts w:ascii="Roboto" w:eastAsia="Roboto" w:hAnsi="Roboto" w:cs="Roboto"/>
          <w:color w:val="444746"/>
          <w:sz w:val="21"/>
          <w:szCs w:val="21"/>
          <w:highlight w:val="white"/>
        </w:rPr>
        <w:t>Park C, Schappe T, Peskoe S, et al. A comparison of deprivation indices and application to transplant populations. Am J Transplant. 2023;23(3):377-386. doi:10.1016/j.ajt.2022.11.018</w:t>
      </w:r>
    </w:p>
    <w:p w14:paraId="24B0AEDD"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lastRenderedPageBreak/>
        <w:t xml:space="preserve">Killian AC, Shelton B, MacLennan P, et al. Evaluation of Community-Level Vulnerability and Racial Disparities in Living Donor Kidney Transplant. </w:t>
      </w:r>
      <w:r>
        <w:rPr>
          <w:rFonts w:ascii="Roboto" w:eastAsia="Roboto" w:hAnsi="Roboto" w:cs="Roboto"/>
          <w:i/>
          <w:color w:val="444746"/>
          <w:sz w:val="21"/>
          <w:szCs w:val="21"/>
          <w:highlight w:val="white"/>
        </w:rPr>
        <w:t>JAMA Surg</w:t>
      </w:r>
      <w:r>
        <w:rPr>
          <w:rFonts w:ascii="Roboto" w:eastAsia="Roboto" w:hAnsi="Roboto" w:cs="Roboto"/>
          <w:color w:val="444746"/>
          <w:sz w:val="21"/>
          <w:szCs w:val="21"/>
          <w:highlight w:val="white"/>
        </w:rPr>
        <w:t>. 2021;156(12):1120-1129. doi:</w:t>
      </w:r>
      <w:hyperlink r:id="rId20">
        <w:r>
          <w:rPr>
            <w:rFonts w:ascii="Roboto" w:eastAsia="Roboto" w:hAnsi="Roboto" w:cs="Roboto"/>
            <w:color w:val="1155CC"/>
            <w:sz w:val="21"/>
            <w:szCs w:val="21"/>
            <w:highlight w:val="white"/>
            <w:u w:val="single"/>
          </w:rPr>
          <w:t>10.1001/jamasurg.2021.4410</w:t>
        </w:r>
      </w:hyperlink>
    </w:p>
    <w:p w14:paraId="29312CA1"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Armstrong A, Liang JW, Char D, Hollander SA, Pyke-Grimm KA. The effect of socioeconomic status on pediatric heart transplant outcomes at a single institution between 2013 and 2022. </w:t>
      </w:r>
      <w:r>
        <w:rPr>
          <w:rFonts w:ascii="Roboto" w:eastAsia="Roboto" w:hAnsi="Roboto" w:cs="Roboto"/>
          <w:i/>
          <w:color w:val="444746"/>
          <w:sz w:val="21"/>
          <w:szCs w:val="21"/>
          <w:highlight w:val="white"/>
        </w:rPr>
        <w:t>Pediatr Transplant</w:t>
      </w:r>
      <w:r>
        <w:rPr>
          <w:rFonts w:ascii="Roboto" w:eastAsia="Roboto" w:hAnsi="Roboto" w:cs="Roboto"/>
          <w:color w:val="444746"/>
          <w:sz w:val="21"/>
          <w:szCs w:val="21"/>
          <w:highlight w:val="white"/>
        </w:rPr>
        <w:t>. 2024;28(2):e14695. doi:</w:t>
      </w:r>
      <w:hyperlink r:id="rId21">
        <w:r>
          <w:rPr>
            <w:rFonts w:ascii="Roboto" w:eastAsia="Roboto" w:hAnsi="Roboto" w:cs="Roboto"/>
            <w:color w:val="1155CC"/>
            <w:sz w:val="21"/>
            <w:szCs w:val="21"/>
            <w:highlight w:val="white"/>
            <w:u w:val="single"/>
          </w:rPr>
          <w:t>10.1111/petr.14695</w:t>
        </w:r>
      </w:hyperlink>
    </w:p>
    <w:p w14:paraId="5E89D5E2" w14:textId="77777777" w:rsidR="002158B6" w:rsidRDefault="009C00DE" w:rsidP="00194819">
      <w:pPr>
        <w:numPr>
          <w:ilvl w:val="0"/>
          <w:numId w:val="1"/>
        </w:numPr>
        <w:shd w:val="clear" w:color="auto" w:fill="FFFFFF"/>
        <w:spacing w:line="324" w:lineRule="auto"/>
        <w:rPr>
          <w:rFonts w:ascii="Roboto" w:eastAsia="Roboto" w:hAnsi="Roboto" w:cs="Roboto"/>
          <w:color w:val="444746"/>
          <w:sz w:val="21"/>
          <w:szCs w:val="21"/>
          <w:highlight w:val="white"/>
        </w:rPr>
      </w:pPr>
      <w:r>
        <w:rPr>
          <w:color w:val="464646"/>
          <w:sz w:val="21"/>
          <w:szCs w:val="21"/>
          <w:highlight w:val="white"/>
        </w:rPr>
        <w:t xml:space="preserve">Kind AJH, Buckingham W. </w:t>
      </w:r>
      <w:hyperlink r:id="rId22">
        <w:r>
          <w:rPr>
            <w:color w:val="226AAD"/>
            <w:sz w:val="21"/>
            <w:szCs w:val="21"/>
            <w:highlight w:val="white"/>
          </w:rPr>
          <w:t>Making Neighborhood Disadvantage Metrics Accessible: The Neighborhood Atlas</w:t>
        </w:r>
      </w:hyperlink>
      <w:r>
        <w:rPr>
          <w:color w:val="464646"/>
          <w:sz w:val="21"/>
          <w:szCs w:val="21"/>
          <w:highlight w:val="white"/>
        </w:rPr>
        <w:t xml:space="preserve">. </w:t>
      </w:r>
      <w:r>
        <w:rPr>
          <w:i/>
          <w:color w:val="464646"/>
          <w:sz w:val="21"/>
          <w:szCs w:val="21"/>
          <w:highlight w:val="white"/>
        </w:rPr>
        <w:t>New England Journal of Medicine</w:t>
      </w:r>
      <w:r>
        <w:rPr>
          <w:color w:val="464646"/>
          <w:sz w:val="21"/>
          <w:szCs w:val="21"/>
          <w:highlight w:val="white"/>
        </w:rPr>
        <w:t>, 2018. 378: 2456-2458. DOI: 10.1056/NEJMp1802313. PMCID: PMC6051533.</w:t>
      </w:r>
    </w:p>
    <w:p w14:paraId="68DF1E2F" w14:textId="77777777" w:rsidR="002158B6" w:rsidRDefault="009C00DE" w:rsidP="00194819">
      <w:pPr>
        <w:numPr>
          <w:ilvl w:val="0"/>
          <w:numId w:val="1"/>
        </w:numPr>
        <w:shd w:val="clear" w:color="auto" w:fill="FFFFFF"/>
        <w:spacing w:line="324" w:lineRule="auto"/>
        <w:rPr>
          <w:rFonts w:ascii="Roboto" w:eastAsia="Roboto" w:hAnsi="Roboto" w:cs="Roboto"/>
          <w:color w:val="444746"/>
          <w:sz w:val="21"/>
          <w:szCs w:val="21"/>
          <w:highlight w:val="white"/>
        </w:rPr>
      </w:pPr>
      <w:r>
        <w:rPr>
          <w:color w:val="464646"/>
          <w:sz w:val="21"/>
          <w:szCs w:val="21"/>
          <w:highlight w:val="white"/>
        </w:rPr>
        <w:t xml:space="preserve">University of Wisconsin School of Medicine and Public Health. </w:t>
      </w:r>
      <w:r>
        <w:rPr>
          <w:i/>
          <w:color w:val="464646"/>
          <w:sz w:val="21"/>
          <w:szCs w:val="21"/>
          <w:highlight w:val="white"/>
        </w:rPr>
        <w:t>2021</w:t>
      </w:r>
      <w:r>
        <w:rPr>
          <w:color w:val="464646"/>
          <w:sz w:val="21"/>
          <w:szCs w:val="21"/>
          <w:highlight w:val="white"/>
        </w:rPr>
        <w:t xml:space="preserve"> Area Deprivation Index </w:t>
      </w:r>
      <w:r>
        <w:rPr>
          <w:i/>
          <w:color w:val="464646"/>
          <w:sz w:val="21"/>
          <w:szCs w:val="21"/>
          <w:highlight w:val="white"/>
        </w:rPr>
        <w:t>v4</w:t>
      </w:r>
      <w:r>
        <w:rPr>
          <w:color w:val="464646"/>
          <w:sz w:val="21"/>
          <w:szCs w:val="21"/>
          <w:highlight w:val="white"/>
        </w:rPr>
        <w:t xml:space="preserve"> Downloaded from </w:t>
      </w:r>
      <w:hyperlink r:id="rId23">
        <w:r>
          <w:rPr>
            <w:color w:val="1155CC"/>
            <w:sz w:val="21"/>
            <w:szCs w:val="21"/>
            <w:highlight w:val="white"/>
            <w:u w:val="single"/>
          </w:rPr>
          <w:t>https://www.neighborhoodatlas.medicine.wisc.edu/</w:t>
        </w:r>
      </w:hyperlink>
      <w:r>
        <w:rPr>
          <w:color w:val="464646"/>
          <w:sz w:val="21"/>
          <w:szCs w:val="21"/>
          <w:highlight w:val="white"/>
        </w:rPr>
        <w:t xml:space="preserve"> May, 30, 2024.</w:t>
      </w:r>
    </w:p>
    <w:p w14:paraId="5295DE2B"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Saulsberry L, Bhargava A, Zeng S, et al. The social vulnerability metric (SVM) as a new tool for public health. </w:t>
      </w:r>
      <w:r>
        <w:rPr>
          <w:rFonts w:ascii="Roboto" w:eastAsia="Roboto" w:hAnsi="Roboto" w:cs="Roboto"/>
          <w:i/>
          <w:color w:val="444746"/>
          <w:sz w:val="21"/>
          <w:szCs w:val="21"/>
          <w:highlight w:val="white"/>
        </w:rPr>
        <w:t>Health Serv Res</w:t>
      </w:r>
      <w:r>
        <w:rPr>
          <w:rFonts w:ascii="Roboto" w:eastAsia="Roboto" w:hAnsi="Roboto" w:cs="Roboto"/>
          <w:color w:val="444746"/>
          <w:sz w:val="21"/>
          <w:szCs w:val="21"/>
          <w:highlight w:val="white"/>
        </w:rPr>
        <w:t>. 2023;58(4):873-881. doi:</w:t>
      </w:r>
      <w:hyperlink r:id="rId24">
        <w:r>
          <w:rPr>
            <w:rFonts w:ascii="Roboto" w:eastAsia="Roboto" w:hAnsi="Roboto" w:cs="Roboto"/>
            <w:color w:val="1155CC"/>
            <w:sz w:val="21"/>
            <w:szCs w:val="21"/>
            <w:highlight w:val="white"/>
            <w:u w:val="single"/>
          </w:rPr>
          <w:t>10.1111/1475-6773.14102</w:t>
        </w:r>
      </w:hyperlink>
    </w:p>
    <w:p w14:paraId="5A790371"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CDC/ATSDR Social Vulnerability Index (CDC/ATSDR SVI). Published May 21, 2024. Accessed May 30, 2024.</w:t>
      </w:r>
      <w:hyperlink r:id="rId25">
        <w:r>
          <w:rPr>
            <w:rFonts w:ascii="Roboto" w:eastAsia="Roboto" w:hAnsi="Roboto" w:cs="Roboto"/>
            <w:color w:val="444746"/>
            <w:sz w:val="21"/>
            <w:szCs w:val="21"/>
            <w:highlight w:val="white"/>
          </w:rPr>
          <w:t xml:space="preserve"> </w:t>
        </w:r>
      </w:hyperlink>
      <w:hyperlink r:id="rId26">
        <w:r>
          <w:rPr>
            <w:rFonts w:ascii="Roboto" w:eastAsia="Roboto" w:hAnsi="Roboto" w:cs="Roboto"/>
            <w:color w:val="1155CC"/>
            <w:sz w:val="21"/>
            <w:szCs w:val="21"/>
            <w:highlight w:val="white"/>
            <w:u w:val="single"/>
          </w:rPr>
          <w:t>https://www.atsdr.cdc.gov/placeandhealth/svi/index.html</w:t>
        </w:r>
      </w:hyperlink>
    </w:p>
    <w:p w14:paraId="6F85EE80"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Brandon. Distressed Communities Index. Economic Innovation Group. Accessed May 30, 2024.</w:t>
      </w:r>
      <w:hyperlink r:id="rId27">
        <w:r>
          <w:rPr>
            <w:rFonts w:ascii="Roboto" w:eastAsia="Roboto" w:hAnsi="Roboto" w:cs="Roboto"/>
            <w:color w:val="444746"/>
            <w:sz w:val="21"/>
            <w:szCs w:val="21"/>
            <w:highlight w:val="white"/>
          </w:rPr>
          <w:t xml:space="preserve"> </w:t>
        </w:r>
      </w:hyperlink>
      <w:hyperlink r:id="rId28">
        <w:r>
          <w:rPr>
            <w:rFonts w:ascii="Roboto" w:eastAsia="Roboto" w:hAnsi="Roboto" w:cs="Roboto"/>
            <w:color w:val="1155CC"/>
            <w:sz w:val="21"/>
            <w:szCs w:val="21"/>
            <w:highlight w:val="white"/>
            <w:u w:val="single"/>
          </w:rPr>
          <w:t>https://eig.org/distressed-communities/</w:t>
        </w:r>
      </w:hyperlink>
    </w:p>
    <w:p w14:paraId="001B8649"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HUD USPS ZIP Code Crosswalk Files | HUD USER. Accessed May 30, 2024.</w:t>
      </w:r>
      <w:hyperlink r:id="rId29">
        <w:r>
          <w:rPr>
            <w:rFonts w:ascii="Roboto" w:eastAsia="Roboto" w:hAnsi="Roboto" w:cs="Roboto"/>
            <w:color w:val="444746"/>
            <w:sz w:val="21"/>
            <w:szCs w:val="21"/>
            <w:highlight w:val="white"/>
          </w:rPr>
          <w:t xml:space="preserve"> </w:t>
        </w:r>
      </w:hyperlink>
      <w:hyperlink r:id="rId30">
        <w:r>
          <w:rPr>
            <w:rFonts w:ascii="Roboto" w:eastAsia="Roboto" w:hAnsi="Roboto" w:cs="Roboto"/>
            <w:color w:val="1155CC"/>
            <w:sz w:val="21"/>
            <w:szCs w:val="21"/>
            <w:highlight w:val="white"/>
            <w:u w:val="single"/>
          </w:rPr>
          <w:t>https://www.huduser.gov/portal/datasets/usps_crosswalk.html</w:t>
        </w:r>
      </w:hyperlink>
    </w:p>
    <w:p w14:paraId="3AFB53A5"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Mankowski MA, Wood NL, Segev DL, Gentry SE. Removing Geographic Boundaries from Liver Allocation: A Method for Designing Continuous Distribution Scores. </w:t>
      </w:r>
      <w:r>
        <w:rPr>
          <w:rFonts w:ascii="Roboto" w:eastAsia="Roboto" w:hAnsi="Roboto" w:cs="Roboto"/>
          <w:i/>
          <w:color w:val="444746"/>
          <w:sz w:val="21"/>
          <w:szCs w:val="21"/>
          <w:highlight w:val="white"/>
        </w:rPr>
        <w:t>Clin Transplant</w:t>
      </w:r>
      <w:r>
        <w:rPr>
          <w:rFonts w:ascii="Roboto" w:eastAsia="Roboto" w:hAnsi="Roboto" w:cs="Roboto"/>
          <w:color w:val="444746"/>
          <w:sz w:val="21"/>
          <w:szCs w:val="21"/>
          <w:highlight w:val="white"/>
        </w:rPr>
        <w:t>. 2023;37(9):e15017. doi:</w:t>
      </w:r>
      <w:hyperlink r:id="rId31">
        <w:r>
          <w:rPr>
            <w:rFonts w:ascii="Roboto" w:eastAsia="Roboto" w:hAnsi="Roboto" w:cs="Roboto"/>
            <w:color w:val="1155CC"/>
            <w:sz w:val="21"/>
            <w:szCs w:val="21"/>
            <w:highlight w:val="white"/>
            <w:u w:val="single"/>
          </w:rPr>
          <w:t>10.1111/ctr.15017</w:t>
        </w:r>
      </w:hyperlink>
    </w:p>
    <w:p w14:paraId="56C4B277" w14:textId="77777777" w:rsidR="002158B6" w:rsidRDefault="009C00DE" w:rsidP="00194819">
      <w:pPr>
        <w:numPr>
          <w:ilvl w:val="0"/>
          <w:numId w:val="1"/>
        </w:numPr>
        <w:shd w:val="clear" w:color="auto" w:fill="FFFFFF"/>
        <w:spacing w:line="324" w:lineRule="auto"/>
        <w:rPr>
          <w:color w:val="464646"/>
        </w:rPr>
      </w:pPr>
      <w:r>
        <w:rPr>
          <w:color w:val="464646"/>
          <w:sz w:val="21"/>
          <w:szCs w:val="21"/>
          <w:highlight w:val="white"/>
        </w:rPr>
        <w:t xml:space="preserve">Singh GK. </w:t>
      </w:r>
      <w:hyperlink r:id="rId32">
        <w:r>
          <w:rPr>
            <w:color w:val="226AAD"/>
            <w:sz w:val="21"/>
            <w:szCs w:val="21"/>
            <w:highlight w:val="white"/>
          </w:rPr>
          <w:t>Area deprivation and widening inequalities in US mortality, 1969-1998</w:t>
        </w:r>
      </w:hyperlink>
      <w:r>
        <w:rPr>
          <w:color w:val="464646"/>
          <w:sz w:val="21"/>
          <w:szCs w:val="21"/>
          <w:highlight w:val="white"/>
        </w:rPr>
        <w:t>. Am J Public Health 2003;93(7):1137-43.</w:t>
      </w:r>
    </w:p>
    <w:p w14:paraId="52FF5912"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Hess NR, Hickey GW, Keebler ME, et al. Left ventricular assist device bridging to heart transplantation: Comparison of temporary versus durable support. </w:t>
      </w:r>
      <w:r>
        <w:rPr>
          <w:rFonts w:ascii="Roboto" w:eastAsia="Roboto" w:hAnsi="Roboto" w:cs="Roboto"/>
          <w:i/>
          <w:color w:val="444746"/>
          <w:sz w:val="21"/>
          <w:szCs w:val="21"/>
          <w:highlight w:val="white"/>
        </w:rPr>
        <w:t>The Journal of Heart and Lung Transplantation</w:t>
      </w:r>
      <w:r>
        <w:rPr>
          <w:rFonts w:ascii="Roboto" w:eastAsia="Roboto" w:hAnsi="Roboto" w:cs="Roboto"/>
          <w:color w:val="444746"/>
          <w:sz w:val="21"/>
          <w:szCs w:val="21"/>
          <w:highlight w:val="white"/>
        </w:rPr>
        <w:t>. 2023;42(1):76-86. doi:</w:t>
      </w:r>
      <w:hyperlink r:id="rId33">
        <w:r>
          <w:rPr>
            <w:rFonts w:ascii="Roboto" w:eastAsia="Roboto" w:hAnsi="Roboto" w:cs="Roboto"/>
            <w:color w:val="1155CC"/>
            <w:sz w:val="21"/>
            <w:szCs w:val="21"/>
            <w:highlight w:val="white"/>
            <w:u w:val="single"/>
          </w:rPr>
          <w:t>10.1016/j.healun.2022.08.020</w:t>
        </w:r>
      </w:hyperlink>
    </w:p>
    <w:p w14:paraId="2908D936"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Asfour N, Zhang KC, Lu J, et al. Association of Race and Ethnicity With High Longevity Deceased Donor Kidney Transplantation Under the US Kidney Allocation System. </w:t>
      </w:r>
      <w:r>
        <w:rPr>
          <w:rFonts w:ascii="Roboto" w:eastAsia="Roboto" w:hAnsi="Roboto" w:cs="Roboto"/>
          <w:i/>
          <w:color w:val="444746"/>
          <w:sz w:val="21"/>
          <w:szCs w:val="21"/>
          <w:highlight w:val="white"/>
        </w:rPr>
        <w:t>American Journal of Kidney Diseases</w:t>
      </w:r>
      <w:r>
        <w:rPr>
          <w:rFonts w:ascii="Roboto" w:eastAsia="Roboto" w:hAnsi="Roboto" w:cs="Roboto"/>
          <w:color w:val="444746"/>
          <w:sz w:val="21"/>
          <w:szCs w:val="21"/>
          <w:highlight w:val="white"/>
        </w:rPr>
        <w:t>. Published online April 16, 2024. doi:</w:t>
      </w:r>
      <w:hyperlink r:id="rId34">
        <w:r>
          <w:rPr>
            <w:rFonts w:ascii="Roboto" w:eastAsia="Roboto" w:hAnsi="Roboto" w:cs="Roboto"/>
            <w:color w:val="1155CC"/>
            <w:sz w:val="21"/>
            <w:szCs w:val="21"/>
            <w:highlight w:val="white"/>
            <w:u w:val="single"/>
          </w:rPr>
          <w:t>10.1053/j.ajkd.2024.02.017</w:t>
        </w:r>
      </w:hyperlink>
    </w:p>
    <w:p w14:paraId="5381C601" w14:textId="77777777" w:rsidR="002158B6" w:rsidRDefault="009C00DE" w:rsidP="00194819">
      <w:pPr>
        <w:numPr>
          <w:ilvl w:val="0"/>
          <w:numId w:val="1"/>
        </w:numPr>
        <w:spacing w:line="324" w:lineRule="auto"/>
        <w:ind w:right="80"/>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Breathett K, Knapp SM, Lewsey SC, et al. Differences in Donor Heart Acceptance by Race and Gender of Patients on the Transplant Waiting List. </w:t>
      </w:r>
      <w:r>
        <w:rPr>
          <w:rFonts w:ascii="Roboto" w:eastAsia="Roboto" w:hAnsi="Roboto" w:cs="Roboto"/>
          <w:i/>
          <w:color w:val="444746"/>
          <w:sz w:val="21"/>
          <w:szCs w:val="21"/>
          <w:highlight w:val="white"/>
        </w:rPr>
        <w:t>JAMA</w:t>
      </w:r>
      <w:r>
        <w:rPr>
          <w:rFonts w:ascii="Roboto" w:eastAsia="Roboto" w:hAnsi="Roboto" w:cs="Roboto"/>
          <w:color w:val="444746"/>
          <w:sz w:val="21"/>
          <w:szCs w:val="21"/>
          <w:highlight w:val="white"/>
        </w:rPr>
        <w:t>. 2024;331(16):1379-1386. doi:</w:t>
      </w:r>
      <w:hyperlink r:id="rId35">
        <w:r>
          <w:rPr>
            <w:rFonts w:ascii="Roboto" w:eastAsia="Roboto" w:hAnsi="Roboto" w:cs="Roboto"/>
            <w:color w:val="1155CC"/>
            <w:sz w:val="21"/>
            <w:szCs w:val="21"/>
            <w:highlight w:val="white"/>
            <w:u w:val="single"/>
          </w:rPr>
          <w:t>10.1001/jama.2024.0065</w:t>
        </w:r>
      </w:hyperlink>
    </w:p>
    <w:sectPr w:rsidR="002158B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rker, William [BSD]" w:date="2024-07-19T13:21:00Z" w:initials="WP">
    <w:p w14:paraId="12B12D19" w14:textId="77777777" w:rsidR="005A7723" w:rsidRDefault="005A7723" w:rsidP="005A7723">
      <w:r>
        <w:rPr>
          <w:rStyle w:val="CommentReference"/>
        </w:rPr>
        <w:annotationRef/>
      </w:r>
      <w:r>
        <w:rPr>
          <w:color w:val="000000"/>
          <w:sz w:val="20"/>
          <w:szCs w:val="20"/>
        </w:rPr>
        <w:t>Social determinants of health are a broader set of things, not just where someone lives</w:t>
      </w:r>
    </w:p>
    <w:p w14:paraId="321BDA65" w14:textId="77777777" w:rsidR="005A7723" w:rsidRDefault="005A7723" w:rsidP="005A7723"/>
    <w:p w14:paraId="1A1ACC55" w14:textId="77777777" w:rsidR="005A7723" w:rsidRDefault="005A7723" w:rsidP="005A7723">
      <w:r>
        <w:rPr>
          <w:color w:val="000000"/>
          <w:sz w:val="20"/>
          <w:szCs w:val="20"/>
        </w:rPr>
        <w:t>https://jamanetwork.com/journals/jama-health-forum/fullarticle/2788319</w:t>
      </w:r>
    </w:p>
  </w:comment>
  <w:comment w:id="1" w:author="Alex Wang" w:date="2024-08-18T14:46:00Z" w:initials="AW">
    <w:p w14:paraId="1D19CEDC" w14:textId="77777777" w:rsidR="00F1702F" w:rsidRDefault="00F1702F" w:rsidP="00F1702F">
      <w:pPr>
        <w:pStyle w:val="CommentText"/>
      </w:pPr>
      <w:r>
        <w:rPr>
          <w:rStyle w:val="CommentReference"/>
        </w:rPr>
        <w:annotationRef/>
      </w:r>
      <w:r>
        <w:t>Fine Gray, can switch to cause-specific hazard</w:t>
      </w:r>
    </w:p>
  </w:comment>
  <w:comment w:id="2" w:author="Parker, William [BSD]" w:date="2024-07-19T13:23:00Z" w:initials="WP">
    <w:p w14:paraId="6706D0A3" w14:textId="328A8BD3" w:rsidR="00D7721C" w:rsidRDefault="00D7721C" w:rsidP="00D7721C">
      <w:r>
        <w:rPr>
          <w:rStyle w:val="CommentReference"/>
        </w:rPr>
        <w:annotationRef/>
      </w:r>
      <w:r>
        <w:rPr>
          <w:color w:val="000000"/>
          <w:sz w:val="20"/>
          <w:szCs w:val="20"/>
        </w:rPr>
        <w:t>Spell them all out</w:t>
      </w:r>
    </w:p>
  </w:comment>
  <w:comment w:id="3" w:author="Parker, William [BSD]" w:date="2024-07-19T13:26:00Z" w:initials="WP">
    <w:p w14:paraId="57E8B532" w14:textId="77777777" w:rsidR="00EB4EBC" w:rsidRDefault="00EB4EBC" w:rsidP="00EB4EBC">
      <w:r>
        <w:rPr>
          <w:rStyle w:val="CommentReference"/>
        </w:rPr>
        <w:annotationRef/>
      </w:r>
      <w:r>
        <w:rPr>
          <w:color w:val="000000"/>
          <w:sz w:val="20"/>
          <w:szCs w:val="20"/>
        </w:rPr>
        <w:t>We should also report death and deterioration</w:t>
      </w:r>
    </w:p>
  </w:comment>
  <w:comment w:id="5" w:author="Kenley Barrett" w:date="2024-06-26T21:20:00Z" w:initials="KB">
    <w:p w14:paraId="546B690B" w14:textId="4719B693" w:rsidR="0094398A" w:rsidRDefault="0094398A">
      <w:pPr>
        <w:pStyle w:val="CommentText"/>
      </w:pPr>
      <w:r>
        <w:rPr>
          <w:rStyle w:val="CommentReference"/>
        </w:rPr>
        <w:annotationRef/>
      </w:r>
      <w:r>
        <w:t>I think we should add a sentence about the stratified calculation results</w:t>
      </w:r>
    </w:p>
  </w:comment>
  <w:comment w:id="6" w:author="Alex Wang" w:date="2024-06-27T05:25:00Z" w:initials="AW">
    <w:p w14:paraId="44BA4CEA" w14:textId="5332A350" w:rsidR="00DD35A8" w:rsidRDefault="00606927">
      <w:pPr>
        <w:pStyle w:val="CommentText"/>
      </w:pPr>
      <w:r>
        <w:rPr>
          <w:rStyle w:val="CommentReference"/>
        </w:rPr>
        <w:annotationRef/>
      </w:r>
      <w:r w:rsidR="00DD35A8">
        <w:t>Would love to, but I think we may be limited by the character/word count of the abstract</w:t>
      </w:r>
    </w:p>
  </w:comment>
  <w:comment w:id="4" w:author="Parker, William [BSD]" w:date="2024-07-19T13:28:00Z" w:initials="WP">
    <w:p w14:paraId="4D45706C" w14:textId="77777777" w:rsidR="0020263C" w:rsidRDefault="0020263C" w:rsidP="0020263C">
      <w:r>
        <w:rPr>
          <w:rStyle w:val="CommentReference"/>
        </w:rPr>
        <w:annotationRef/>
      </w:r>
      <w:r>
        <w:rPr>
          <w:color w:val="000000"/>
          <w:sz w:val="20"/>
          <w:szCs w:val="20"/>
        </w:rPr>
        <w:t>We need to summarize each score in a succinct way here, the deciles are hard to read and don’t really represent what the splines show</w:t>
      </w:r>
    </w:p>
  </w:comment>
  <w:comment w:id="7" w:author="Parker, William [BSD]" w:date="2024-07-19T13:49:00Z" w:initials="WP">
    <w:p w14:paraId="6B7C03AD" w14:textId="77777777" w:rsidR="003513F9" w:rsidRDefault="003513F9" w:rsidP="003513F9">
      <w:r>
        <w:rPr>
          <w:rStyle w:val="CommentReference"/>
        </w:rPr>
        <w:annotationRef/>
      </w:r>
      <w:r>
        <w:rPr>
          <w:color w:val="000000"/>
          <w:sz w:val="20"/>
          <w:szCs w:val="20"/>
        </w:rPr>
        <w:t>Not all of these million people die from heart failure, strokes and heart attacks are in this statistic.</w:t>
      </w:r>
    </w:p>
  </w:comment>
  <w:comment w:id="8" w:author="Parker, William [BSD]" w:date="2024-07-19T13:44:00Z" w:initials="WP">
    <w:p w14:paraId="387AE234" w14:textId="287FD06E" w:rsidR="00A36009" w:rsidRDefault="00A36009" w:rsidP="00A36009">
      <w:r>
        <w:rPr>
          <w:rStyle w:val="CommentReference"/>
        </w:rPr>
        <w:annotationRef/>
      </w:r>
      <w:r>
        <w:rPr>
          <w:sz w:val="20"/>
          <w:szCs w:val="20"/>
        </w:rPr>
        <w:t>https://www.ecfr.gov/current/title-42/section-121.8</w:t>
      </w:r>
    </w:p>
  </w:comment>
  <w:comment w:id="9" w:author="Parker, William [BSD]" w:date="2024-07-19T13:50:00Z" w:initials="WP">
    <w:p w14:paraId="54E6A0DE" w14:textId="77777777" w:rsidR="00EF1AA8" w:rsidRDefault="00EF1AA8" w:rsidP="00EF1AA8">
      <w:r>
        <w:rPr>
          <w:rStyle w:val="CommentReference"/>
        </w:rPr>
        <w:annotationRef/>
      </w:r>
      <w:r>
        <w:rPr>
          <w:color w:val="000000"/>
          <w:sz w:val="20"/>
          <w:szCs w:val="20"/>
        </w:rPr>
        <w:t>The urban-rural point needs to be made here</w:t>
      </w:r>
    </w:p>
  </w:comment>
  <w:comment w:id="10" w:author="Parker, William [BSD]" w:date="2024-07-19T14:08:00Z" w:initials="WP">
    <w:p w14:paraId="643AFFF7" w14:textId="77777777" w:rsidR="00442D31" w:rsidRDefault="00442D31" w:rsidP="00442D31">
      <w:r>
        <w:rPr>
          <w:rStyle w:val="CommentReference"/>
        </w:rPr>
        <w:annotationRef/>
      </w:r>
      <w:r>
        <w:rPr>
          <w:color w:val="000000"/>
          <w:sz w:val="20"/>
          <w:szCs w:val="20"/>
        </w:rPr>
        <w:t>Replace with “place-based disadvantage index” throughout</w:t>
      </w:r>
    </w:p>
  </w:comment>
  <w:comment w:id="11" w:author="Parker, William [BSD]" w:date="2024-07-19T15:28:00Z" w:initials="WP">
    <w:p w14:paraId="52041AA5" w14:textId="77777777" w:rsidR="001922CE" w:rsidRDefault="001922CE" w:rsidP="001922CE">
      <w:r>
        <w:rPr>
          <w:rStyle w:val="CommentReference"/>
        </w:rPr>
        <w:annotationRef/>
      </w:r>
      <w:r>
        <w:rPr>
          <w:sz w:val="20"/>
          <w:szCs w:val="20"/>
        </w:rPr>
        <w:t>Any other exclusion criteria? List them here</w:t>
      </w:r>
    </w:p>
    <w:p w14:paraId="027EFD3E" w14:textId="77777777" w:rsidR="001922CE" w:rsidRDefault="001922CE" w:rsidP="001922CE"/>
    <w:p w14:paraId="70F03185" w14:textId="77777777" w:rsidR="001922CE" w:rsidRDefault="001922CE" w:rsidP="001922CE">
      <w:r>
        <w:rPr>
          <w:sz w:val="20"/>
          <w:szCs w:val="20"/>
        </w:rPr>
        <w:t>All reasons that patients were omitted from the final analysis should be listed here</w:t>
      </w:r>
    </w:p>
  </w:comment>
  <w:comment w:id="12" w:author="Alex Wang" w:date="2024-07-30T11:18:00Z" w:initials="AW">
    <w:p w14:paraId="48A1D036" w14:textId="77777777" w:rsidR="000F7A27" w:rsidRDefault="00192BF0" w:rsidP="000F7A27">
      <w:pPr>
        <w:pStyle w:val="CommentText"/>
      </w:pPr>
      <w:r>
        <w:rPr>
          <w:rStyle w:val="CommentReference"/>
        </w:rPr>
        <w:annotationRef/>
      </w:r>
      <w:r w:rsidR="000F7A27">
        <w:t>This should be it</w:t>
      </w:r>
    </w:p>
  </w:comment>
  <w:comment w:id="13" w:author="Alex Wang" w:date="2024-08-18T15:07:00Z" w:initials="AW">
    <w:p w14:paraId="0FDD7D58" w14:textId="77777777" w:rsidR="00175005" w:rsidRDefault="00175005" w:rsidP="00175005">
      <w:pPr>
        <w:pStyle w:val="CommentText"/>
      </w:pPr>
      <w:r>
        <w:rPr>
          <w:rStyle w:val="CommentReference"/>
        </w:rPr>
        <w:annotationRef/>
      </w:r>
      <w:r>
        <w:t>Please double check that this is the correct description. My understanding from the Paul Allison blog post is that we should be looking at the cause-specific hazard because candidates that die/deteriorate cannot be transplanted (by definition). The Fine-Gray Model was only used to construct the cumulative incidence curves.</w:t>
      </w:r>
    </w:p>
  </w:comment>
  <w:comment w:id="14" w:author="Parker, William [BSD]" w:date="2024-07-19T15:32:00Z" w:initials="WP">
    <w:p w14:paraId="03FA2172" w14:textId="5908DA29" w:rsidR="007F55E4" w:rsidRDefault="007F55E4" w:rsidP="007F55E4">
      <w:r>
        <w:rPr>
          <w:rStyle w:val="CommentReference"/>
        </w:rPr>
        <w:annotationRef/>
      </w:r>
      <w:r>
        <w:rPr>
          <w:color w:val="000000"/>
          <w:sz w:val="20"/>
          <w:szCs w:val="20"/>
        </w:rPr>
        <w:t>More specific about SVM</w:t>
      </w:r>
    </w:p>
  </w:comment>
  <w:comment w:id="15" w:author="Molly White" w:date="2024-06-07T08:35:00Z" w:initials="MW">
    <w:p w14:paraId="2018654D" w14:textId="753D77E3" w:rsidR="00E15BA5" w:rsidRDefault="00E15BA5" w:rsidP="00E15BA5">
      <w:pPr>
        <w:pStyle w:val="CommentText"/>
      </w:pPr>
      <w:r>
        <w:rPr>
          <w:rStyle w:val="CommentReference"/>
        </w:rPr>
        <w:annotationRef/>
      </w:r>
      <w:r>
        <w:t>Where did you get the SVM file, was it from this paper? Maybe specify where you got it like you did for the others</w:t>
      </w:r>
    </w:p>
  </w:comment>
  <w:comment w:id="16" w:author="Parker, William [BSD]" w:date="2024-07-19T15:36:00Z" w:initials="WP">
    <w:p w14:paraId="2325265D" w14:textId="77777777" w:rsidR="00D7512D" w:rsidRDefault="00D7512D" w:rsidP="00D7512D">
      <w:r>
        <w:rPr>
          <w:rStyle w:val="CommentReference"/>
        </w:rPr>
        <w:annotationRef/>
      </w:r>
      <w:r>
        <w:rPr>
          <w:color w:val="000000"/>
          <w:sz w:val="20"/>
          <w:szCs w:val="20"/>
        </w:rPr>
        <w:t>Active voice throughout</w:t>
      </w:r>
    </w:p>
  </w:comment>
  <w:comment w:id="17" w:author="Alex Wang" w:date="2024-08-18T15:19:00Z" w:initials="AW">
    <w:p w14:paraId="4A2B4FE1" w14:textId="77777777" w:rsidR="000B542F" w:rsidRDefault="000B542F" w:rsidP="000B542F">
      <w:pPr>
        <w:pStyle w:val="CommentText"/>
      </w:pPr>
      <w:r>
        <w:rPr>
          <w:rStyle w:val="CommentReference"/>
        </w:rPr>
        <w:annotationRef/>
      </w:r>
      <w:r>
        <w:t>Fine gray</w:t>
      </w:r>
    </w:p>
  </w:comment>
  <w:comment w:id="18" w:author="Kenley Barrett" w:date="2024-06-16T23:10:00Z" w:initials="KB">
    <w:p w14:paraId="471A5E62" w14:textId="65721C24" w:rsidR="00311737" w:rsidRDefault="00311737">
      <w:pPr>
        <w:pStyle w:val="CommentText"/>
      </w:pPr>
      <w:r>
        <w:rPr>
          <w:rStyle w:val="CommentReference"/>
        </w:rPr>
        <w:annotationRef/>
      </w:r>
      <w:r>
        <w:t>Deleted because it’s pretty much the same information being repeated</w:t>
      </w:r>
    </w:p>
  </w:comment>
  <w:comment w:id="19" w:author="Kenley Barrett" w:date="2024-06-16T23:13:00Z" w:initials="KB">
    <w:p w14:paraId="08830399" w14:textId="4ECCF755" w:rsidR="00311737" w:rsidRDefault="00311737">
      <w:pPr>
        <w:pStyle w:val="CommentText"/>
      </w:pPr>
      <w:r>
        <w:rPr>
          <w:rStyle w:val="CommentReference"/>
        </w:rPr>
        <w:annotationRef/>
      </w:r>
      <w:r>
        <w:t xml:space="preserve">I had asked for more info here but I think you had it right the first time – when I looked into it more I realized that your language was standard. </w:t>
      </w:r>
    </w:p>
  </w:comment>
  <w:comment w:id="20" w:author="Parker, William [BSD]" w:date="2024-07-19T16:11:00Z" w:initials="WP">
    <w:p w14:paraId="393E8748" w14:textId="77777777" w:rsidR="00EF4813" w:rsidRDefault="00EF4813" w:rsidP="00EF4813">
      <w:r>
        <w:rPr>
          <w:rStyle w:val="CommentReference"/>
        </w:rPr>
        <w:annotationRef/>
      </w:r>
      <w:r>
        <w:rPr>
          <w:color w:val="000000"/>
          <w:sz w:val="20"/>
          <w:szCs w:val="20"/>
        </w:rPr>
        <w:t>This is a separate section</w:t>
      </w:r>
    </w:p>
  </w:comment>
  <w:comment w:id="21" w:author="Parker, William [BSD]" w:date="2024-07-19T16:12:00Z" w:initials="WP">
    <w:p w14:paraId="471D4A3A" w14:textId="77777777" w:rsidR="00E5734A" w:rsidRDefault="00E5734A" w:rsidP="00E5734A">
      <w:r>
        <w:rPr>
          <w:rStyle w:val="CommentReference"/>
        </w:rPr>
        <w:annotationRef/>
      </w:r>
      <w:r>
        <w:rPr>
          <w:color w:val="000000"/>
          <w:sz w:val="20"/>
          <w:szCs w:val="20"/>
        </w:rPr>
        <w:t>Every analysis you do should be described in the methods</w:t>
      </w:r>
    </w:p>
  </w:comment>
  <w:comment w:id="22" w:author="Alex Wang" w:date="2024-08-18T15:20:00Z" w:initials="AW">
    <w:p w14:paraId="65B8EDFA" w14:textId="77777777" w:rsidR="000B542F" w:rsidRDefault="000B542F" w:rsidP="000B542F">
      <w:pPr>
        <w:pStyle w:val="CommentText"/>
      </w:pPr>
      <w:r>
        <w:rPr>
          <w:rStyle w:val="CommentReference"/>
        </w:rPr>
        <w:annotationRef/>
      </w:r>
      <w:r>
        <w:t>Fine gray</w:t>
      </w:r>
    </w:p>
  </w:comment>
  <w:comment w:id="23" w:author="Alex Wang" w:date="2024-08-18T16:12:00Z" w:initials="AW">
    <w:p w14:paraId="1344AD59" w14:textId="77777777" w:rsidR="00D51C15" w:rsidRDefault="00D51C15" w:rsidP="00D51C15">
      <w:pPr>
        <w:pStyle w:val="CommentText"/>
      </w:pPr>
      <w:r>
        <w:rPr>
          <w:rStyle w:val="CommentReference"/>
        </w:rPr>
        <w:annotationRef/>
      </w:r>
      <w:r>
        <w:t xml:space="preserve">@Will </w:t>
      </w:r>
      <w:r>
        <w:br/>
        <w:t>I know you said to move everything but ADI to the supplement, but I kind of like the way that the graph looks with all 4 indices. I don’t know if it’s worth the increased clutter in the figure though</w:t>
      </w:r>
    </w:p>
  </w:comment>
  <w:comment w:id="24" w:author="Alex Wang" w:date="2024-07-30T11:27:00Z" w:initials="AW">
    <w:p w14:paraId="4E17D3F6" w14:textId="3BAE5A00" w:rsidR="00ED73FC" w:rsidRDefault="00ED73FC" w:rsidP="00ED73FC">
      <w:pPr>
        <w:pStyle w:val="CommentText"/>
      </w:pPr>
      <w:r>
        <w:rPr>
          <w:rStyle w:val="CommentReference"/>
        </w:rPr>
        <w:annotationRef/>
      </w:r>
      <w:r>
        <w:t>“</w:t>
      </w:r>
      <w:r>
        <w:rPr>
          <w:lang w:val="en-US"/>
        </w:rPr>
        <w:t>When you add the new info on the sensitivity analysis, I would give the numbers for each significant decile the way you did here.”</w:t>
      </w:r>
    </w:p>
  </w:comment>
  <w:comment w:id="25" w:author="Alex Wang" w:date="2024-08-17T10:03:00Z" w:initials="AW">
    <w:p w14:paraId="70539D9F" w14:textId="6A2739AE" w:rsidR="00A81698" w:rsidRDefault="00A81698" w:rsidP="00A81698">
      <w:pPr>
        <w:pStyle w:val="CommentText"/>
      </w:pPr>
      <w:r>
        <w:rPr>
          <w:rStyle w:val="CommentReference"/>
        </w:rPr>
        <w:annotationRef/>
      </w:r>
      <w:r>
        <w:t>Currently working on best practice, section subject to change</w:t>
      </w:r>
    </w:p>
  </w:comment>
  <w:comment w:id="26" w:author="Alex Wang" w:date="2024-08-17T10:03:00Z" w:initials="AW">
    <w:p w14:paraId="21A15CD3" w14:textId="77777777" w:rsidR="00A81698" w:rsidRDefault="00A81698" w:rsidP="00A81698">
      <w:pPr>
        <w:pStyle w:val="CommentText"/>
      </w:pPr>
      <w:r>
        <w:rPr>
          <w:rStyle w:val="CommentReference"/>
        </w:rPr>
        <w:annotationRef/>
      </w:r>
      <w:r>
        <w:t>Currently working on best practice, section subject to change</w:t>
      </w:r>
    </w:p>
  </w:comment>
  <w:comment w:id="27" w:author="Parker, William [BSD]" w:date="2024-07-19T14:06:00Z" w:initials="WP">
    <w:p w14:paraId="7AB12359" w14:textId="04E0ECBC" w:rsidR="00374D7F" w:rsidRDefault="00374D7F" w:rsidP="00374D7F">
      <w:r>
        <w:rPr>
          <w:rStyle w:val="CommentReference"/>
        </w:rPr>
        <w:annotationRef/>
      </w:r>
      <w:r>
        <w:rPr>
          <w:color w:val="000000"/>
          <w:sz w:val="20"/>
          <w:szCs w:val="20"/>
        </w:rPr>
        <w:t>This is probably better for discussion</w:t>
      </w:r>
    </w:p>
  </w:comment>
  <w:comment w:id="28" w:author="Alex Wang" w:date="2024-08-18T16:16:00Z" w:initials="AW">
    <w:p w14:paraId="172CD85D" w14:textId="77777777" w:rsidR="00AF47F4" w:rsidRDefault="00D827F5" w:rsidP="00AF47F4">
      <w:pPr>
        <w:pStyle w:val="CommentText"/>
      </w:pPr>
      <w:r>
        <w:rPr>
          <w:rStyle w:val="CommentReference"/>
        </w:rPr>
        <w:annotationRef/>
      </w:r>
      <w:r w:rsidR="00AF47F4">
        <w:t>Spline plot (forthcoming)</w:t>
      </w:r>
    </w:p>
  </w:comment>
  <w:comment w:id="29" w:author="Kenley March Barrett Pelzer" w:date="2024-06-10T20:58:00Z" w:initials="KMBP">
    <w:p w14:paraId="7F3CE61C" w14:textId="283C6CA2" w:rsidR="00672599" w:rsidRDefault="00672599">
      <w:pPr>
        <w:pStyle w:val="CommentText"/>
      </w:pPr>
      <w:r>
        <w:rPr>
          <w:rStyle w:val="CommentReference"/>
        </w:rPr>
        <w:annotationRef/>
      </w:r>
      <w:r>
        <w:t xml:space="preserve"> “waitinglist” I think should be waitlist</w:t>
      </w:r>
    </w:p>
  </w:comment>
  <w:comment w:id="30" w:author="Parker, William [BSD]" w:date="2024-07-19T15:42:00Z" w:initials="WP">
    <w:p w14:paraId="5C2B2673" w14:textId="77777777" w:rsidR="00B10B96" w:rsidRDefault="00B10B96" w:rsidP="00B10B96">
      <w:r>
        <w:rPr>
          <w:rStyle w:val="CommentReference"/>
        </w:rPr>
        <w:annotationRef/>
      </w:r>
      <w:r>
        <w:rPr>
          <w:color w:val="000000"/>
          <w:sz w:val="20"/>
          <w:szCs w:val="20"/>
        </w:rPr>
        <w:t>We should stratify this by ADI decile</w:t>
      </w:r>
    </w:p>
    <w:p w14:paraId="7E6EEDBA" w14:textId="77777777" w:rsidR="00B10B96" w:rsidRDefault="00B10B96" w:rsidP="00B10B96"/>
    <w:p w14:paraId="00A3049E" w14:textId="77777777" w:rsidR="00B10B96" w:rsidRDefault="00B10B96" w:rsidP="00B10B96">
      <w:r>
        <w:rPr>
          <w:color w:val="000000"/>
          <w:sz w:val="20"/>
          <w:szCs w:val="20"/>
        </w:rPr>
        <w:t>First column: everyone</w:t>
      </w:r>
    </w:p>
    <w:p w14:paraId="08F4C13F" w14:textId="77777777" w:rsidR="00B10B96" w:rsidRDefault="00B10B96" w:rsidP="00B10B96">
      <w:r>
        <w:rPr>
          <w:color w:val="000000"/>
          <w:sz w:val="20"/>
          <w:szCs w:val="20"/>
        </w:rPr>
        <w:t>Second column: 1st decile</w:t>
      </w:r>
    </w:p>
    <w:p w14:paraId="5A2B4DCD" w14:textId="77777777" w:rsidR="00B10B96" w:rsidRDefault="00B10B96" w:rsidP="00B10B96">
      <w:r>
        <w:rPr>
          <w:color w:val="000000"/>
          <w:sz w:val="20"/>
          <w:szCs w:val="20"/>
        </w:rPr>
        <w:t>Third column: 10th decile</w:t>
      </w:r>
    </w:p>
  </w:comment>
  <w:comment w:id="32" w:author="Alex Wang" w:date="2024-08-17T10:06:00Z" w:initials="AW">
    <w:p w14:paraId="71353433" w14:textId="77777777" w:rsidR="00D76FB7" w:rsidRDefault="00D76FB7" w:rsidP="00D76FB7">
      <w:pPr>
        <w:pStyle w:val="CommentText"/>
      </w:pPr>
      <w:r>
        <w:rPr>
          <w:rStyle w:val="CommentReference"/>
        </w:rPr>
        <w:annotationRef/>
      </w:r>
      <w:r>
        <w:t>Fine Gray</w:t>
      </w:r>
    </w:p>
  </w:comment>
  <w:comment w:id="33" w:author="Alex Wang" w:date="2024-07-31T08:27:00Z" w:initials="AW">
    <w:p w14:paraId="1619888E" w14:textId="2B21224A" w:rsidR="005B3535" w:rsidRDefault="005B3535" w:rsidP="005B3535">
      <w:pPr>
        <w:pStyle w:val="CommentText"/>
      </w:pPr>
      <w:r>
        <w:rPr>
          <w:rStyle w:val="CommentReference"/>
        </w:rPr>
        <w:annotationRef/>
      </w:r>
      <w:r>
        <w:t>Move other indexes to supplement</w:t>
      </w:r>
    </w:p>
  </w:comment>
  <w:comment w:id="34" w:author="Kenley March Barrett Pelzer" w:date="2024-06-10T22:04:00Z" w:initials="KMBP">
    <w:p w14:paraId="37237AB2" w14:textId="684E1646" w:rsidR="00672599" w:rsidRDefault="00672599">
      <w:pPr>
        <w:pStyle w:val="CommentText"/>
      </w:pPr>
      <w:r>
        <w:rPr>
          <w:rStyle w:val="CommentReference"/>
        </w:rPr>
        <w:annotationRef/>
      </w:r>
      <w:r w:rsidR="00997F6D">
        <w:t xml:space="preserve">I would </w:t>
      </w:r>
      <w:r>
        <w:t xml:space="preserve">skip putting the ADI dots in red – I’m not seeing anywhere where we explain it. If it is intended to highlight our conclusion about ADI being the best, it arguably breaks the rules about results being results-only by skipping ahead to interpretation. </w:t>
      </w:r>
    </w:p>
  </w:comment>
  <w:comment w:id="35" w:author="Parker, William [BSD]" w:date="2024-07-19T16:07:00Z" w:initials="WP">
    <w:p w14:paraId="4C2EC48F" w14:textId="77777777" w:rsidR="00846A9D" w:rsidRDefault="00846A9D" w:rsidP="00846A9D">
      <w:r>
        <w:rPr>
          <w:rStyle w:val="CommentReference"/>
        </w:rPr>
        <w:annotationRef/>
      </w:r>
      <w:r>
        <w:rPr>
          <w:color w:val="000000"/>
          <w:sz w:val="20"/>
          <w:szCs w:val="20"/>
        </w:rPr>
        <w:t>Lets move everything except ADI to the supplement</w:t>
      </w:r>
    </w:p>
  </w:comment>
  <w:comment w:id="36" w:author="Kenley March Barrett Pelzer" w:date="2024-06-10T22:21:00Z" w:initials="KMBP">
    <w:p w14:paraId="612B065B" w14:textId="240ABA5C" w:rsidR="00672599" w:rsidRDefault="00672599">
      <w:pPr>
        <w:pStyle w:val="CommentText"/>
      </w:pPr>
      <w:r>
        <w:rPr>
          <w:rStyle w:val="CommentReference"/>
        </w:rPr>
        <w:annotationRef/>
      </w:r>
      <w:r>
        <w:t xml:space="preserve">I struggled with the key on this one—because there is a dark blue solid line and dark blue dashed line in the key, at first I looked for the dark blue lines. I figured it out after a few seconds, but I think we need to get rid of the dark blue. Could we keep the key the same, but instead of dark blue on gray to make the solid versus dashed distinction, do black lines on a white background? </w:t>
      </w:r>
    </w:p>
  </w:comment>
  <w:comment w:id="37" w:author="Parker, William [BSD]" w:date="2024-07-19T15:40:00Z" w:initials="WP">
    <w:p w14:paraId="790EF7FE" w14:textId="77777777" w:rsidR="00A372C2" w:rsidRDefault="00EC07A3" w:rsidP="00A372C2">
      <w:r>
        <w:rPr>
          <w:rStyle w:val="CommentReference"/>
        </w:rPr>
        <w:annotationRef/>
      </w:r>
      <w:r w:rsidR="00A372C2">
        <w:rPr>
          <w:sz w:val="20"/>
          <w:szCs w:val="20"/>
        </w:rPr>
        <w:t>The other panel should be the cause-specific HR of death or deterioration, not LVAD at initial listing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1ACC55" w15:done="1"/>
  <w15:commentEx w15:paraId="1D19CEDC" w15:done="0"/>
  <w15:commentEx w15:paraId="6706D0A3" w15:done="1"/>
  <w15:commentEx w15:paraId="57E8B532" w15:done="1"/>
  <w15:commentEx w15:paraId="546B690B" w15:done="0"/>
  <w15:commentEx w15:paraId="44BA4CEA" w15:paraIdParent="546B690B" w15:done="0"/>
  <w15:commentEx w15:paraId="4D45706C" w15:done="0"/>
  <w15:commentEx w15:paraId="6B7C03AD" w15:done="1"/>
  <w15:commentEx w15:paraId="387AE234" w15:done="0"/>
  <w15:commentEx w15:paraId="54E6A0DE" w15:done="1"/>
  <w15:commentEx w15:paraId="643AFFF7" w15:done="1"/>
  <w15:commentEx w15:paraId="70F03185" w15:done="0"/>
  <w15:commentEx w15:paraId="48A1D036" w15:paraIdParent="70F03185" w15:done="0"/>
  <w15:commentEx w15:paraId="0FDD7D58" w15:done="0"/>
  <w15:commentEx w15:paraId="03FA2172" w15:done="1"/>
  <w15:commentEx w15:paraId="2018654D" w15:done="1"/>
  <w15:commentEx w15:paraId="2325265D" w15:done="1"/>
  <w15:commentEx w15:paraId="4A2B4FE1" w15:done="0"/>
  <w15:commentEx w15:paraId="471A5E62" w15:done="1"/>
  <w15:commentEx w15:paraId="08830399" w15:done="1"/>
  <w15:commentEx w15:paraId="393E8748" w15:done="1"/>
  <w15:commentEx w15:paraId="471D4A3A" w15:paraIdParent="393E8748" w15:done="1"/>
  <w15:commentEx w15:paraId="65B8EDFA" w15:done="0"/>
  <w15:commentEx w15:paraId="1344AD59" w15:done="0"/>
  <w15:commentEx w15:paraId="4E17D3F6" w15:done="1"/>
  <w15:commentEx w15:paraId="70539D9F" w15:done="0"/>
  <w15:commentEx w15:paraId="21A15CD3" w15:done="0"/>
  <w15:commentEx w15:paraId="7AB12359" w15:done="1"/>
  <w15:commentEx w15:paraId="172CD85D" w15:done="0"/>
  <w15:commentEx w15:paraId="7F3CE61C" w15:done="1"/>
  <w15:commentEx w15:paraId="5A2B4DCD" w15:done="1"/>
  <w15:commentEx w15:paraId="71353433" w15:done="0"/>
  <w15:commentEx w15:paraId="1619888E" w15:done="1"/>
  <w15:commentEx w15:paraId="37237AB2" w15:done="1"/>
  <w15:commentEx w15:paraId="4C2EC48F" w15:done="1"/>
  <w15:commentEx w15:paraId="612B065B" w15:done="1"/>
  <w15:commentEx w15:paraId="790EF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0EB46E" w16cex:dateUtc="2024-07-19T18:21:00Z"/>
  <w16cex:commentExtensible w16cex:durableId="30916950" w16cex:dateUtc="2024-08-18T19:46:00Z"/>
  <w16cex:commentExtensible w16cex:durableId="76392E28" w16cex:dateUtc="2024-07-19T18:23:00Z"/>
  <w16cex:commentExtensible w16cex:durableId="6C316A39" w16cex:dateUtc="2024-07-19T18:26:00Z"/>
  <w16cex:commentExtensible w16cex:durableId="54A559D8" w16cex:dateUtc="2024-06-27T10:25:00Z"/>
  <w16cex:commentExtensible w16cex:durableId="0C7FECEA" w16cex:dateUtc="2024-07-19T18:28:00Z"/>
  <w16cex:commentExtensible w16cex:durableId="2FCF63E8" w16cex:dateUtc="2024-07-19T18:49:00Z"/>
  <w16cex:commentExtensible w16cex:durableId="5FF2F63B" w16cex:dateUtc="2024-07-19T18:44:00Z"/>
  <w16cex:commentExtensible w16cex:durableId="1ADB45E2" w16cex:dateUtc="2024-07-19T18:50:00Z"/>
  <w16cex:commentExtensible w16cex:durableId="599AEF15" w16cex:dateUtc="2024-07-19T19:08:00Z"/>
  <w16cex:commentExtensible w16cex:durableId="316C5B04" w16cex:dateUtc="2024-07-19T20:28:00Z"/>
  <w16cex:commentExtensible w16cex:durableId="2366AD05" w16cex:dateUtc="2024-07-30T16:18:00Z"/>
  <w16cex:commentExtensible w16cex:durableId="791F6C33" w16cex:dateUtc="2024-08-18T20:07:00Z"/>
  <w16cex:commentExtensible w16cex:durableId="4670D77B" w16cex:dateUtc="2024-07-19T20:32:00Z"/>
  <w16cex:commentExtensible w16cex:durableId="4AD7EA7B" w16cex:dateUtc="2024-06-07T13:35:00Z"/>
  <w16cex:commentExtensible w16cex:durableId="6BC26B54" w16cex:dateUtc="2024-07-19T20:36:00Z"/>
  <w16cex:commentExtensible w16cex:durableId="0EAC3CD6" w16cex:dateUtc="2024-08-18T20:19:00Z"/>
  <w16cex:commentExtensible w16cex:durableId="4E63DCA7" w16cex:dateUtc="2024-07-19T21:11:00Z"/>
  <w16cex:commentExtensible w16cex:durableId="54A3B399" w16cex:dateUtc="2024-07-19T21:12:00Z"/>
  <w16cex:commentExtensible w16cex:durableId="51DC0C06" w16cex:dateUtc="2024-08-18T20:20:00Z"/>
  <w16cex:commentExtensible w16cex:durableId="001F85C8" w16cex:dateUtc="2024-08-18T21:12:00Z"/>
  <w16cex:commentExtensible w16cex:durableId="719BAFD4" w16cex:dateUtc="2024-07-30T16:27:00Z"/>
  <w16cex:commentExtensible w16cex:durableId="5916743F" w16cex:dateUtc="2024-08-17T15:03:00Z"/>
  <w16cex:commentExtensible w16cex:durableId="052332A8" w16cex:dateUtc="2024-08-17T15:03:00Z"/>
  <w16cex:commentExtensible w16cex:durableId="72AB376F" w16cex:dateUtc="2024-07-19T19:06:00Z"/>
  <w16cex:commentExtensible w16cex:durableId="1E493B88" w16cex:dateUtc="2024-08-18T21:16:00Z"/>
  <w16cex:commentExtensible w16cex:durableId="5B87D449" w16cex:dateUtc="2024-07-19T20:42:00Z"/>
  <w16cex:commentExtensible w16cex:durableId="5C938AC3" w16cex:dateUtc="2024-08-17T15:06:00Z"/>
  <w16cex:commentExtensible w16cex:durableId="229E149C" w16cex:dateUtc="2024-07-31T13:27:00Z"/>
  <w16cex:commentExtensible w16cex:durableId="280428AB" w16cex:dateUtc="2024-07-19T21:07:00Z"/>
  <w16cex:commentExtensible w16cex:durableId="49069E03" w16cex:dateUtc="2024-07-19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1ACC55" w16cid:durableId="000EB46E"/>
  <w16cid:commentId w16cid:paraId="1D19CEDC" w16cid:durableId="30916950"/>
  <w16cid:commentId w16cid:paraId="6706D0A3" w16cid:durableId="76392E28"/>
  <w16cid:commentId w16cid:paraId="57E8B532" w16cid:durableId="6C316A39"/>
  <w16cid:commentId w16cid:paraId="546B690B" w16cid:durableId="2A2704A9"/>
  <w16cid:commentId w16cid:paraId="44BA4CEA" w16cid:durableId="54A559D8"/>
  <w16cid:commentId w16cid:paraId="4D45706C" w16cid:durableId="0C7FECEA"/>
  <w16cid:commentId w16cid:paraId="6B7C03AD" w16cid:durableId="2FCF63E8"/>
  <w16cid:commentId w16cid:paraId="387AE234" w16cid:durableId="5FF2F63B"/>
  <w16cid:commentId w16cid:paraId="54E6A0DE" w16cid:durableId="1ADB45E2"/>
  <w16cid:commentId w16cid:paraId="643AFFF7" w16cid:durableId="599AEF15"/>
  <w16cid:commentId w16cid:paraId="70F03185" w16cid:durableId="316C5B04"/>
  <w16cid:commentId w16cid:paraId="48A1D036" w16cid:durableId="2366AD05"/>
  <w16cid:commentId w16cid:paraId="0FDD7D58" w16cid:durableId="791F6C33"/>
  <w16cid:commentId w16cid:paraId="03FA2172" w16cid:durableId="4670D77B"/>
  <w16cid:commentId w16cid:paraId="2018654D" w16cid:durableId="4AD7EA7B"/>
  <w16cid:commentId w16cid:paraId="2325265D" w16cid:durableId="6BC26B54"/>
  <w16cid:commentId w16cid:paraId="4A2B4FE1" w16cid:durableId="0EAC3CD6"/>
  <w16cid:commentId w16cid:paraId="471A5E62" w16cid:durableId="2A19EF79"/>
  <w16cid:commentId w16cid:paraId="08830399" w16cid:durableId="2A19EFFD"/>
  <w16cid:commentId w16cid:paraId="393E8748" w16cid:durableId="4E63DCA7"/>
  <w16cid:commentId w16cid:paraId="471D4A3A" w16cid:durableId="54A3B399"/>
  <w16cid:commentId w16cid:paraId="65B8EDFA" w16cid:durableId="51DC0C06"/>
  <w16cid:commentId w16cid:paraId="1344AD59" w16cid:durableId="001F85C8"/>
  <w16cid:commentId w16cid:paraId="4E17D3F6" w16cid:durableId="719BAFD4"/>
  <w16cid:commentId w16cid:paraId="70539D9F" w16cid:durableId="5916743F"/>
  <w16cid:commentId w16cid:paraId="21A15CD3" w16cid:durableId="052332A8"/>
  <w16cid:commentId w16cid:paraId="7AB12359" w16cid:durableId="72AB376F"/>
  <w16cid:commentId w16cid:paraId="172CD85D" w16cid:durableId="1E493B88"/>
  <w16cid:commentId w16cid:paraId="7F3CE61C" w16cid:durableId="2A11E75A"/>
  <w16cid:commentId w16cid:paraId="5A2B4DCD" w16cid:durableId="5B87D449"/>
  <w16cid:commentId w16cid:paraId="71353433" w16cid:durableId="5C938AC3"/>
  <w16cid:commentId w16cid:paraId="1619888E" w16cid:durableId="229E149C"/>
  <w16cid:commentId w16cid:paraId="37237AB2" w16cid:durableId="2A11F6F7"/>
  <w16cid:commentId w16cid:paraId="4C2EC48F" w16cid:durableId="280428AB"/>
  <w16cid:commentId w16cid:paraId="612B065B" w16cid:durableId="2A11FAFB"/>
  <w16cid:commentId w16cid:paraId="790EF7FE" w16cid:durableId="49069E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355FD"/>
    <w:multiLevelType w:val="multilevel"/>
    <w:tmpl w:val="3580C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CC671D"/>
    <w:multiLevelType w:val="multilevel"/>
    <w:tmpl w:val="461E3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9823094">
    <w:abstractNumId w:val="1"/>
  </w:num>
  <w:num w:numId="2" w16cid:durableId="7978452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rker, William [BSD]">
    <w15:presenceInfo w15:providerId="AD" w15:userId="S::wparker@uchicagomedicine.org::1198a91f-ac69-4639-9fe5-f347778debcf"/>
  </w15:person>
  <w15:person w15:author="Alex Wang">
    <w15:presenceInfo w15:providerId="AD" w15:userId="S::azwang@UCHICAGO.EDU::3fd62fd5-d75a-4529-bdc9-012ea0584c68"/>
  </w15:person>
  <w15:person w15:author="Molly White">
    <w15:presenceInfo w15:providerId="Windows Live" w15:userId="e7f8453ac8b41783"/>
  </w15:person>
  <w15:person w15:author="Kenley March Barrett Pelzer">
    <w15:presenceInfo w15:providerId="AD" w15:userId="S::kpelzer@uchicago.edu::a5443964-2daf-4bee-a0f0-f431e17a0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B6"/>
    <w:rsid w:val="0000294E"/>
    <w:rsid w:val="00004108"/>
    <w:rsid w:val="00004279"/>
    <w:rsid w:val="00006620"/>
    <w:rsid w:val="00011551"/>
    <w:rsid w:val="00016335"/>
    <w:rsid w:val="000218FA"/>
    <w:rsid w:val="000237F1"/>
    <w:rsid w:val="000327E6"/>
    <w:rsid w:val="0003573E"/>
    <w:rsid w:val="0004069B"/>
    <w:rsid w:val="000455C8"/>
    <w:rsid w:val="0004754D"/>
    <w:rsid w:val="000507BC"/>
    <w:rsid w:val="00061880"/>
    <w:rsid w:val="000652A0"/>
    <w:rsid w:val="0006641D"/>
    <w:rsid w:val="00074553"/>
    <w:rsid w:val="00074556"/>
    <w:rsid w:val="00077367"/>
    <w:rsid w:val="00077699"/>
    <w:rsid w:val="00077DAC"/>
    <w:rsid w:val="000805A0"/>
    <w:rsid w:val="000853AB"/>
    <w:rsid w:val="00085F03"/>
    <w:rsid w:val="0009394F"/>
    <w:rsid w:val="0009451F"/>
    <w:rsid w:val="0009551D"/>
    <w:rsid w:val="000A48E5"/>
    <w:rsid w:val="000B1332"/>
    <w:rsid w:val="000B1A8B"/>
    <w:rsid w:val="000B3B8B"/>
    <w:rsid w:val="000B4D55"/>
    <w:rsid w:val="000B542F"/>
    <w:rsid w:val="000C1309"/>
    <w:rsid w:val="000C1DD5"/>
    <w:rsid w:val="000C1F10"/>
    <w:rsid w:val="000C3B37"/>
    <w:rsid w:val="000D1F6E"/>
    <w:rsid w:val="000D7DF5"/>
    <w:rsid w:val="000E7819"/>
    <w:rsid w:val="000F0C52"/>
    <w:rsid w:val="000F267B"/>
    <w:rsid w:val="000F4314"/>
    <w:rsid w:val="000F7A27"/>
    <w:rsid w:val="0010099A"/>
    <w:rsid w:val="001037CD"/>
    <w:rsid w:val="00107ED0"/>
    <w:rsid w:val="00114C13"/>
    <w:rsid w:val="0011598E"/>
    <w:rsid w:val="00123B99"/>
    <w:rsid w:val="00124B6B"/>
    <w:rsid w:val="00130A60"/>
    <w:rsid w:val="00140480"/>
    <w:rsid w:val="00141184"/>
    <w:rsid w:val="0014248B"/>
    <w:rsid w:val="0014266D"/>
    <w:rsid w:val="001458DD"/>
    <w:rsid w:val="00146E3B"/>
    <w:rsid w:val="00146FFD"/>
    <w:rsid w:val="0015007D"/>
    <w:rsid w:val="0015377A"/>
    <w:rsid w:val="00153FFF"/>
    <w:rsid w:val="00154338"/>
    <w:rsid w:val="00154F66"/>
    <w:rsid w:val="001567B9"/>
    <w:rsid w:val="00157EA9"/>
    <w:rsid w:val="001619D3"/>
    <w:rsid w:val="001627B9"/>
    <w:rsid w:val="00162C9E"/>
    <w:rsid w:val="001639C8"/>
    <w:rsid w:val="001671BA"/>
    <w:rsid w:val="00167CF2"/>
    <w:rsid w:val="00171125"/>
    <w:rsid w:val="00175005"/>
    <w:rsid w:val="00180419"/>
    <w:rsid w:val="001826E9"/>
    <w:rsid w:val="001867B1"/>
    <w:rsid w:val="001870D1"/>
    <w:rsid w:val="001922CE"/>
    <w:rsid w:val="00192BF0"/>
    <w:rsid w:val="00194819"/>
    <w:rsid w:val="00196C25"/>
    <w:rsid w:val="001B1DC6"/>
    <w:rsid w:val="001B45C3"/>
    <w:rsid w:val="001B79B0"/>
    <w:rsid w:val="001C0732"/>
    <w:rsid w:val="001C58C7"/>
    <w:rsid w:val="001C7E7B"/>
    <w:rsid w:val="001C7E81"/>
    <w:rsid w:val="001D4E52"/>
    <w:rsid w:val="001D50A9"/>
    <w:rsid w:val="001D6840"/>
    <w:rsid w:val="001E084A"/>
    <w:rsid w:val="001E73EE"/>
    <w:rsid w:val="001F221C"/>
    <w:rsid w:val="001F2C2C"/>
    <w:rsid w:val="0020263C"/>
    <w:rsid w:val="00203DAA"/>
    <w:rsid w:val="00211744"/>
    <w:rsid w:val="002158B6"/>
    <w:rsid w:val="00221DE8"/>
    <w:rsid w:val="00222145"/>
    <w:rsid w:val="00222F11"/>
    <w:rsid w:val="00224041"/>
    <w:rsid w:val="0023365F"/>
    <w:rsid w:val="00235636"/>
    <w:rsid w:val="00235E6A"/>
    <w:rsid w:val="00235FB4"/>
    <w:rsid w:val="002400F7"/>
    <w:rsid w:val="00241CAF"/>
    <w:rsid w:val="00246254"/>
    <w:rsid w:val="002465CB"/>
    <w:rsid w:val="00256D7F"/>
    <w:rsid w:val="00275074"/>
    <w:rsid w:val="002831E0"/>
    <w:rsid w:val="0028353E"/>
    <w:rsid w:val="00284C84"/>
    <w:rsid w:val="0028707D"/>
    <w:rsid w:val="002A0531"/>
    <w:rsid w:val="002A3CE1"/>
    <w:rsid w:val="002B3268"/>
    <w:rsid w:val="002B3F45"/>
    <w:rsid w:val="002B5848"/>
    <w:rsid w:val="002B6427"/>
    <w:rsid w:val="002B79A8"/>
    <w:rsid w:val="002B7A6F"/>
    <w:rsid w:val="002C1F66"/>
    <w:rsid w:val="002C76CF"/>
    <w:rsid w:val="002D1456"/>
    <w:rsid w:val="002D37CC"/>
    <w:rsid w:val="002E012C"/>
    <w:rsid w:val="002E5B6D"/>
    <w:rsid w:val="002E6994"/>
    <w:rsid w:val="002F3D48"/>
    <w:rsid w:val="00302B3D"/>
    <w:rsid w:val="00302D07"/>
    <w:rsid w:val="003048E6"/>
    <w:rsid w:val="00311737"/>
    <w:rsid w:val="003130A0"/>
    <w:rsid w:val="0031386B"/>
    <w:rsid w:val="00316A61"/>
    <w:rsid w:val="00321456"/>
    <w:rsid w:val="0032250A"/>
    <w:rsid w:val="00340033"/>
    <w:rsid w:val="0034494C"/>
    <w:rsid w:val="00344B85"/>
    <w:rsid w:val="00346746"/>
    <w:rsid w:val="003473E1"/>
    <w:rsid w:val="00350725"/>
    <w:rsid w:val="00350C56"/>
    <w:rsid w:val="00350FE4"/>
    <w:rsid w:val="003513F9"/>
    <w:rsid w:val="00356190"/>
    <w:rsid w:val="003724E2"/>
    <w:rsid w:val="00372643"/>
    <w:rsid w:val="00374D7F"/>
    <w:rsid w:val="00381D7A"/>
    <w:rsid w:val="003834D2"/>
    <w:rsid w:val="003A1F69"/>
    <w:rsid w:val="003A34FC"/>
    <w:rsid w:val="003A3DA9"/>
    <w:rsid w:val="003A44CF"/>
    <w:rsid w:val="003C0D00"/>
    <w:rsid w:val="003C1F03"/>
    <w:rsid w:val="003C29F7"/>
    <w:rsid w:val="003D63D5"/>
    <w:rsid w:val="003D6C31"/>
    <w:rsid w:val="003E027E"/>
    <w:rsid w:val="003E1557"/>
    <w:rsid w:val="00401835"/>
    <w:rsid w:val="00403A92"/>
    <w:rsid w:val="004041F2"/>
    <w:rsid w:val="004063D9"/>
    <w:rsid w:val="0040704C"/>
    <w:rsid w:val="00411E18"/>
    <w:rsid w:val="00412E1D"/>
    <w:rsid w:val="00412E22"/>
    <w:rsid w:val="004205F4"/>
    <w:rsid w:val="0042076F"/>
    <w:rsid w:val="0042301B"/>
    <w:rsid w:val="004249FD"/>
    <w:rsid w:val="00427AF8"/>
    <w:rsid w:val="004340D7"/>
    <w:rsid w:val="0043510C"/>
    <w:rsid w:val="004416EE"/>
    <w:rsid w:val="00442CB4"/>
    <w:rsid w:val="00442D31"/>
    <w:rsid w:val="00444D67"/>
    <w:rsid w:val="00453525"/>
    <w:rsid w:val="00457434"/>
    <w:rsid w:val="00462229"/>
    <w:rsid w:val="00472621"/>
    <w:rsid w:val="00475785"/>
    <w:rsid w:val="00481A45"/>
    <w:rsid w:val="00484CC1"/>
    <w:rsid w:val="004861F5"/>
    <w:rsid w:val="0049017D"/>
    <w:rsid w:val="00490E88"/>
    <w:rsid w:val="004928CC"/>
    <w:rsid w:val="004945D8"/>
    <w:rsid w:val="00495EEE"/>
    <w:rsid w:val="004A377C"/>
    <w:rsid w:val="004A7749"/>
    <w:rsid w:val="004B02B8"/>
    <w:rsid w:val="004B7280"/>
    <w:rsid w:val="004C0103"/>
    <w:rsid w:val="004C43A6"/>
    <w:rsid w:val="004D2642"/>
    <w:rsid w:val="004D7240"/>
    <w:rsid w:val="004E071E"/>
    <w:rsid w:val="004E1FCF"/>
    <w:rsid w:val="004E5E4C"/>
    <w:rsid w:val="004E62E9"/>
    <w:rsid w:val="004F6D29"/>
    <w:rsid w:val="00501BD7"/>
    <w:rsid w:val="005020F7"/>
    <w:rsid w:val="00502138"/>
    <w:rsid w:val="005027B1"/>
    <w:rsid w:val="00505CBC"/>
    <w:rsid w:val="0050611F"/>
    <w:rsid w:val="00506784"/>
    <w:rsid w:val="00522B45"/>
    <w:rsid w:val="0052485C"/>
    <w:rsid w:val="00544DF4"/>
    <w:rsid w:val="00553F4A"/>
    <w:rsid w:val="00557888"/>
    <w:rsid w:val="00572346"/>
    <w:rsid w:val="00573FDC"/>
    <w:rsid w:val="00594B7C"/>
    <w:rsid w:val="005965E2"/>
    <w:rsid w:val="005978DE"/>
    <w:rsid w:val="00597E20"/>
    <w:rsid w:val="005A4C6E"/>
    <w:rsid w:val="005A68AD"/>
    <w:rsid w:val="005A7723"/>
    <w:rsid w:val="005B2AC7"/>
    <w:rsid w:val="005B3535"/>
    <w:rsid w:val="005B5CB9"/>
    <w:rsid w:val="005B663E"/>
    <w:rsid w:val="005B7BF4"/>
    <w:rsid w:val="005C06E3"/>
    <w:rsid w:val="005C1071"/>
    <w:rsid w:val="005C2932"/>
    <w:rsid w:val="005C4202"/>
    <w:rsid w:val="005D1E9A"/>
    <w:rsid w:val="005D6DA6"/>
    <w:rsid w:val="005E0C8D"/>
    <w:rsid w:val="005E1E94"/>
    <w:rsid w:val="005E4E6E"/>
    <w:rsid w:val="005E5C20"/>
    <w:rsid w:val="005E6269"/>
    <w:rsid w:val="005F0622"/>
    <w:rsid w:val="005F16E4"/>
    <w:rsid w:val="005F2A61"/>
    <w:rsid w:val="005F485C"/>
    <w:rsid w:val="00606927"/>
    <w:rsid w:val="00611534"/>
    <w:rsid w:val="00616ABB"/>
    <w:rsid w:val="00620747"/>
    <w:rsid w:val="00623173"/>
    <w:rsid w:val="00623764"/>
    <w:rsid w:val="00630C80"/>
    <w:rsid w:val="006316C3"/>
    <w:rsid w:val="006321AC"/>
    <w:rsid w:val="00632CD6"/>
    <w:rsid w:val="00642FBB"/>
    <w:rsid w:val="0064371F"/>
    <w:rsid w:val="006440CD"/>
    <w:rsid w:val="0064574C"/>
    <w:rsid w:val="00650277"/>
    <w:rsid w:val="006503FB"/>
    <w:rsid w:val="00650552"/>
    <w:rsid w:val="0065391D"/>
    <w:rsid w:val="00653F3C"/>
    <w:rsid w:val="00655D20"/>
    <w:rsid w:val="0066651A"/>
    <w:rsid w:val="00666A32"/>
    <w:rsid w:val="00672599"/>
    <w:rsid w:val="00673939"/>
    <w:rsid w:val="006768E1"/>
    <w:rsid w:val="006815E0"/>
    <w:rsid w:val="0068197C"/>
    <w:rsid w:val="006843FD"/>
    <w:rsid w:val="006903B7"/>
    <w:rsid w:val="00694448"/>
    <w:rsid w:val="00695DA4"/>
    <w:rsid w:val="006A136A"/>
    <w:rsid w:val="006A2184"/>
    <w:rsid w:val="006A27AB"/>
    <w:rsid w:val="006A53BA"/>
    <w:rsid w:val="006A54B3"/>
    <w:rsid w:val="006B003E"/>
    <w:rsid w:val="006B1DED"/>
    <w:rsid w:val="006B5875"/>
    <w:rsid w:val="006B7369"/>
    <w:rsid w:val="006C4137"/>
    <w:rsid w:val="006C6074"/>
    <w:rsid w:val="006D0620"/>
    <w:rsid w:val="006D0E7F"/>
    <w:rsid w:val="006D2AA2"/>
    <w:rsid w:val="006E0028"/>
    <w:rsid w:val="006F34EE"/>
    <w:rsid w:val="006F6F36"/>
    <w:rsid w:val="006F6F4C"/>
    <w:rsid w:val="007003D1"/>
    <w:rsid w:val="00700DAE"/>
    <w:rsid w:val="00700FF2"/>
    <w:rsid w:val="007070AF"/>
    <w:rsid w:val="00707FD0"/>
    <w:rsid w:val="00715187"/>
    <w:rsid w:val="00720C78"/>
    <w:rsid w:val="00720CB8"/>
    <w:rsid w:val="00724836"/>
    <w:rsid w:val="00725E49"/>
    <w:rsid w:val="007268E3"/>
    <w:rsid w:val="00730B99"/>
    <w:rsid w:val="00731419"/>
    <w:rsid w:val="0073654B"/>
    <w:rsid w:val="0073726A"/>
    <w:rsid w:val="007376D8"/>
    <w:rsid w:val="00741021"/>
    <w:rsid w:val="00753A7C"/>
    <w:rsid w:val="007551AD"/>
    <w:rsid w:val="00756D0D"/>
    <w:rsid w:val="00757918"/>
    <w:rsid w:val="00766DD6"/>
    <w:rsid w:val="00774636"/>
    <w:rsid w:val="007747A5"/>
    <w:rsid w:val="007769E6"/>
    <w:rsid w:val="00777781"/>
    <w:rsid w:val="007849E5"/>
    <w:rsid w:val="00786AF5"/>
    <w:rsid w:val="00787920"/>
    <w:rsid w:val="00794336"/>
    <w:rsid w:val="00796BA1"/>
    <w:rsid w:val="00797F39"/>
    <w:rsid w:val="007A04F5"/>
    <w:rsid w:val="007A506B"/>
    <w:rsid w:val="007B49B1"/>
    <w:rsid w:val="007C322E"/>
    <w:rsid w:val="007C4832"/>
    <w:rsid w:val="007D02A0"/>
    <w:rsid w:val="007D04AB"/>
    <w:rsid w:val="007D207E"/>
    <w:rsid w:val="007D30D3"/>
    <w:rsid w:val="007D4AEC"/>
    <w:rsid w:val="007F15BE"/>
    <w:rsid w:val="007F48F7"/>
    <w:rsid w:val="007F55E4"/>
    <w:rsid w:val="00804BE0"/>
    <w:rsid w:val="0081202F"/>
    <w:rsid w:val="008177BD"/>
    <w:rsid w:val="00821D93"/>
    <w:rsid w:val="00823236"/>
    <w:rsid w:val="00823FEB"/>
    <w:rsid w:val="008369C1"/>
    <w:rsid w:val="008374B1"/>
    <w:rsid w:val="0084546D"/>
    <w:rsid w:val="00846A9D"/>
    <w:rsid w:val="008511D7"/>
    <w:rsid w:val="008537A0"/>
    <w:rsid w:val="008544CA"/>
    <w:rsid w:val="008552EE"/>
    <w:rsid w:val="00856881"/>
    <w:rsid w:val="008570F8"/>
    <w:rsid w:val="00857254"/>
    <w:rsid w:val="00861227"/>
    <w:rsid w:val="00871787"/>
    <w:rsid w:val="00871B2E"/>
    <w:rsid w:val="008736A9"/>
    <w:rsid w:val="00876D24"/>
    <w:rsid w:val="0088707C"/>
    <w:rsid w:val="00891439"/>
    <w:rsid w:val="00895899"/>
    <w:rsid w:val="008A14C1"/>
    <w:rsid w:val="008A23AA"/>
    <w:rsid w:val="008A3EBC"/>
    <w:rsid w:val="008B2A24"/>
    <w:rsid w:val="008B6C0C"/>
    <w:rsid w:val="008B760E"/>
    <w:rsid w:val="008C7ACD"/>
    <w:rsid w:val="008E040F"/>
    <w:rsid w:val="008F1C9F"/>
    <w:rsid w:val="008F1D2A"/>
    <w:rsid w:val="008F567B"/>
    <w:rsid w:val="009006BE"/>
    <w:rsid w:val="00900F1C"/>
    <w:rsid w:val="009028AA"/>
    <w:rsid w:val="00904C8E"/>
    <w:rsid w:val="0091481F"/>
    <w:rsid w:val="00915D12"/>
    <w:rsid w:val="0092031D"/>
    <w:rsid w:val="0092353B"/>
    <w:rsid w:val="00925C90"/>
    <w:rsid w:val="00927914"/>
    <w:rsid w:val="00930744"/>
    <w:rsid w:val="00934134"/>
    <w:rsid w:val="00940BFA"/>
    <w:rsid w:val="00942309"/>
    <w:rsid w:val="009428CA"/>
    <w:rsid w:val="0094398A"/>
    <w:rsid w:val="00946464"/>
    <w:rsid w:val="00951CC5"/>
    <w:rsid w:val="00955CCB"/>
    <w:rsid w:val="0096284F"/>
    <w:rsid w:val="00967999"/>
    <w:rsid w:val="0097494F"/>
    <w:rsid w:val="00975980"/>
    <w:rsid w:val="00977559"/>
    <w:rsid w:val="0098207A"/>
    <w:rsid w:val="0099041C"/>
    <w:rsid w:val="00996418"/>
    <w:rsid w:val="00997F6D"/>
    <w:rsid w:val="009A3782"/>
    <w:rsid w:val="009A3CC0"/>
    <w:rsid w:val="009B1F85"/>
    <w:rsid w:val="009B5F25"/>
    <w:rsid w:val="009B63F6"/>
    <w:rsid w:val="009C00DE"/>
    <w:rsid w:val="009C07A8"/>
    <w:rsid w:val="009C0BF6"/>
    <w:rsid w:val="009C5A03"/>
    <w:rsid w:val="009C70A2"/>
    <w:rsid w:val="009C713F"/>
    <w:rsid w:val="009D11B2"/>
    <w:rsid w:val="009D2E58"/>
    <w:rsid w:val="009D2E78"/>
    <w:rsid w:val="009D31D5"/>
    <w:rsid w:val="009D3307"/>
    <w:rsid w:val="009F04E4"/>
    <w:rsid w:val="009F0557"/>
    <w:rsid w:val="009F295C"/>
    <w:rsid w:val="00A015B0"/>
    <w:rsid w:val="00A0588D"/>
    <w:rsid w:val="00A05A19"/>
    <w:rsid w:val="00A16F2C"/>
    <w:rsid w:val="00A25C57"/>
    <w:rsid w:val="00A32A0D"/>
    <w:rsid w:val="00A33E13"/>
    <w:rsid w:val="00A35D31"/>
    <w:rsid w:val="00A36009"/>
    <w:rsid w:val="00A36365"/>
    <w:rsid w:val="00A372C2"/>
    <w:rsid w:val="00A407A2"/>
    <w:rsid w:val="00A47B5C"/>
    <w:rsid w:val="00A52EAF"/>
    <w:rsid w:val="00A53FE5"/>
    <w:rsid w:val="00A56B3A"/>
    <w:rsid w:val="00A57511"/>
    <w:rsid w:val="00A57804"/>
    <w:rsid w:val="00A60CDC"/>
    <w:rsid w:val="00A613E2"/>
    <w:rsid w:val="00A61B9F"/>
    <w:rsid w:val="00A62757"/>
    <w:rsid w:val="00A6285F"/>
    <w:rsid w:val="00A74CE4"/>
    <w:rsid w:val="00A77B16"/>
    <w:rsid w:val="00A81698"/>
    <w:rsid w:val="00A81DB5"/>
    <w:rsid w:val="00A855C9"/>
    <w:rsid w:val="00A92F57"/>
    <w:rsid w:val="00A93EB6"/>
    <w:rsid w:val="00A94E20"/>
    <w:rsid w:val="00AA00BF"/>
    <w:rsid w:val="00AA2EBD"/>
    <w:rsid w:val="00AB1A1E"/>
    <w:rsid w:val="00AB1DE4"/>
    <w:rsid w:val="00AB27DE"/>
    <w:rsid w:val="00AB3F07"/>
    <w:rsid w:val="00AD1C43"/>
    <w:rsid w:val="00AD35F5"/>
    <w:rsid w:val="00AD7A27"/>
    <w:rsid w:val="00AE1374"/>
    <w:rsid w:val="00AF08E1"/>
    <w:rsid w:val="00AF47F4"/>
    <w:rsid w:val="00AF711A"/>
    <w:rsid w:val="00B00A0A"/>
    <w:rsid w:val="00B018E9"/>
    <w:rsid w:val="00B0340E"/>
    <w:rsid w:val="00B03A4D"/>
    <w:rsid w:val="00B05329"/>
    <w:rsid w:val="00B05CD3"/>
    <w:rsid w:val="00B10B96"/>
    <w:rsid w:val="00B11673"/>
    <w:rsid w:val="00B13B37"/>
    <w:rsid w:val="00B16D6F"/>
    <w:rsid w:val="00B20CD3"/>
    <w:rsid w:val="00B235B5"/>
    <w:rsid w:val="00B25624"/>
    <w:rsid w:val="00B33FF7"/>
    <w:rsid w:val="00B35699"/>
    <w:rsid w:val="00B35F2C"/>
    <w:rsid w:val="00B44B90"/>
    <w:rsid w:val="00B47107"/>
    <w:rsid w:val="00B54A73"/>
    <w:rsid w:val="00B61263"/>
    <w:rsid w:val="00B61592"/>
    <w:rsid w:val="00B672E8"/>
    <w:rsid w:val="00B67588"/>
    <w:rsid w:val="00B700CF"/>
    <w:rsid w:val="00B72694"/>
    <w:rsid w:val="00B72E82"/>
    <w:rsid w:val="00B730CC"/>
    <w:rsid w:val="00B73CFC"/>
    <w:rsid w:val="00B906E6"/>
    <w:rsid w:val="00B92829"/>
    <w:rsid w:val="00BA0733"/>
    <w:rsid w:val="00BA1F9E"/>
    <w:rsid w:val="00BA6109"/>
    <w:rsid w:val="00BA7729"/>
    <w:rsid w:val="00BB0D8C"/>
    <w:rsid w:val="00BB2EF6"/>
    <w:rsid w:val="00BB69B5"/>
    <w:rsid w:val="00BB7106"/>
    <w:rsid w:val="00BB7BC1"/>
    <w:rsid w:val="00BC1ADB"/>
    <w:rsid w:val="00BC30FB"/>
    <w:rsid w:val="00BD28E5"/>
    <w:rsid w:val="00BD31A5"/>
    <w:rsid w:val="00BD4B0F"/>
    <w:rsid w:val="00BD76A4"/>
    <w:rsid w:val="00BD7FBE"/>
    <w:rsid w:val="00BE002B"/>
    <w:rsid w:val="00BE2839"/>
    <w:rsid w:val="00BF1E71"/>
    <w:rsid w:val="00BF4727"/>
    <w:rsid w:val="00BF60C1"/>
    <w:rsid w:val="00C04537"/>
    <w:rsid w:val="00C110E9"/>
    <w:rsid w:val="00C14646"/>
    <w:rsid w:val="00C1486C"/>
    <w:rsid w:val="00C16BED"/>
    <w:rsid w:val="00C16F16"/>
    <w:rsid w:val="00C20243"/>
    <w:rsid w:val="00C230EE"/>
    <w:rsid w:val="00C2360A"/>
    <w:rsid w:val="00C2390B"/>
    <w:rsid w:val="00C270BB"/>
    <w:rsid w:val="00C322B5"/>
    <w:rsid w:val="00C336B4"/>
    <w:rsid w:val="00C365D5"/>
    <w:rsid w:val="00C407F1"/>
    <w:rsid w:val="00C411B6"/>
    <w:rsid w:val="00C431D0"/>
    <w:rsid w:val="00C44F93"/>
    <w:rsid w:val="00C51AB5"/>
    <w:rsid w:val="00C563A8"/>
    <w:rsid w:val="00C70874"/>
    <w:rsid w:val="00C70F41"/>
    <w:rsid w:val="00C711DA"/>
    <w:rsid w:val="00C72282"/>
    <w:rsid w:val="00C72BD2"/>
    <w:rsid w:val="00C77C26"/>
    <w:rsid w:val="00C84138"/>
    <w:rsid w:val="00C84C2B"/>
    <w:rsid w:val="00C84EC9"/>
    <w:rsid w:val="00C84F18"/>
    <w:rsid w:val="00C87E97"/>
    <w:rsid w:val="00C9728E"/>
    <w:rsid w:val="00CA2933"/>
    <w:rsid w:val="00CA6D1D"/>
    <w:rsid w:val="00CB1452"/>
    <w:rsid w:val="00CB2608"/>
    <w:rsid w:val="00CB47B7"/>
    <w:rsid w:val="00CB5C6F"/>
    <w:rsid w:val="00CB631F"/>
    <w:rsid w:val="00CC1996"/>
    <w:rsid w:val="00CC37E3"/>
    <w:rsid w:val="00CD15EB"/>
    <w:rsid w:val="00CD1A9D"/>
    <w:rsid w:val="00CD7481"/>
    <w:rsid w:val="00CD7C62"/>
    <w:rsid w:val="00CE146D"/>
    <w:rsid w:val="00CE51A0"/>
    <w:rsid w:val="00D01259"/>
    <w:rsid w:val="00D01D7A"/>
    <w:rsid w:val="00D06F44"/>
    <w:rsid w:val="00D076CD"/>
    <w:rsid w:val="00D163AA"/>
    <w:rsid w:val="00D173B0"/>
    <w:rsid w:val="00D26FB0"/>
    <w:rsid w:val="00D34995"/>
    <w:rsid w:val="00D35779"/>
    <w:rsid w:val="00D364DD"/>
    <w:rsid w:val="00D4010A"/>
    <w:rsid w:val="00D4286B"/>
    <w:rsid w:val="00D467D1"/>
    <w:rsid w:val="00D51C15"/>
    <w:rsid w:val="00D564C0"/>
    <w:rsid w:val="00D610B5"/>
    <w:rsid w:val="00D63BD6"/>
    <w:rsid w:val="00D650BF"/>
    <w:rsid w:val="00D7512D"/>
    <w:rsid w:val="00D76FB7"/>
    <w:rsid w:val="00D7721C"/>
    <w:rsid w:val="00D812B7"/>
    <w:rsid w:val="00D827F5"/>
    <w:rsid w:val="00D85116"/>
    <w:rsid w:val="00D85E4D"/>
    <w:rsid w:val="00D8708E"/>
    <w:rsid w:val="00D875F2"/>
    <w:rsid w:val="00D93664"/>
    <w:rsid w:val="00D96D2D"/>
    <w:rsid w:val="00DC2F3E"/>
    <w:rsid w:val="00DD0811"/>
    <w:rsid w:val="00DD0AD1"/>
    <w:rsid w:val="00DD35A8"/>
    <w:rsid w:val="00DD479F"/>
    <w:rsid w:val="00DD66BB"/>
    <w:rsid w:val="00DF012E"/>
    <w:rsid w:val="00DF187D"/>
    <w:rsid w:val="00E00BCB"/>
    <w:rsid w:val="00E01CFF"/>
    <w:rsid w:val="00E03386"/>
    <w:rsid w:val="00E05940"/>
    <w:rsid w:val="00E1049C"/>
    <w:rsid w:val="00E10799"/>
    <w:rsid w:val="00E10F3B"/>
    <w:rsid w:val="00E11289"/>
    <w:rsid w:val="00E1261C"/>
    <w:rsid w:val="00E144FB"/>
    <w:rsid w:val="00E15BA5"/>
    <w:rsid w:val="00E261A6"/>
    <w:rsid w:val="00E303AB"/>
    <w:rsid w:val="00E3149D"/>
    <w:rsid w:val="00E33FE5"/>
    <w:rsid w:val="00E3469D"/>
    <w:rsid w:val="00E35960"/>
    <w:rsid w:val="00E37051"/>
    <w:rsid w:val="00E37641"/>
    <w:rsid w:val="00E426D5"/>
    <w:rsid w:val="00E50408"/>
    <w:rsid w:val="00E563F1"/>
    <w:rsid w:val="00E5734A"/>
    <w:rsid w:val="00E60E06"/>
    <w:rsid w:val="00E6503B"/>
    <w:rsid w:val="00E6677A"/>
    <w:rsid w:val="00E667CB"/>
    <w:rsid w:val="00E710C0"/>
    <w:rsid w:val="00E7375C"/>
    <w:rsid w:val="00E83D5D"/>
    <w:rsid w:val="00E852F4"/>
    <w:rsid w:val="00E861C5"/>
    <w:rsid w:val="00E9241D"/>
    <w:rsid w:val="00E92A16"/>
    <w:rsid w:val="00E94E82"/>
    <w:rsid w:val="00E958FF"/>
    <w:rsid w:val="00E97DD9"/>
    <w:rsid w:val="00EA0308"/>
    <w:rsid w:val="00EB4EBC"/>
    <w:rsid w:val="00EB519C"/>
    <w:rsid w:val="00EB60C4"/>
    <w:rsid w:val="00EC07A3"/>
    <w:rsid w:val="00EC1D86"/>
    <w:rsid w:val="00EC63AD"/>
    <w:rsid w:val="00EC78C8"/>
    <w:rsid w:val="00ED2B64"/>
    <w:rsid w:val="00ED3680"/>
    <w:rsid w:val="00ED73FC"/>
    <w:rsid w:val="00EE0D8F"/>
    <w:rsid w:val="00EE10E2"/>
    <w:rsid w:val="00EE6038"/>
    <w:rsid w:val="00EE773C"/>
    <w:rsid w:val="00EF015A"/>
    <w:rsid w:val="00EF1AA8"/>
    <w:rsid w:val="00EF4813"/>
    <w:rsid w:val="00F0686A"/>
    <w:rsid w:val="00F14986"/>
    <w:rsid w:val="00F1702F"/>
    <w:rsid w:val="00F1797C"/>
    <w:rsid w:val="00F27CF3"/>
    <w:rsid w:val="00F33D02"/>
    <w:rsid w:val="00F35EBC"/>
    <w:rsid w:val="00F43ED0"/>
    <w:rsid w:val="00F4722C"/>
    <w:rsid w:val="00F47F44"/>
    <w:rsid w:val="00F61A01"/>
    <w:rsid w:val="00F67E95"/>
    <w:rsid w:val="00F70237"/>
    <w:rsid w:val="00F75C82"/>
    <w:rsid w:val="00F75DAC"/>
    <w:rsid w:val="00F763AF"/>
    <w:rsid w:val="00F800A6"/>
    <w:rsid w:val="00F841E9"/>
    <w:rsid w:val="00F85691"/>
    <w:rsid w:val="00F8657A"/>
    <w:rsid w:val="00F92F26"/>
    <w:rsid w:val="00F93801"/>
    <w:rsid w:val="00F97569"/>
    <w:rsid w:val="00FA4570"/>
    <w:rsid w:val="00FC0182"/>
    <w:rsid w:val="00FC3F51"/>
    <w:rsid w:val="00FD1D1C"/>
    <w:rsid w:val="00FD2F17"/>
    <w:rsid w:val="00FD34E0"/>
    <w:rsid w:val="00FD7B1D"/>
    <w:rsid w:val="00FD7E0B"/>
    <w:rsid w:val="00FE4284"/>
    <w:rsid w:val="00FE4C44"/>
    <w:rsid w:val="00FE5346"/>
    <w:rsid w:val="00FE53C4"/>
    <w:rsid w:val="00FF2672"/>
    <w:rsid w:val="00FF2EFC"/>
    <w:rsid w:val="00FF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E03A"/>
  <w15:docId w15:val="{C9B81B87-64EB-6447-917D-4894AC0E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0594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594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2031D"/>
    <w:rPr>
      <w:sz w:val="16"/>
      <w:szCs w:val="16"/>
    </w:rPr>
  </w:style>
  <w:style w:type="paragraph" w:styleId="CommentText">
    <w:name w:val="annotation text"/>
    <w:basedOn w:val="Normal"/>
    <w:link w:val="CommentTextChar"/>
    <w:uiPriority w:val="99"/>
    <w:unhideWhenUsed/>
    <w:rsid w:val="0092031D"/>
    <w:pPr>
      <w:spacing w:line="240" w:lineRule="auto"/>
    </w:pPr>
    <w:rPr>
      <w:sz w:val="20"/>
      <w:szCs w:val="20"/>
    </w:rPr>
  </w:style>
  <w:style w:type="character" w:customStyle="1" w:styleId="CommentTextChar">
    <w:name w:val="Comment Text Char"/>
    <w:basedOn w:val="DefaultParagraphFont"/>
    <w:link w:val="CommentText"/>
    <w:uiPriority w:val="99"/>
    <w:rsid w:val="0092031D"/>
    <w:rPr>
      <w:sz w:val="20"/>
      <w:szCs w:val="20"/>
    </w:rPr>
  </w:style>
  <w:style w:type="paragraph" w:styleId="CommentSubject">
    <w:name w:val="annotation subject"/>
    <w:basedOn w:val="CommentText"/>
    <w:next w:val="CommentText"/>
    <w:link w:val="CommentSubjectChar"/>
    <w:uiPriority w:val="99"/>
    <w:semiHidden/>
    <w:unhideWhenUsed/>
    <w:rsid w:val="0092031D"/>
    <w:rPr>
      <w:b/>
      <w:bCs/>
    </w:rPr>
  </w:style>
  <w:style w:type="character" w:customStyle="1" w:styleId="CommentSubjectChar">
    <w:name w:val="Comment Subject Char"/>
    <w:basedOn w:val="CommentTextChar"/>
    <w:link w:val="CommentSubject"/>
    <w:uiPriority w:val="99"/>
    <w:semiHidden/>
    <w:rsid w:val="0092031D"/>
    <w:rPr>
      <w:b/>
      <w:bCs/>
      <w:sz w:val="20"/>
      <w:szCs w:val="20"/>
    </w:rPr>
  </w:style>
  <w:style w:type="paragraph" w:styleId="Revision">
    <w:name w:val="Revision"/>
    <w:hidden/>
    <w:uiPriority w:val="99"/>
    <w:semiHidden/>
    <w:rsid w:val="001639C8"/>
    <w:pPr>
      <w:spacing w:line="240" w:lineRule="auto"/>
    </w:pPr>
  </w:style>
  <w:style w:type="paragraph" w:styleId="NormalWeb">
    <w:name w:val="Normal (Web)"/>
    <w:basedOn w:val="Normal"/>
    <w:uiPriority w:val="99"/>
    <w:semiHidden/>
    <w:unhideWhenUsed/>
    <w:rsid w:val="009028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97657">
      <w:bodyDiv w:val="1"/>
      <w:marLeft w:val="0"/>
      <w:marRight w:val="0"/>
      <w:marTop w:val="0"/>
      <w:marBottom w:val="0"/>
      <w:divBdr>
        <w:top w:val="none" w:sz="0" w:space="0" w:color="auto"/>
        <w:left w:val="none" w:sz="0" w:space="0" w:color="auto"/>
        <w:bottom w:val="none" w:sz="0" w:space="0" w:color="auto"/>
        <w:right w:val="none" w:sz="0" w:space="0" w:color="auto"/>
      </w:divBdr>
    </w:div>
    <w:div w:id="657466010">
      <w:bodyDiv w:val="1"/>
      <w:marLeft w:val="0"/>
      <w:marRight w:val="0"/>
      <w:marTop w:val="0"/>
      <w:marBottom w:val="0"/>
      <w:divBdr>
        <w:top w:val="none" w:sz="0" w:space="0" w:color="auto"/>
        <w:left w:val="none" w:sz="0" w:space="0" w:color="auto"/>
        <w:bottom w:val="none" w:sz="0" w:space="0" w:color="auto"/>
        <w:right w:val="none" w:sz="0" w:space="0" w:color="auto"/>
      </w:divBdr>
    </w:div>
    <w:div w:id="732654712">
      <w:bodyDiv w:val="1"/>
      <w:marLeft w:val="0"/>
      <w:marRight w:val="0"/>
      <w:marTop w:val="0"/>
      <w:marBottom w:val="0"/>
      <w:divBdr>
        <w:top w:val="none" w:sz="0" w:space="0" w:color="auto"/>
        <w:left w:val="none" w:sz="0" w:space="0" w:color="auto"/>
        <w:bottom w:val="none" w:sz="0" w:space="0" w:color="auto"/>
        <w:right w:val="none" w:sz="0" w:space="0" w:color="auto"/>
      </w:divBdr>
    </w:div>
    <w:div w:id="1247768877">
      <w:bodyDiv w:val="1"/>
      <w:marLeft w:val="0"/>
      <w:marRight w:val="0"/>
      <w:marTop w:val="0"/>
      <w:marBottom w:val="0"/>
      <w:divBdr>
        <w:top w:val="none" w:sz="0" w:space="0" w:color="auto"/>
        <w:left w:val="none" w:sz="0" w:space="0" w:color="auto"/>
        <w:bottom w:val="none" w:sz="0" w:space="0" w:color="auto"/>
        <w:right w:val="none" w:sz="0" w:space="0" w:color="auto"/>
      </w:divBdr>
    </w:div>
    <w:div w:id="1338730929">
      <w:bodyDiv w:val="1"/>
      <w:marLeft w:val="0"/>
      <w:marRight w:val="0"/>
      <w:marTop w:val="0"/>
      <w:marBottom w:val="0"/>
      <w:divBdr>
        <w:top w:val="none" w:sz="0" w:space="0" w:color="auto"/>
        <w:left w:val="none" w:sz="0" w:space="0" w:color="auto"/>
        <w:bottom w:val="none" w:sz="0" w:space="0" w:color="auto"/>
        <w:right w:val="none" w:sz="0" w:space="0" w:color="auto"/>
      </w:divBdr>
    </w:div>
    <w:div w:id="1556119073">
      <w:bodyDiv w:val="1"/>
      <w:marLeft w:val="0"/>
      <w:marRight w:val="0"/>
      <w:marTop w:val="0"/>
      <w:marBottom w:val="0"/>
      <w:divBdr>
        <w:top w:val="none" w:sz="0" w:space="0" w:color="auto"/>
        <w:left w:val="none" w:sz="0" w:space="0" w:color="auto"/>
        <w:bottom w:val="none" w:sz="0" w:space="0" w:color="auto"/>
        <w:right w:val="none" w:sz="0" w:space="0" w:color="auto"/>
      </w:divBdr>
    </w:div>
    <w:div w:id="1736511396">
      <w:bodyDiv w:val="1"/>
      <w:marLeft w:val="0"/>
      <w:marRight w:val="0"/>
      <w:marTop w:val="0"/>
      <w:marBottom w:val="0"/>
      <w:divBdr>
        <w:top w:val="none" w:sz="0" w:space="0" w:color="auto"/>
        <w:left w:val="none" w:sz="0" w:space="0" w:color="auto"/>
        <w:bottom w:val="none" w:sz="0" w:space="0" w:color="auto"/>
        <w:right w:val="none" w:sz="0" w:space="0" w:color="auto"/>
      </w:divBdr>
    </w:div>
    <w:div w:id="1850170613">
      <w:bodyDiv w:val="1"/>
      <w:marLeft w:val="0"/>
      <w:marRight w:val="0"/>
      <w:marTop w:val="0"/>
      <w:marBottom w:val="0"/>
      <w:divBdr>
        <w:top w:val="none" w:sz="0" w:space="0" w:color="auto"/>
        <w:left w:val="none" w:sz="0" w:space="0" w:color="auto"/>
        <w:bottom w:val="none" w:sz="0" w:space="0" w:color="auto"/>
        <w:right w:val="none" w:sz="0" w:space="0" w:color="auto"/>
      </w:divBdr>
    </w:div>
    <w:div w:id="2035496203">
      <w:bodyDiv w:val="1"/>
      <w:marLeft w:val="0"/>
      <w:marRight w:val="0"/>
      <w:marTop w:val="0"/>
      <w:marBottom w:val="0"/>
      <w:divBdr>
        <w:top w:val="none" w:sz="0" w:space="0" w:color="auto"/>
        <w:left w:val="none" w:sz="0" w:space="0" w:color="auto"/>
        <w:bottom w:val="none" w:sz="0" w:space="0" w:color="auto"/>
        <w:right w:val="none" w:sz="0" w:space="0" w:color="auto"/>
      </w:divBdr>
    </w:div>
    <w:div w:id="2056654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lana.2022.100290" TargetMode="External"/><Relationship Id="rId18" Type="http://schemas.openxmlformats.org/officeDocument/2006/relationships/hyperlink" Target="https://optn.transplant.hrsa.gov/policies-bylaws/a-closer-look/continuous-distribution/continuous-distribution-heart/" TargetMode="External"/><Relationship Id="rId26" Type="http://schemas.openxmlformats.org/officeDocument/2006/relationships/hyperlink" Target="https://www.atsdr.cdc.gov/placeandhealth/svi/index.html" TargetMode="External"/><Relationship Id="rId21" Type="http://schemas.openxmlformats.org/officeDocument/2006/relationships/hyperlink" Target="https://doi.org/10.1111/petr.14695" TargetMode="External"/><Relationship Id="rId34" Type="http://schemas.openxmlformats.org/officeDocument/2006/relationships/hyperlink" Target="https://doi.org/10.1053/j.ajkd.2024.02.017" TargetMode="External"/><Relationship Id="rId7" Type="http://schemas.microsoft.com/office/2016/09/relationships/commentsIds" Target="commentsIds.xml"/><Relationship Id="rId12" Type="http://schemas.openxmlformats.org/officeDocument/2006/relationships/hyperlink" Target="https://doi.org/10.1016/j.ajt.2023.06.017" TargetMode="External"/><Relationship Id="rId17" Type="http://schemas.openxmlformats.org/officeDocument/2006/relationships/hyperlink" Target="https://optn.transplant.hrsa.gov/policies-bylaws/a-closer-look/continuous-distribution/" TargetMode="External"/><Relationship Id="rId25" Type="http://schemas.openxmlformats.org/officeDocument/2006/relationships/hyperlink" Target="https://www.atsdr.cdc.gov/placeandhealth/svi/index.html" TargetMode="External"/><Relationship Id="rId33" Type="http://schemas.openxmlformats.org/officeDocument/2006/relationships/hyperlink" Target="https://doi.org/10.1016/j.healun.2022.08.02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tn.transplant.hrsa.gov/policies-bylaws/a-closer-look/continuous-distribution/" TargetMode="External"/><Relationship Id="rId20" Type="http://schemas.openxmlformats.org/officeDocument/2006/relationships/hyperlink" Target="https://doi.org/10.1001/jamasurg.2021.4410" TargetMode="External"/><Relationship Id="rId29" Type="http://schemas.openxmlformats.org/officeDocument/2006/relationships/hyperlink" Target="https://www.huduser.gov/portal/datasets/usps_crosswalk.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doi.org/10.1111/1475-6773.14102" TargetMode="External"/><Relationship Id="rId32" Type="http://schemas.openxmlformats.org/officeDocument/2006/relationships/hyperlink" Target="http://www.ncbi.nlm.nih.gov/pubmed/12835199" TargetMode="External"/><Relationship Id="rId37"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doi.org/10.1002/ehf2.12866" TargetMode="External"/><Relationship Id="rId23" Type="http://schemas.openxmlformats.org/officeDocument/2006/relationships/hyperlink" Target="https://www.neighborhoodatlas.medicine.wisc.edu/" TargetMode="External"/><Relationship Id="rId28" Type="http://schemas.openxmlformats.org/officeDocument/2006/relationships/hyperlink" Target="https://eig.org/distressed-communitie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optn.transplant.hrsa.gov/policies-bylaws/a-closer-look/continuous-distribution/continuous-distribution-heart/" TargetMode="External"/><Relationship Id="rId31" Type="http://schemas.openxmlformats.org/officeDocument/2006/relationships/hyperlink" Target="https://doi.org/10.1111/ctr.1501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77/1526924820978591" TargetMode="External"/><Relationship Id="rId22" Type="http://schemas.openxmlformats.org/officeDocument/2006/relationships/hyperlink" Target="https://www.nejm.org/doi/full/10.1056/NEJMp1802313" TargetMode="External"/><Relationship Id="rId27" Type="http://schemas.openxmlformats.org/officeDocument/2006/relationships/hyperlink" Target="https://eig.org/distressed-communities/" TargetMode="External"/><Relationship Id="rId30" Type="http://schemas.openxmlformats.org/officeDocument/2006/relationships/hyperlink" Target="https://www.huduser.gov/portal/datasets/usps_crosswalk.html" TargetMode="External"/><Relationship Id="rId35" Type="http://schemas.openxmlformats.org/officeDocument/2006/relationships/hyperlink" Target="https://doi.org/10.1001/jama.2024.0065" TargetMode="External"/><Relationship Id="rId8" Type="http://schemas.microsoft.com/office/2018/08/relationships/commentsExtensible" Target="commentsExtensible.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CA256A-C97D-9E44-8B4C-908B3533189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7965</TotalTime>
  <Pages>17</Pages>
  <Words>4430</Words>
  <Characters>25252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Wang</dc:creator>
  <cp:lastModifiedBy>Alex Wang</cp:lastModifiedBy>
  <cp:revision>162</cp:revision>
  <dcterms:created xsi:type="dcterms:W3CDTF">2024-07-20T00:06:00Z</dcterms:created>
  <dcterms:modified xsi:type="dcterms:W3CDTF">2024-08-18T21:37:00Z</dcterms:modified>
</cp:coreProperties>
</file>