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3EE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Scalable Medicare Claims Fraud Detection Using SQL-Based Feature Engineering and Machine Learning</w:t>
      </w:r>
    </w:p>
    <w:p w14:paraId="00000002" w14:textId="77777777" w:rsidR="00003EE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 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Ulugbek Abdurakhmonov</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Abu Bakar Siddik Mishkat</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000000">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7">
        <w:r w:rsidR="00003EE0">
          <w:rPr>
            <w:rFonts w:ascii="Times New Roman" w:eastAsia="Times New Roman" w:hAnsi="Times New Roman" w:cs="Times New Roman"/>
            <w:color w:val="1155CC"/>
            <w:sz w:val="24"/>
            <w:szCs w:val="24"/>
            <w:u w:val="single"/>
          </w:rPr>
          <w:t>zayed.md.uddin273@gmail.com</w:t>
        </w:r>
      </w:hyperlink>
    </w:p>
    <w:p w14:paraId="00000005" w14:textId="77777777" w:rsidR="00003EE0" w:rsidRDefault="00000000">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sidR="00003EE0">
          <w:rPr>
            <w:rFonts w:ascii="Times New Roman" w:eastAsia="Times New Roman" w:hAnsi="Times New Roman" w:cs="Times New Roman"/>
            <w:color w:val="1155CC"/>
            <w:sz w:val="24"/>
            <w:szCs w:val="24"/>
            <w:u w:val="single"/>
          </w:rPr>
          <w:t>ulugbekabdurakhmonov.tennis@gmail.com</w:t>
        </w:r>
      </w:hyperlink>
    </w:p>
    <w:p w14:paraId="00000006" w14:textId="77777777" w:rsidR="00003EE0" w:rsidRDefault="00000000">
      <w:pPr>
        <w:spacing w:line="360" w:lineRule="auto"/>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sidR="00003EE0">
          <w:rPr>
            <w:rFonts w:ascii="Times New Roman" w:eastAsia="Times New Roman" w:hAnsi="Times New Roman" w:cs="Times New Roman"/>
            <w:color w:val="1155CC"/>
            <w:sz w:val="24"/>
            <w:szCs w:val="24"/>
            <w:u w:val="single"/>
          </w:rPr>
          <w:t>mishkatfamily@gmail.com</w:t>
        </w:r>
      </w:hyperlink>
    </w:p>
    <w:p w14:paraId="00000007" w14:textId="13F2F92B" w:rsidR="00003EE0" w:rsidRDefault="006F6A93">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10" w:history="1">
        <w:r w:rsidRPr="00317440">
          <w:rPr>
            <w:rStyle w:val="Hyperlink"/>
            <w:rFonts w:ascii="Times New Roman" w:eastAsia="Times New Roman" w:hAnsi="Times New Roman" w:cs="Times New Roman"/>
            <w:sz w:val="24"/>
            <w:szCs w:val="24"/>
          </w:rPr>
          <w:t>srajeev@coppin.edu</w:t>
        </w:r>
      </w:hyperlink>
    </w:p>
    <w:p w14:paraId="00000008" w14:textId="2E2A3862" w:rsidR="00003EE0" w:rsidRDefault="00000000" w:rsidP="00031A6B">
      <w:pPr>
        <w:pStyle w:val="Heading1"/>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005E1FB"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Healthcare fraud in large public insurance programs such as Medicare leads to substantial financial losses and undermines trust in the health system. Detecting fraud at scale is challenging because claims data are high-dimensional, heterogeneous, and highly imbalanced, with confirmed fraud representing only a small fraction of all activity. This paper presents an end-to-end fraud analytics pipeline on a Medicare-like claims dataset that integrates SQL-based feature engineering, unsupervised pattern discovery on fraud-only claims, supervised provider-level classification, and clustering of high-risk providers into fraud-type groups.</w:t>
      </w:r>
    </w:p>
    <w:p w14:paraId="4CBB2530"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We first construct a relational feature store in PostgreSQL that ingests raw inpatient, outpatient, beneficiary, and provider tables, performs systematic cleaning and typing, and produces reusable claim- and provider-level feature tables. These include temporal aggregates of claims and reimbursement, counts of unique beneficiaries, peer-normalized reimbursement and length-of-stay z-scores, and interpretable rule-based indicators for duplicate billing, potential upcoding, and overcharging. Using these features, we perform exploratory analysis to understand distributions, outliers, and correlations, and select a compact set of provider-level variables for modelling.</w:t>
      </w:r>
    </w:p>
    <w:p w14:paraId="428E7575"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lastRenderedPageBreak/>
        <w:t>At the claim level, we restrict attention to claims submitted by labeled fraudulent providers and apply the HDBSCAN clustering algorithm to standardized inpatient and outpatient fraud-only features. Principal component analysis visualizations and association rule mining on diagnosis–procedure combinations reveal heterogeneous clusters of fraudulent claims, including high-payment long-stay inpatient episodes and high-volume outpatient patterns with repeated code combinations and overcharge flags.</w:t>
      </w:r>
    </w:p>
    <w:p w14:paraId="6E3CED3B"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 xml:space="preserve">At the provider level, we train and compare several supervised models to predict fraud status, including logistic regression with elastic-net regularization, tree ensembles, gradient boosting methods, </w:t>
      </w:r>
      <w:proofErr w:type="spellStart"/>
      <w:r w:rsidRPr="00C44501">
        <w:rPr>
          <w:rFonts w:ascii="Times New Roman" w:hAnsi="Times New Roman" w:cs="Times New Roman"/>
          <w:sz w:val="24"/>
          <w:szCs w:val="24"/>
          <w:lang w:val="en-US"/>
        </w:rPr>
        <w:t>CatBoost</w:t>
      </w:r>
      <w:proofErr w:type="spellEnd"/>
      <w:r w:rsidRPr="00C44501">
        <w:rPr>
          <w:rFonts w:ascii="Times New Roman" w:hAnsi="Times New Roman" w:cs="Times New Roman"/>
          <w:sz w:val="24"/>
          <w:szCs w:val="24"/>
          <w:lang w:val="en-US"/>
        </w:rPr>
        <w:t>, and a multilayer perceptron. On a stratified 30% hold-out set of labeled providers, all models achieve high ROC-AUC (≈0.93), and a well-regularized logistic regression model achieves the best balance of precision and recall, with a PR-AUC around 0.71 and an F1-score in the mid-0.60s after threshold tuning. We apply this model to unlabeled test providers to obtain fraud risk scores, then form a high-risk provider universe by combining labeled fraudulent providers with high-scoring test providers. HDBSCAN clustering on standardized provider features identifies several fraud-type clusters—such as high-revenue inpatient overchargers, moderate-volume inpatient outliers, and high-volume outpatient overbillers—alongside a diffuse noise set.</w:t>
      </w:r>
    </w:p>
    <w:p w14:paraId="309EED85" w14:textId="270B8689"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Overall, the proposed pipeline shows that a combination of carefully engineered features, interpretable linear models, and targeted unsupervised analyses can deliver competitive provider-level fraud detection performance while also producing actionable fraud-type characterizations that may support human investigation and policy decisions.</w:t>
      </w:r>
    </w:p>
    <w:p w14:paraId="00000009" w14:textId="34F82357" w:rsidR="00003EE0" w:rsidRPr="00666B08" w:rsidRDefault="00000000" w:rsidP="00F60ECE">
      <w:pPr>
        <w:pStyle w:val="Heading1"/>
        <w:spacing w:after="240"/>
        <w:rPr>
          <w:rFonts w:ascii="Times New Roman" w:hAnsi="Times New Roman" w:cs="Times New Roman"/>
          <w:b/>
          <w:bCs/>
          <w:sz w:val="28"/>
          <w:szCs w:val="28"/>
        </w:rPr>
      </w:pPr>
      <w:r w:rsidRPr="00666B08">
        <w:rPr>
          <w:rFonts w:ascii="Times New Roman" w:hAnsi="Times New Roman" w:cs="Times New Roman"/>
          <w:b/>
          <w:bCs/>
          <w:sz w:val="28"/>
          <w:szCs w:val="28"/>
        </w:rPr>
        <w:t>2. Introduction</w:t>
      </w:r>
    </w:p>
    <w:p w14:paraId="2F4A6A4E" w14:textId="77777777" w:rsidR="00752513" w:rsidRPr="00752513" w:rsidRDefault="00752513"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2.1 Background and motivation</w:t>
      </w:r>
    </w:p>
    <w:p w14:paraId="674C455A" w14:textId="0FD4D86E"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Healthcare fraud, waste, and abuse divert scarce resources away from patient care and impose substantial financial losses on health systems worldwide. Estimates for public programs such as Medicare and Medicaid run into billions of dollars annually, driven by practices such as phantom billing, upcoding, unnecessary services, and abuse of reimbursement rules </w:t>
      </w:r>
      <w:r w:rsidR="00A719C0" w:rsidRPr="00A719C0">
        <w:rPr>
          <w:rFonts w:ascii="Times New Roman" w:hAnsi="Times New Roman" w:cs="Times New Roman"/>
          <w:sz w:val="24"/>
          <w:szCs w:val="24"/>
        </w:rPr>
        <w:t>[3], [9], [17], [20]</w:t>
      </w:r>
      <w:r w:rsidRPr="00466C06">
        <w:rPr>
          <w:rFonts w:ascii="Times New Roman" w:hAnsi="Times New Roman" w:cs="Times New Roman"/>
          <w:sz w:val="24"/>
          <w:szCs w:val="24"/>
          <w:lang w:val="en-US"/>
        </w:rPr>
        <w:t xml:space="preserve">. Beyond direct financial impact, fraudulent claims undermine trust in payers and providers and </w:t>
      </w:r>
      <w:proofErr w:type="gramStart"/>
      <w:r w:rsidRPr="00466C06">
        <w:rPr>
          <w:rFonts w:ascii="Times New Roman" w:hAnsi="Times New Roman" w:cs="Times New Roman"/>
          <w:sz w:val="24"/>
          <w:szCs w:val="24"/>
          <w:lang w:val="en-US"/>
        </w:rPr>
        <w:t>complicate</w:t>
      </w:r>
      <w:proofErr w:type="gramEnd"/>
      <w:r w:rsidRPr="00466C06">
        <w:rPr>
          <w:rFonts w:ascii="Times New Roman" w:hAnsi="Times New Roman" w:cs="Times New Roman"/>
          <w:sz w:val="24"/>
          <w:szCs w:val="24"/>
          <w:lang w:val="en-US"/>
        </w:rPr>
        <w:t xml:space="preserve"> policy efforts aimed at improving access and quality of care </w:t>
      </w:r>
      <w:r w:rsidR="00A719C0" w:rsidRPr="00A719C0">
        <w:rPr>
          <w:rFonts w:ascii="Times New Roman" w:hAnsi="Times New Roman" w:cs="Times New Roman"/>
          <w:sz w:val="24"/>
          <w:szCs w:val="24"/>
        </w:rPr>
        <w:t>[9], [17].</w:t>
      </w:r>
    </w:p>
    <w:p w14:paraId="74337F0B" w14:textId="26359386" w:rsidR="00666B08" w:rsidRPr="00F60ECE"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lastRenderedPageBreak/>
        <w:t>Modern claims databases—covering millions of encounters across beneficiaries, providers, diagnoses, and procedures—offer an opportunity to detect fraud more systematically but also pose serious analytical challenges. The data are high-dimensional, heterogeneous, and highly imbalanced, with confirmed fraud representing only a small fraction of all claims [3]</w:t>
      </w:r>
      <w:r w:rsidR="00A719C0">
        <w:rPr>
          <w:rFonts w:ascii="Times New Roman" w:hAnsi="Times New Roman" w:cs="Times New Roman"/>
          <w:sz w:val="24"/>
          <w:szCs w:val="24"/>
          <w:lang w:val="en-US"/>
        </w:rPr>
        <w:t>, [9]</w:t>
      </w:r>
      <w:r w:rsidRPr="00466C06">
        <w:rPr>
          <w:rFonts w:ascii="Times New Roman" w:hAnsi="Times New Roman" w:cs="Times New Roman"/>
          <w:sz w:val="24"/>
          <w:szCs w:val="24"/>
          <w:lang w:val="en-US"/>
        </w:rPr>
        <w:t xml:space="preserve">. Simple rule-based systems, while interpretable and easy to deploy, struggle to keep pace with evolving fraud schemes and can generate many false positives. This has motivated extensive research on machine learning and data mining methods for healthcare fraud detection, spanning supervised classification, unsupervised anomaly detection, and hybrid approaches </w:t>
      </w:r>
      <w:r w:rsidR="00D83B35" w:rsidRPr="00D83B35">
        <w:rPr>
          <w:rFonts w:ascii="Times New Roman" w:hAnsi="Times New Roman" w:cs="Times New Roman"/>
          <w:sz w:val="24"/>
          <w:szCs w:val="24"/>
        </w:rPr>
        <w:t>[3],</w:t>
      </w:r>
      <w:r w:rsidR="00D83B35">
        <w:rPr>
          <w:rFonts w:ascii="Times New Roman" w:hAnsi="Times New Roman" w:cs="Times New Roman"/>
          <w:sz w:val="24"/>
          <w:szCs w:val="24"/>
        </w:rPr>
        <w:t xml:space="preserve"> [5]</w:t>
      </w:r>
      <w:r w:rsidR="00D83B35" w:rsidRPr="00D83B35">
        <w:rPr>
          <w:rFonts w:ascii="Times New Roman" w:hAnsi="Times New Roman" w:cs="Times New Roman"/>
          <w:sz w:val="24"/>
          <w:szCs w:val="24"/>
        </w:rPr>
        <w:t xml:space="preserve"> [9], [1</w:t>
      </w:r>
      <w:r w:rsidR="00D83B35">
        <w:rPr>
          <w:rFonts w:ascii="Times New Roman" w:hAnsi="Times New Roman" w:cs="Times New Roman"/>
          <w:sz w:val="24"/>
          <w:szCs w:val="24"/>
        </w:rPr>
        <w:t>4</w:t>
      </w:r>
      <w:r w:rsidR="00D83B35" w:rsidRPr="00D83B35">
        <w:rPr>
          <w:rFonts w:ascii="Times New Roman" w:hAnsi="Times New Roman" w:cs="Times New Roman"/>
          <w:sz w:val="24"/>
          <w:szCs w:val="24"/>
        </w:rPr>
        <w:t>], [20]</w:t>
      </w:r>
      <w:r w:rsidRPr="00466C06">
        <w:rPr>
          <w:rFonts w:ascii="Times New Roman" w:hAnsi="Times New Roman" w:cs="Times New Roman"/>
          <w:sz w:val="24"/>
          <w:szCs w:val="24"/>
          <w:lang w:val="en-US"/>
        </w:rPr>
        <w:t>.</w:t>
      </w:r>
    </w:p>
    <w:p w14:paraId="0EA7C72C" w14:textId="5755087D" w:rsidR="00466C06" w:rsidRDefault="00466C06"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2</w:t>
      </w:r>
      <w:r w:rsidRPr="00752513">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Related Work</w:t>
      </w:r>
    </w:p>
    <w:p w14:paraId="624579EB" w14:textId="5E62C6D4"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Recent surveys document a wide range of machine learning techniques applied to medical insurance and Medicare fraud detection </w:t>
      </w:r>
      <w:r w:rsidR="00D83B35" w:rsidRPr="00D83B35">
        <w:rPr>
          <w:rFonts w:ascii="Times New Roman" w:hAnsi="Times New Roman" w:cs="Times New Roman"/>
          <w:sz w:val="24"/>
          <w:szCs w:val="24"/>
        </w:rPr>
        <w:t>[3], [9], [17], [20</w:t>
      </w:r>
      <w:r w:rsidRPr="00466C06">
        <w:rPr>
          <w:rFonts w:ascii="Times New Roman" w:hAnsi="Times New Roman" w:cs="Times New Roman"/>
          <w:sz w:val="24"/>
          <w:szCs w:val="24"/>
          <w:lang w:val="en-US"/>
        </w:rPr>
        <w:t xml:space="preserve">]. Supervised models such as logistic regression, decision trees, random forests, support vector machines, and gradient boosting have been trained on labelled provider or claim data to distinguish fraudulent from legitimate behavior, often using Medicare or similar large-scale claims datasets </w:t>
      </w:r>
      <w:r w:rsidR="00D83B35" w:rsidRPr="00D83B35">
        <w:rPr>
          <w:rFonts w:ascii="Times New Roman" w:hAnsi="Times New Roman" w:cs="Times New Roman"/>
          <w:sz w:val="24"/>
          <w:szCs w:val="24"/>
        </w:rPr>
        <w:t>[3], [5], [8], [13], [16], [18]</w:t>
      </w:r>
      <w:r w:rsidRPr="00466C06">
        <w:rPr>
          <w:rFonts w:ascii="Times New Roman" w:hAnsi="Times New Roman" w:cs="Times New Roman"/>
          <w:sz w:val="24"/>
          <w:szCs w:val="24"/>
          <w:lang w:val="en-US"/>
        </w:rPr>
        <w:t xml:space="preserve">. These methods tend to perform well when sufficient labelled examples exist and when fraud patterns are relatively stable, but they depend heavily on the availability and quality of labelled fraud cases and can struggle to detect emerging or previously unseen schemes </w:t>
      </w:r>
      <w:r w:rsidR="00D83B35" w:rsidRPr="00D83B35">
        <w:rPr>
          <w:rFonts w:ascii="Times New Roman" w:hAnsi="Times New Roman" w:cs="Times New Roman"/>
          <w:sz w:val="24"/>
          <w:szCs w:val="24"/>
        </w:rPr>
        <w:t>[3], [9], [14]</w:t>
      </w:r>
      <w:r w:rsidRPr="00466C06">
        <w:rPr>
          <w:rFonts w:ascii="Times New Roman" w:hAnsi="Times New Roman" w:cs="Times New Roman"/>
          <w:sz w:val="24"/>
          <w:szCs w:val="24"/>
          <w:lang w:val="en-US"/>
        </w:rPr>
        <w:t>.</w:t>
      </w:r>
    </w:p>
    <w:p w14:paraId="1E631DF7" w14:textId="03E23320"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Unsupervised learning offers an alternative route that does not rely on detailed fraud labels. Clustering and outlier-detection algorithms—including k-means, Local Outlier Factor, k-nearest neighbors, Isolation Forest, DBSCAN, and related density-based methods—have been explored for detecting anomalous claims or providers that deviate from typical patterns </w:t>
      </w:r>
      <w:r w:rsidR="00D83B35" w:rsidRPr="00D83B35">
        <w:rPr>
          <w:rFonts w:ascii="Times New Roman" w:hAnsi="Times New Roman" w:cs="Times New Roman"/>
          <w:sz w:val="24"/>
          <w:szCs w:val="24"/>
        </w:rPr>
        <w:t>[1], [2], [6], [10], [15], [19]</w:t>
      </w:r>
      <w:r w:rsidRPr="00466C06">
        <w:rPr>
          <w:rFonts w:ascii="Times New Roman" w:hAnsi="Times New Roman" w:cs="Times New Roman"/>
          <w:sz w:val="24"/>
          <w:szCs w:val="24"/>
          <w:lang w:val="en-US"/>
        </w:rPr>
        <w:t xml:space="preserve">. In healthcare datasets where labelled fraud is scarce or incomplete, these methods can highlight suspicious cases for further investigation, but they often depend critically on good feature engineering and may yield high false positive rates if used in isolation </w:t>
      </w:r>
      <w:r w:rsidR="00D83B35" w:rsidRPr="00D83B35">
        <w:rPr>
          <w:rFonts w:ascii="Times New Roman" w:hAnsi="Times New Roman" w:cs="Times New Roman"/>
          <w:sz w:val="24"/>
          <w:szCs w:val="24"/>
        </w:rPr>
        <w:t>[1], [2], [6], [19]</w:t>
      </w:r>
      <w:r w:rsidRPr="00466C06">
        <w:rPr>
          <w:rFonts w:ascii="Times New Roman" w:hAnsi="Times New Roman" w:cs="Times New Roman"/>
          <w:sz w:val="24"/>
          <w:szCs w:val="24"/>
          <w:lang w:val="en-US"/>
        </w:rPr>
        <w:t>.</w:t>
      </w:r>
    </w:p>
    <w:p w14:paraId="5B814E4B" w14:textId="70DCD9BF"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A complementary line of work uses association rule mining to discover frequent patterns in claims data and then focuses on rules that appear abnormal or cost intensive</w:t>
      </w:r>
      <w:r w:rsidR="00D83B35">
        <w:rPr>
          <w:rFonts w:ascii="Times New Roman" w:hAnsi="Times New Roman" w:cs="Times New Roman"/>
          <w:sz w:val="24"/>
          <w:szCs w:val="24"/>
          <w:lang w:val="en-US"/>
        </w:rPr>
        <w:t xml:space="preserve"> </w:t>
      </w:r>
      <w:r w:rsidR="00D83B35" w:rsidRPr="00D83B35">
        <w:rPr>
          <w:rFonts w:ascii="Times New Roman" w:hAnsi="Times New Roman" w:cs="Times New Roman"/>
          <w:sz w:val="24"/>
          <w:szCs w:val="24"/>
        </w:rPr>
        <w:t>[5], [12], [18]</w:t>
      </w:r>
      <w:r w:rsidRPr="00466C06">
        <w:rPr>
          <w:rFonts w:ascii="Times New Roman" w:hAnsi="Times New Roman" w:cs="Times New Roman"/>
          <w:sz w:val="24"/>
          <w:szCs w:val="24"/>
          <w:lang w:val="en-US"/>
        </w:rPr>
        <w:t xml:space="preserve">. In these approaches, rules are typically filtered by support, confidence, and lift, and then examined as potential indicators of fraud when they involve unusual code combinations or high aggregate </w:t>
      </w:r>
      <w:r w:rsidRPr="00466C06">
        <w:rPr>
          <w:rFonts w:ascii="Times New Roman" w:hAnsi="Times New Roman" w:cs="Times New Roman"/>
          <w:sz w:val="24"/>
          <w:szCs w:val="24"/>
          <w:lang w:val="en-US"/>
        </w:rPr>
        <w:lastRenderedPageBreak/>
        <w:t>costs [</w:t>
      </w:r>
      <w:r w:rsidR="00D83B35">
        <w:rPr>
          <w:rFonts w:ascii="Times New Roman" w:hAnsi="Times New Roman" w:cs="Times New Roman"/>
          <w:sz w:val="24"/>
          <w:szCs w:val="24"/>
          <w:lang w:val="en-US"/>
        </w:rPr>
        <w:t>5</w:t>
      </w:r>
      <w:r w:rsidRPr="00466C06">
        <w:rPr>
          <w:rFonts w:ascii="Times New Roman" w:hAnsi="Times New Roman" w:cs="Times New Roman"/>
          <w:sz w:val="24"/>
          <w:szCs w:val="24"/>
          <w:lang w:val="en-US"/>
        </w:rPr>
        <w:t>]</w:t>
      </w:r>
      <w:r w:rsidR="00D83B35">
        <w:rPr>
          <w:rFonts w:ascii="Times New Roman" w:hAnsi="Times New Roman" w:cs="Times New Roman"/>
          <w:sz w:val="24"/>
          <w:szCs w:val="24"/>
          <w:lang w:val="en-US"/>
        </w:rPr>
        <w:t>, [12]</w:t>
      </w:r>
      <w:r w:rsidRPr="00466C06">
        <w:rPr>
          <w:rFonts w:ascii="Times New Roman" w:hAnsi="Times New Roman" w:cs="Times New Roman"/>
          <w:sz w:val="24"/>
          <w:szCs w:val="24"/>
          <w:lang w:val="en-US"/>
        </w:rPr>
        <w:t>. This rule-centric perspective helps capture structured fraud schemes that span multiple claims and actors, but it is often studied separately from provider-level risk scoring.</w:t>
      </w:r>
    </w:p>
    <w:p w14:paraId="0AA56A9E" w14:textId="2F515E29"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More recent overviews emphasize that healthcare fraud detection in practice increasingly combines multiple paradigms—rules, supervised models, and unsupervised anomaly detectors—to balance adaptability, interpretability, and operational cost </w:t>
      </w:r>
      <w:r w:rsidR="00D83B35" w:rsidRPr="00D83B35">
        <w:rPr>
          <w:rFonts w:ascii="Times New Roman" w:hAnsi="Times New Roman" w:cs="Times New Roman"/>
          <w:sz w:val="24"/>
          <w:szCs w:val="24"/>
        </w:rPr>
        <w:t>[3], [9], [14], [20]</w:t>
      </w:r>
      <w:r w:rsidRPr="00466C06">
        <w:rPr>
          <w:rFonts w:ascii="Times New Roman" w:hAnsi="Times New Roman" w:cs="Times New Roman"/>
          <w:sz w:val="24"/>
          <w:szCs w:val="24"/>
          <w:lang w:val="en-US"/>
        </w:rPr>
        <w:t xml:space="preserve">. Nevertheless, many published systems focus on either claim-level anomaly detection or provider-level classification in isolation, provide limited detail on end-to-end data engineering pipelines, or give only high-level descriptions of how unsupervised patterns relate back to concrete fraud types </w:t>
      </w:r>
      <w:r w:rsidR="00D83B35" w:rsidRPr="00D83B35">
        <w:rPr>
          <w:rFonts w:ascii="Times New Roman" w:hAnsi="Times New Roman" w:cs="Times New Roman"/>
          <w:sz w:val="24"/>
          <w:szCs w:val="24"/>
        </w:rPr>
        <w:t>[3], [9], [14]</w:t>
      </w:r>
      <w:r w:rsidRPr="00466C06">
        <w:rPr>
          <w:rFonts w:ascii="Times New Roman" w:hAnsi="Times New Roman" w:cs="Times New Roman"/>
          <w:sz w:val="24"/>
          <w:szCs w:val="24"/>
          <w:lang w:val="en-US"/>
        </w:rPr>
        <w:t>. There remains a need for studies that tie together robust feature engineering, interpretable rule-based indicators, unsupervised clustering of fraud patterns, and supervised provider risk scoring within a single reproducible framework.</w:t>
      </w:r>
    </w:p>
    <w:p w14:paraId="64DFA170" w14:textId="77836977"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This paper addresses these gaps by developing and evaluating an integrated fraud detection pipeline on a Medicare-like claims dataset with labelled provider fraud flags. Building on prior work in association rule mining, anomaly detection, and supervised classification for healthcare fraud, our contributions are threefold.</w:t>
      </w:r>
    </w:p>
    <w:p w14:paraId="0000000A" w14:textId="0DC4B070"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3. Methodology</w:t>
      </w:r>
    </w:p>
    <w:p w14:paraId="4E85B98A" w14:textId="20ABD4DB" w:rsidR="00DC1E75" w:rsidRPr="00466C06" w:rsidRDefault="00DC1E75"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3.1. Data sources and study design</w:t>
      </w:r>
    </w:p>
    <w:p w14:paraId="134F0351" w14:textId="77777777" w:rsidR="007B4152" w:rsidRPr="00466C06" w:rsidRDefault="00DC1E75" w:rsidP="00F60ECE">
      <w:pPr>
        <w:spacing w:after="240" w:line="360" w:lineRule="auto"/>
        <w:rPr>
          <w:rFonts w:ascii="Times New Roman" w:eastAsia="Times New Roman" w:hAnsi="Times New Roman" w:cs="Times New Roman"/>
          <w:sz w:val="24"/>
          <w:szCs w:val="24"/>
          <w:lang w:val="en-US"/>
        </w:rPr>
      </w:pPr>
      <w:r w:rsidRPr="00466C06">
        <w:rPr>
          <w:rFonts w:ascii="Times New Roman" w:eastAsia="Times New Roman" w:hAnsi="Times New Roman" w:cs="Times New Roman"/>
          <w:sz w:val="24"/>
          <w:szCs w:val="24"/>
        </w:rPr>
        <w:t>We used the publicly available “Healthcare Provider Fraud Detection Analysis” dataset from Medical Sphere, which was built from Medicare claims</w:t>
      </w:r>
      <w:r w:rsidR="005F68C8" w:rsidRPr="00466C06">
        <w:rPr>
          <w:rFonts w:ascii="Times New Roman" w:eastAsia="Times New Roman" w:hAnsi="Times New Roman" w:cs="Times New Roman"/>
          <w:sz w:val="24"/>
          <w:szCs w:val="24"/>
        </w:rPr>
        <w:t xml:space="preserve">. </w:t>
      </w:r>
      <w:r w:rsidR="007B4152" w:rsidRPr="00466C06">
        <w:rPr>
          <w:rFonts w:ascii="Times New Roman" w:eastAsia="Times New Roman" w:hAnsi="Times New Roman" w:cs="Times New Roman"/>
          <w:sz w:val="24"/>
          <w:szCs w:val="24"/>
          <w:lang w:val="en-US"/>
        </w:rPr>
        <w:t xml:space="preserve">We use a de-identified Medicare claims dataset with separate training and test partitions. Each partition contains four tables with a common schema: a provider table, an inpatient claims table, an outpatient claims table, and a beneficiary table. The provider table lists billing providers and, in the training data only, a </w:t>
      </w:r>
      <w:r w:rsidR="007B4152" w:rsidRPr="00466C06">
        <w:rPr>
          <w:rFonts w:ascii="Times New Roman" w:eastAsia="Times New Roman" w:hAnsi="Times New Roman" w:cs="Times New Roman"/>
          <w:i/>
          <w:iCs/>
          <w:sz w:val="24"/>
          <w:szCs w:val="24"/>
          <w:lang w:val="en-US"/>
        </w:rPr>
        <w:t>PotentialFraud</w:t>
      </w:r>
      <w:r w:rsidR="007B4152" w:rsidRPr="00466C06">
        <w:rPr>
          <w:rFonts w:ascii="Times New Roman" w:eastAsia="Times New Roman" w:hAnsi="Times New Roman" w:cs="Times New Roman"/>
          <w:sz w:val="24"/>
          <w:szCs w:val="24"/>
          <w:lang w:val="en-US"/>
        </w:rPr>
        <w:t xml:space="preserve"> flag, which we recode as a binary label (</w:t>
      </w:r>
      <w:r w:rsidR="007B4152" w:rsidRPr="00466C06">
        <w:rPr>
          <w:rFonts w:ascii="Times New Roman" w:eastAsia="Times New Roman" w:hAnsi="Times New Roman" w:cs="Times New Roman"/>
          <w:i/>
          <w:iCs/>
          <w:sz w:val="24"/>
          <w:szCs w:val="24"/>
          <w:lang w:val="en-US"/>
        </w:rPr>
        <w:t>label_provider_fraud_1_0</w:t>
      </w:r>
      <w:r w:rsidR="007B4152" w:rsidRPr="00466C06">
        <w:rPr>
          <w:rFonts w:ascii="Times New Roman" w:eastAsia="Times New Roman" w:hAnsi="Times New Roman" w:cs="Times New Roman"/>
          <w:sz w:val="24"/>
          <w:szCs w:val="24"/>
          <w:lang w:val="en-US"/>
        </w:rPr>
        <w:t>) indicating whether the provider is suspected of fraud.</w:t>
      </w:r>
    </w:p>
    <w:p w14:paraId="593EE762" w14:textId="77777777" w:rsidR="007B4152" w:rsidRPr="007B4152"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Inpatient and outpatient claim tables contain one row per claim, with a unique claim identifier (</w:t>
      </w:r>
      <w:r w:rsidRPr="007B4152">
        <w:rPr>
          <w:rFonts w:ascii="Times New Roman" w:eastAsia="Times New Roman" w:hAnsi="Times New Roman" w:cs="Times New Roman"/>
          <w:i/>
          <w:iCs/>
          <w:sz w:val="24"/>
          <w:szCs w:val="24"/>
          <w:lang w:val="en-US"/>
        </w:rPr>
        <w:t>ClaimID</w:t>
      </w:r>
      <w:r w:rsidRPr="007B4152">
        <w:rPr>
          <w:rFonts w:ascii="Times New Roman" w:eastAsia="Times New Roman" w:hAnsi="Times New Roman" w:cs="Times New Roman"/>
          <w:sz w:val="24"/>
          <w:szCs w:val="24"/>
          <w:lang w:val="en-US"/>
        </w:rPr>
        <w:t>), a beneficiary identifier (</w:t>
      </w:r>
      <w:r w:rsidRPr="007B4152">
        <w:rPr>
          <w:rFonts w:ascii="Times New Roman" w:eastAsia="Times New Roman" w:hAnsi="Times New Roman" w:cs="Times New Roman"/>
          <w:i/>
          <w:iCs/>
          <w:sz w:val="24"/>
          <w:szCs w:val="24"/>
          <w:lang w:val="en-US"/>
        </w:rPr>
        <w:t>BeneID</w:t>
      </w:r>
      <w:r w:rsidRPr="007B4152">
        <w:rPr>
          <w:rFonts w:ascii="Times New Roman" w:eastAsia="Times New Roman" w:hAnsi="Times New Roman" w:cs="Times New Roman"/>
          <w:sz w:val="24"/>
          <w:szCs w:val="24"/>
          <w:lang w:val="en-US"/>
        </w:rPr>
        <w:t>), a provider identifier (</w:t>
      </w:r>
      <w:r w:rsidRPr="007B4152">
        <w:rPr>
          <w:rFonts w:ascii="Times New Roman" w:eastAsia="Times New Roman" w:hAnsi="Times New Roman" w:cs="Times New Roman"/>
          <w:i/>
          <w:iCs/>
          <w:sz w:val="24"/>
          <w:szCs w:val="24"/>
          <w:lang w:val="en-US"/>
        </w:rPr>
        <w:t>Provider</w:t>
      </w:r>
      <w:r w:rsidRPr="007B4152">
        <w:rPr>
          <w:rFonts w:ascii="Times New Roman" w:eastAsia="Times New Roman" w:hAnsi="Times New Roman" w:cs="Times New Roman"/>
          <w:sz w:val="24"/>
          <w:szCs w:val="24"/>
          <w:lang w:val="en-US"/>
        </w:rPr>
        <w:t xml:space="preserve">), claim start and end dates, reimbursed amount, deductibles, and up to ten diagnosis codes and six procedure codes. The inpatient table additionally includes admission and discharge dates and diagnosis-group </w:t>
      </w:r>
      <w:r w:rsidRPr="007B4152">
        <w:rPr>
          <w:rFonts w:ascii="Times New Roman" w:eastAsia="Times New Roman" w:hAnsi="Times New Roman" w:cs="Times New Roman"/>
          <w:sz w:val="24"/>
          <w:szCs w:val="24"/>
          <w:lang w:val="en-US"/>
        </w:rPr>
        <w:lastRenderedPageBreak/>
        <w:t>fields. The beneficiary table provides demographic and clinical context, including date of birth and death, sex, race, state and county, months of Part A and Part B coverage, and several chronic condition indicators.</w:t>
      </w:r>
    </w:p>
    <w:p w14:paraId="5D3F73D7" w14:textId="7F4EBFC4" w:rsidR="007B4152" w:rsidRPr="007B4152"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 xml:space="preserve">We treat the provider as the primary unit of analysis. The main supervised task is to classify providers as fraudulent or non-fraudulent using their aggregated claims history and the </w:t>
      </w:r>
      <w:r w:rsidRPr="007B4152">
        <w:rPr>
          <w:rFonts w:ascii="Times New Roman" w:eastAsia="Times New Roman" w:hAnsi="Times New Roman" w:cs="Times New Roman"/>
          <w:i/>
          <w:iCs/>
          <w:sz w:val="24"/>
          <w:szCs w:val="24"/>
          <w:lang w:val="en-US"/>
        </w:rPr>
        <w:t>PotentialFraud</w:t>
      </w:r>
      <w:r w:rsidRPr="007B4152">
        <w:rPr>
          <w:rFonts w:ascii="Times New Roman" w:eastAsia="Times New Roman" w:hAnsi="Times New Roman" w:cs="Times New Roman"/>
          <w:sz w:val="24"/>
          <w:szCs w:val="24"/>
          <w:lang w:val="en-US"/>
        </w:rPr>
        <w:t xml:space="preserve"> label available in the training provider table. Claims are used as secondary units: we derive claim-level features and rules, and we apply unsupervised clustering on fraud-only claims to better understand patterns within fraudulent </w:t>
      </w:r>
      <w:r w:rsidRPr="00466C06">
        <w:rPr>
          <w:rFonts w:ascii="Times New Roman" w:eastAsia="Times New Roman" w:hAnsi="Times New Roman" w:cs="Times New Roman"/>
          <w:sz w:val="24"/>
          <w:szCs w:val="24"/>
          <w:lang w:val="en-US"/>
        </w:rPr>
        <w:t>behavior</w:t>
      </w:r>
      <w:r w:rsidRPr="007B4152">
        <w:rPr>
          <w:rFonts w:ascii="Times New Roman" w:eastAsia="Times New Roman" w:hAnsi="Times New Roman" w:cs="Times New Roman"/>
          <w:sz w:val="24"/>
          <w:szCs w:val="24"/>
          <w:lang w:val="en-US"/>
        </w:rPr>
        <w:t>.</w:t>
      </w:r>
    </w:p>
    <w:p w14:paraId="083CE653" w14:textId="63A81628" w:rsidR="005F68C8" w:rsidRPr="00466C06"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The training claims cover a fixed historical period, and the test claims share the same schema but lack fraud labels. For supervised learning, we restrict ourselves to labeled training providers and perform a stratified 70/30 split at the provider level, preserving the fraud/non-fraud ratio. The 70% subset is used for model fitting and cross-validation, while the remaining 30% is held out for evaluation. After model selection and threshold tuning on this labeled data, we apply the final provider-level classifier to the unlabeled test providers to generate fraud risk scores and predicted fraud labels, which are then used in downstream clustering of high-risk providers.</w:t>
      </w:r>
    </w:p>
    <w:p w14:paraId="29B2CF4B" w14:textId="77777777" w:rsidR="00562CA6" w:rsidRDefault="00562CA6"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3.2 Data cleaning and SQL feature store</w:t>
      </w:r>
    </w:p>
    <w:p w14:paraId="17057019" w14:textId="621DF83E" w:rsidR="00CF48EC" w:rsidRPr="00CF48EC" w:rsidRDefault="00CF48EC" w:rsidP="00AB3535">
      <w:pPr>
        <w:spacing w:after="240" w:line="360" w:lineRule="auto"/>
        <w:rPr>
          <w:rFonts w:ascii="Times New Roman" w:hAnsi="Times New Roman" w:cs="Times New Roman"/>
          <w:sz w:val="24"/>
          <w:szCs w:val="24"/>
        </w:rPr>
      </w:pPr>
      <w:r w:rsidRPr="00CF48EC">
        <w:rPr>
          <w:rFonts w:ascii="Times New Roman" w:hAnsi="Times New Roman" w:cs="Times New Roman"/>
          <w:sz w:val="24"/>
          <w:szCs w:val="24"/>
        </w:rPr>
        <w:t>All data processing was implemented in PostgreSQL using a layered design. Raw CSV files were loaded into a staging schema with text fields and basic checks on file structure and column counts. Cleaned data were stored in a curated schema, where placeholder strings for missing values were converted to NULL and columns were cast to appropriate SQL types (DATE for dates, numeric for monetary and count fields, and integer or boolean for categorical indicators). Within this schema we enforced key integrity constraints: provider and beneficiary identifiers were unique in their dimension tables, claim identifiers were non-null and unique within inpatient and outpatient tables, foreign keys from claims to dimension tables were valid, and admission and discharge dates yielded non-negative, plausible lengths of stay. Reimbursement amounts were screened for negative or extreme values, and basic distributions flagged errors. On top of the curated layer, we built a mart schema as the feature store, with a consolidated claims fact table and derived claim- and provider-level feature tables capturing engineered variables such as length of stay, diagnosis/procedure code counts, duplicate and overcharging flags, peer-</w:t>
      </w:r>
      <w:r w:rsidRPr="00CF48EC">
        <w:rPr>
          <w:rFonts w:ascii="Times New Roman" w:hAnsi="Times New Roman" w:cs="Times New Roman"/>
          <w:sz w:val="24"/>
          <w:szCs w:val="24"/>
        </w:rPr>
        <w:lastRenderedPageBreak/>
        <w:t>normalized z-scores, and rolling 30-/90-/365-day aggregates of volume, reimbursement, beneficiaries, and code diversity used in subsequent exploratory analysis and modeling.</w:t>
      </w:r>
    </w:p>
    <w:p w14:paraId="205474FE" w14:textId="4E3D12E1" w:rsidR="0075103F" w:rsidRPr="00466C06" w:rsidRDefault="0075103F"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3.3 Feature engineering and rule-based indicators</w:t>
      </w:r>
    </w:p>
    <w:p w14:paraId="631905DE" w14:textId="77777777" w:rsidR="0075103F" w:rsidRPr="0075103F" w:rsidRDefault="0075103F" w:rsidP="00F60ECE">
      <w:pPr>
        <w:spacing w:after="240" w:line="360" w:lineRule="auto"/>
        <w:rPr>
          <w:rFonts w:ascii="Times New Roman" w:eastAsia="Times New Roman" w:hAnsi="Times New Roman" w:cs="Times New Roman"/>
          <w:sz w:val="24"/>
          <w:szCs w:val="24"/>
          <w:lang w:val="en-US"/>
        </w:rPr>
      </w:pPr>
      <w:r w:rsidRPr="0075103F">
        <w:rPr>
          <w:rFonts w:ascii="Times New Roman" w:eastAsia="Times New Roman" w:hAnsi="Times New Roman" w:cs="Times New Roman"/>
          <w:sz w:val="24"/>
          <w:szCs w:val="24"/>
          <w:lang w:val="en-US"/>
        </w:rPr>
        <w:t>We constructed features at both claim and provider levels, and implemented a set of simple, interpretable rules to capture common fraud patterns such as duplicate billing, upcoding, and overcharging. All feature engineering was performed in SQL on top of the feature store described above, and the resulting tables were then exported to Python for modelling.</w:t>
      </w:r>
    </w:p>
    <w:p w14:paraId="52030E6F" w14:textId="77777777" w:rsidR="0075103F" w:rsidRPr="0075103F" w:rsidRDefault="0075103F" w:rsidP="00F60ECE">
      <w:pPr>
        <w:spacing w:after="240" w:line="360" w:lineRule="auto"/>
        <w:rPr>
          <w:rFonts w:ascii="Times New Roman" w:eastAsia="Times New Roman" w:hAnsi="Times New Roman" w:cs="Times New Roman"/>
          <w:sz w:val="24"/>
          <w:szCs w:val="24"/>
          <w:lang w:val="en-US"/>
        </w:rPr>
      </w:pPr>
      <w:r w:rsidRPr="0075103F">
        <w:rPr>
          <w:rFonts w:ascii="Times New Roman" w:eastAsia="Times New Roman" w:hAnsi="Times New Roman" w:cs="Times New Roman"/>
          <w:sz w:val="24"/>
          <w:szCs w:val="24"/>
          <w:lang w:val="en-US"/>
        </w:rPr>
        <w:t>At the claim level, we derived basic utilization and billing variables from the inpatient and outpatient tables. For each claim we computed reimbursed amount, deductible amount, and, for inpatient claims, length of stay from admission and discharge dates. We counted the number of diagnosis and procedure codes attached to the claim and created indicators for “exact” and “near” duplicates by comparing claims for the same beneficiary and provider within short time windows, with similar diagnosis–procedure combinations and amounts. We also defined claim-level overcharge flags based on peer-normalized payment z-scores and interquartile-range (IQR) thresholds, marking claims whose reimbursement was unusually high relative to similar claims.</w:t>
      </w:r>
    </w:p>
    <w:p w14:paraId="48931944" w14:textId="556B1282" w:rsidR="00666B08" w:rsidRPr="00B40840" w:rsidRDefault="0075103F" w:rsidP="00F60ECE">
      <w:pPr>
        <w:spacing w:after="240" w:line="360" w:lineRule="auto"/>
        <w:rPr>
          <w:rFonts w:ascii="Times New Roman" w:eastAsia="Times New Roman" w:hAnsi="Times New Roman" w:cs="Times New Roman"/>
          <w:sz w:val="24"/>
          <w:szCs w:val="24"/>
          <w:lang w:val="en-US"/>
        </w:rPr>
      </w:pPr>
      <w:r w:rsidRPr="0075103F">
        <w:rPr>
          <w:rFonts w:ascii="Times New Roman" w:eastAsia="Times New Roman" w:hAnsi="Times New Roman" w:cs="Times New Roman"/>
          <w:sz w:val="24"/>
          <w:szCs w:val="24"/>
          <w:lang w:val="en-US"/>
        </w:rPr>
        <w:t>At the provider level, we aggregated claims over multiple time windows (30, 90, and 365 days) to obtain total claims, total reimbursed amount, and counts of unique beneficiaries. We computed code diversity metrics such as the number of distinct diagnosis and procedure codes used in the recent period, as well as separate counts of inpatient and outpatient claims. Peer-normalized z-scores for reimbursement and, for inpatient services, length of stay were calculated by comparing each provider’s distribution to that of similar providers. Rule-based events were also aggregated, giving provider-level counts of exact and near duplicate claims, suspected upcoding events in inpatient and outpatient settings, and claims flagged as potential overcharges. These engineered features and rule indicators formed the input to both the exploratory analysis and the supervised and unsupervised models described later.</w:t>
      </w:r>
    </w:p>
    <w:p w14:paraId="66241812" w14:textId="4E34544E" w:rsidR="008F4673" w:rsidRDefault="008F4673"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3.4 Exploratory analysis and feature selection</w:t>
      </w:r>
    </w:p>
    <w:p w14:paraId="072F955C" w14:textId="4781A132" w:rsidR="00F43E4E" w:rsidRPr="00F43E4E" w:rsidRDefault="00F43E4E" w:rsidP="00F43E4E">
      <w:pPr>
        <w:spacing w:after="240" w:line="360" w:lineRule="auto"/>
        <w:rPr>
          <w:rFonts w:ascii="Times New Roman" w:hAnsi="Times New Roman" w:cs="Times New Roman"/>
          <w:sz w:val="24"/>
          <w:szCs w:val="24"/>
        </w:rPr>
      </w:pPr>
      <w:r w:rsidRPr="00F43E4E">
        <w:rPr>
          <w:rFonts w:ascii="Times New Roman" w:hAnsi="Times New Roman" w:cs="Times New Roman"/>
          <w:sz w:val="24"/>
          <w:szCs w:val="24"/>
        </w:rPr>
        <w:t xml:space="preserve">After building the SQL feature store, we performed exploratory analysis and feature selection in Python, using SQLAlchemy and pandas to load the claim- and provider-level feature tables and inspect basic distributions. For key continuous variables such as reimbursed amounts, </w:t>
      </w:r>
      <w:r w:rsidRPr="00F43E4E">
        <w:rPr>
          <w:rFonts w:ascii="Times New Roman" w:hAnsi="Times New Roman" w:cs="Times New Roman"/>
          <w:sz w:val="24"/>
          <w:szCs w:val="24"/>
        </w:rPr>
        <w:lastRenderedPageBreak/>
        <w:t xml:space="preserve">deductibles, and inpatient length of stay, we plotted histograms and boxplots to assess skewness, long tails, and potential data errors, confirming the expected heavy-tailed patterns. We quantified outliers with robust statistics by computing interquartile ranges and robust z-scores based on the </w:t>
      </w:r>
      <w:proofErr w:type="gramStart"/>
      <w:r w:rsidRPr="00F43E4E">
        <w:rPr>
          <w:rFonts w:ascii="Times New Roman" w:hAnsi="Times New Roman" w:cs="Times New Roman"/>
          <w:sz w:val="24"/>
          <w:szCs w:val="24"/>
        </w:rPr>
        <w:t>median</w:t>
      </w:r>
      <w:proofErr w:type="gramEnd"/>
      <w:r w:rsidRPr="00F43E4E">
        <w:rPr>
          <w:rFonts w:ascii="Times New Roman" w:hAnsi="Times New Roman" w:cs="Times New Roman"/>
          <w:sz w:val="24"/>
          <w:szCs w:val="24"/>
        </w:rPr>
        <w:t xml:space="preserve"> and median absolute deviation, flagging extreme claims and comparing these to rule-based indicators such as overcharge flags and short-stay high-payment inpatient claims. At the provider level, we examined correlations among engineered features using pairwise correlation coefficients and variance inflation factors to identify and remove highly collinear variables, particularly overlapping measures of recent reimbursement and claim volumes. Based on these diagnostics, we retained a compact, interpretable set of provider features—covering total and recent reimbursement, recent claim and unique beneficiary counts, code diversity, peer-normalized reimbursement and length-of-stay z-scores, and aggregated counts of duplicate, upcoding, and overcharge events—for all subsequent supervised learning and clustering analyses.</w:t>
      </w:r>
    </w:p>
    <w:p w14:paraId="118574E4" w14:textId="77777777" w:rsidR="008F4673" w:rsidRDefault="008F4673" w:rsidP="00F43E4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3.5 Unsupervised fraud-only claim clustering</w:t>
      </w:r>
    </w:p>
    <w:p w14:paraId="1F7EE1F8" w14:textId="34897508" w:rsidR="00AB3535" w:rsidRPr="00AB3535" w:rsidRDefault="00AB3535" w:rsidP="00AB3535">
      <w:pPr>
        <w:spacing w:after="240" w:line="360" w:lineRule="auto"/>
        <w:rPr>
          <w:rFonts w:ascii="Times New Roman" w:hAnsi="Times New Roman" w:cs="Times New Roman"/>
          <w:sz w:val="24"/>
          <w:szCs w:val="24"/>
        </w:rPr>
      </w:pPr>
      <w:r w:rsidRPr="00AB3535">
        <w:rPr>
          <w:rFonts w:ascii="Times New Roman" w:hAnsi="Times New Roman" w:cs="Times New Roman"/>
          <w:sz w:val="24"/>
          <w:szCs w:val="24"/>
        </w:rPr>
        <w:t>To better understand heterogeneity in fraudulent behavior, we clustered fraud-only claims. We first identified fraudulent providers from the training labels and extracted all associated inpatient and outpatient claims, building separate fraud-only tables. Using standardized engineered features—reimbursed amount, diagnosis and procedure counts, claim-level rule flags (duplicate and overcharge), and peer-normalized z-scores—we imputed missing values, scaled features, and applied HDBSCAN separately to inpatient and outpatient claims, choosing it for its ability to find clusters of varying size and density while treating atypical claims as noise. We tuned minimum cluster size and minimum samples, evaluated clustering quality with internal metrics and the noise fraction, and visualized structure via PCA projections colored by HDBSCAN cluster assignments. For each cluster, we produced “cluster cards” summarizing size, reimbursement levels, diagnosis/procedure multiplicity, and frequencies of rule flags, and we ran association rule mining within clusters to find frequent, high-lift diagnosis–procedure combinations, using these summaries and patterns to characterize distinct types of fraudulent claim behavior.</w:t>
      </w:r>
    </w:p>
    <w:p w14:paraId="4FD1DE74" w14:textId="77777777" w:rsidR="00EB6B67" w:rsidRDefault="00EB6B67"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3.6 Supervised provider fraud classification</w:t>
      </w:r>
    </w:p>
    <w:p w14:paraId="4EB30941" w14:textId="7D4E4BC0" w:rsidR="00AB3535" w:rsidRPr="00AB3535" w:rsidRDefault="00AB3535" w:rsidP="00AB3535">
      <w:pPr>
        <w:spacing w:after="240" w:line="360" w:lineRule="auto"/>
        <w:rPr>
          <w:rFonts w:ascii="Times New Roman" w:hAnsi="Times New Roman" w:cs="Times New Roman"/>
          <w:sz w:val="24"/>
          <w:szCs w:val="24"/>
        </w:rPr>
      </w:pPr>
      <w:r w:rsidRPr="00AB3535">
        <w:rPr>
          <w:rFonts w:ascii="Times New Roman" w:hAnsi="Times New Roman" w:cs="Times New Roman"/>
          <w:sz w:val="24"/>
          <w:szCs w:val="24"/>
        </w:rPr>
        <w:lastRenderedPageBreak/>
        <w:t xml:space="preserve">We used supervised learning to predict whether a provider is fraudulent based on aggregated claims features. Modelling was restricted to labeled training providers, with a stratified 70/30 provider-level split that preserved the fraud/non-fraud ratio. All provider-level features from the feature store were merged with the binary fraud label, and continuous variables were standardized using statistics from the training subset, then applied unchanged to the hold-out set. We compared multiple classifiers on the same feature set—logistic regression with elastic-net regularization, Random Forests, Extremely Randomized Trees, </w:t>
      </w:r>
      <w:proofErr w:type="spellStart"/>
      <w:r w:rsidRPr="00AB3535">
        <w:rPr>
          <w:rFonts w:ascii="Times New Roman" w:hAnsi="Times New Roman" w:cs="Times New Roman"/>
          <w:sz w:val="24"/>
          <w:szCs w:val="24"/>
        </w:rPr>
        <w:t>LightGBM</w:t>
      </w:r>
      <w:proofErr w:type="spellEnd"/>
      <w:r w:rsidRPr="00AB3535">
        <w:rPr>
          <w:rFonts w:ascii="Times New Roman" w:hAnsi="Times New Roman" w:cs="Times New Roman"/>
          <w:sz w:val="24"/>
          <w:szCs w:val="24"/>
        </w:rPr>
        <w:t xml:space="preserve">, XGBoost, and </w:t>
      </w:r>
      <w:proofErr w:type="spellStart"/>
      <w:r w:rsidRPr="00AB3535">
        <w:rPr>
          <w:rFonts w:ascii="Times New Roman" w:hAnsi="Times New Roman" w:cs="Times New Roman"/>
          <w:sz w:val="24"/>
          <w:szCs w:val="24"/>
        </w:rPr>
        <w:t>CatBoost</w:t>
      </w:r>
      <w:proofErr w:type="spellEnd"/>
      <w:r w:rsidRPr="00AB3535">
        <w:rPr>
          <w:rFonts w:ascii="Times New Roman" w:hAnsi="Times New Roman" w:cs="Times New Roman"/>
          <w:sz w:val="24"/>
          <w:szCs w:val="24"/>
        </w:rPr>
        <w:t>—using class weighting or imbalance-aware parameters to address the rarity of fraudulent providers. Hyperparameters were tuned via randomized search with five-fold cross-validation, optimizing area under the precision–recall curve (PR-AUC), and final models were evaluated on the 30% hold-out set using accuracy, precision, recall, F1, PR-AUC, and ROC-AUC. Instead of fixing a 0.5 cutoff, we chose the probability threshold that maximized F1 on the hold-out precision–recall curve. Logistic regression with elastic-net and class-balanced weighting emerged as the primary model, offering strong PR-AUC, competitive F1, and interpretable coefficients, while tree-based models served as baselines that confirmed most performance gains came from the engineered features rather than model complexity.</w:t>
      </w:r>
    </w:p>
    <w:p w14:paraId="6F2CD46A" w14:textId="79F038F9" w:rsidR="0099226F" w:rsidRDefault="00EB6B67" w:rsidP="0099226F">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3.7 Provider fraud-type clustering</w:t>
      </w:r>
    </w:p>
    <w:p w14:paraId="5127A540" w14:textId="46F05C51" w:rsidR="0099226F" w:rsidRDefault="0099226F" w:rsidP="0099226F">
      <w:pPr>
        <w:spacing w:line="360" w:lineRule="auto"/>
        <w:rPr>
          <w:rFonts w:ascii="Times New Roman" w:hAnsi="Times New Roman" w:cs="Times New Roman"/>
          <w:sz w:val="24"/>
          <w:szCs w:val="24"/>
        </w:rPr>
      </w:pPr>
      <w:r w:rsidRPr="0099226F">
        <w:rPr>
          <w:rFonts w:ascii="Times New Roman" w:hAnsi="Times New Roman" w:cs="Times New Roman"/>
          <w:sz w:val="24"/>
          <w:szCs w:val="24"/>
        </w:rPr>
        <w:t>Beyond predicting whether a provider is fraudulent, we also aimed to characterize distinct fraud patterns among high-risk providers. We defined a high-risk universe by combining all labeled fraudulent training providers with test providers whose logistic regression fraud scores exceeded a high threshold, then extracted the same standardized provider features used in supervised modeling, including reimbursement levels, claim volumes over multiple windows, unique beneficiary counts, peer-normalized inpatient and outpatient z-scores, and aggregated rule counts for duplicates, upcoding, and overcharging. On this set we applied HDBSCAN, chosen for its ability to find clusters of varying size and density without pre-specifying the number of clusters and to label atypical providers as noise; we used Euclidean distance on standardized features with a minimum cluster size of 10 and a small minimum samples value, yielding several coherent clusters and a reasonable noise fraction. To explore structure, we projected providers into two principal components and colored points by HDBSCAN cluster label, with noise in grey. For each cluster, we produced “cluster cards” summarizing provider counts, the mix of labeled versus high-scored test providers, and medians of key utilization, payment, and rule-</w:t>
      </w:r>
      <w:r w:rsidRPr="0099226F">
        <w:rPr>
          <w:rFonts w:ascii="Times New Roman" w:hAnsi="Times New Roman" w:cs="Times New Roman"/>
          <w:sz w:val="24"/>
          <w:szCs w:val="24"/>
        </w:rPr>
        <w:lastRenderedPageBreak/>
        <w:t>based features, allowing us to interpret clusters as fraud-type archetypes (e.g., high-revenue inpatient overchargers or high-volume outpatient overbillers).</w:t>
      </w:r>
    </w:p>
    <w:p w14:paraId="0D88C678" w14:textId="77777777" w:rsidR="0099226F" w:rsidRPr="0099226F" w:rsidRDefault="0099226F" w:rsidP="0099226F">
      <w:pPr>
        <w:spacing w:line="360" w:lineRule="auto"/>
        <w:rPr>
          <w:rFonts w:ascii="Times New Roman" w:hAnsi="Times New Roman" w:cs="Times New Roman"/>
          <w:sz w:val="24"/>
          <w:szCs w:val="24"/>
        </w:rPr>
      </w:pPr>
    </w:p>
    <w:p w14:paraId="0000000B" w14:textId="0CB0A168"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4. Results</w:t>
      </w:r>
    </w:p>
    <w:p w14:paraId="5C419A84" w14:textId="75E8A438" w:rsidR="00475B94" w:rsidRDefault="00475B94"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4.1 Data characteristics and exploratory analysis</w:t>
      </w:r>
    </w:p>
    <w:p w14:paraId="77646705" w14:textId="6C067F54" w:rsidR="00D87CE6" w:rsidRPr="00D87CE6" w:rsidRDefault="00D87CE6" w:rsidP="00F60ECE">
      <w:pPr>
        <w:spacing w:line="360" w:lineRule="auto"/>
        <w:rPr>
          <w:rFonts w:ascii="Times New Roman" w:hAnsi="Times New Roman" w:cs="Times New Roman"/>
          <w:sz w:val="24"/>
          <w:szCs w:val="24"/>
        </w:rPr>
      </w:pPr>
      <w:r w:rsidRPr="00D87CE6">
        <w:rPr>
          <w:rFonts w:ascii="Times New Roman" w:hAnsi="Times New Roman" w:cs="Times New Roman"/>
          <w:sz w:val="24"/>
          <w:szCs w:val="24"/>
        </w:rPr>
        <w:t>The training data comprised 40,474 inpatient claims, 517,737 outpatient claims, 138,556 unique beneficiaries, and 5,410 labeled providers. As expected for Medicare billing, reimbursed amounts were highly skewed: most claims had modest payments, while a small fraction were very costly (Figure 1), with a large low-payment bulk and a long right tail. Inpatient and outpatient distributions differed in shape and scale: inpatient claims had higher medians and wider spread, while outpatient payments were smaller but far more numerous; inpatient length of stay was similarly skewed, with many short and fewer extended stays (Figure 2), confirming that inpatient services are costlier and more variable, whereas outpatient services drive volume. We quantified high-cost extremity using interquartile-range and median absolute deviation rules, flagging a small set of outliers under boxplot and robust z-score thresholds and retaining them as potential fraud, abuse, or atypical clinical cases. After cleaning, key variables such as reimbursed amounts and claim identifiers showed essentially no missingness. At the provider level, annual totals for reimbursement, claims, and unique beneficiaries revealed a small group with unusually high reimbursement volumes. To reduce redundancy, we computed pairwise correlations, examined a clustered correlation heatmap (Figure 3), and used variance inflation factors to remove strongly collinear features, retaining a compact, interpretable set—recent claim volume, annual reimbursement, unique beneficiary counts, peer-normalized inpatient and outpatient z-scores, and rule-based duplicate and overcharge counts—for subsequent unsupervised and supervised analyses.</w:t>
      </w:r>
    </w:p>
    <w:p w14:paraId="250BB948" w14:textId="38C1CBF3"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DB9F5ED" wp14:editId="5710D1B2">
            <wp:extent cx="4058712" cy="3034061"/>
            <wp:effectExtent l="0" t="0" r="0" b="0"/>
            <wp:docPr id="117224324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3241" name="Picture 1" descr="A collage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64375" cy="3038294"/>
                    </a:xfrm>
                    <a:prstGeom prst="rect">
                      <a:avLst/>
                    </a:prstGeom>
                  </pic:spPr>
                </pic:pic>
              </a:graphicData>
            </a:graphic>
          </wp:inline>
        </w:drawing>
      </w:r>
    </w:p>
    <w:p w14:paraId="3C37D4DE" w14:textId="77777777" w:rsid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Figure 1. Distribution of claim reimbursements.</w:t>
      </w:r>
      <w:r w:rsidRPr="00475B94">
        <w:rPr>
          <w:rFonts w:ascii="Times New Roman" w:eastAsia="Times New Roman" w:hAnsi="Times New Roman" w:cs="Times New Roman"/>
          <w:sz w:val="24"/>
          <w:szCs w:val="24"/>
          <w:lang w:val="en-US"/>
        </w:rPr>
        <w:t xml:space="preserve"> Histogram and density plots of reimbursed amounts for inpatient and outpatient claims, showing heavy right skew and a small number of very high-cost claims.</w:t>
      </w:r>
    </w:p>
    <w:p w14:paraId="4002E039" w14:textId="21B9F10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755FDDAC" wp14:editId="6073D720">
            <wp:extent cx="4242272" cy="2634650"/>
            <wp:effectExtent l="0" t="0" r="6350" b="0"/>
            <wp:docPr id="30865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5956" name="Picture 3086595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52560" cy="2641039"/>
                    </a:xfrm>
                    <a:prstGeom prst="rect">
                      <a:avLst/>
                    </a:prstGeom>
                  </pic:spPr>
                </pic:pic>
              </a:graphicData>
            </a:graphic>
          </wp:inline>
        </w:drawing>
      </w:r>
    </w:p>
    <w:p w14:paraId="44EE2C9A" w14:textId="77777777" w:rsid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Figure 2. Comparison of inpatient and outpatient claim characteristics.</w:t>
      </w:r>
      <w:r w:rsidRPr="00475B94">
        <w:rPr>
          <w:rFonts w:ascii="Times New Roman" w:eastAsia="Times New Roman" w:hAnsi="Times New Roman" w:cs="Times New Roman"/>
          <w:sz w:val="24"/>
          <w:szCs w:val="24"/>
          <w:lang w:val="en-US"/>
        </w:rPr>
        <w:t xml:space="preserve"> Boxplots of reimbursed amounts and, for inpatient claims, length of stay, highlighting distributional differences between claim types.</w:t>
      </w:r>
    </w:p>
    <w:p w14:paraId="1D0AB6EC" w14:textId="1E64D5F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1D70C0EB" wp14:editId="2CEB7853">
            <wp:extent cx="4507414" cy="3754252"/>
            <wp:effectExtent l="0" t="0" r="7620" b="0"/>
            <wp:docPr id="210312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11" name="Picture 3"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8910" cy="3755498"/>
                    </a:xfrm>
                    <a:prstGeom prst="rect">
                      <a:avLst/>
                    </a:prstGeom>
                  </pic:spPr>
                </pic:pic>
              </a:graphicData>
            </a:graphic>
          </wp:inline>
        </w:drawing>
      </w:r>
    </w:p>
    <w:p w14:paraId="1DD47E06" w14:textId="57FE1FC1" w:rsidR="00666B08"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Figure 3. Correlation heatmap of provider-level features.</w:t>
      </w:r>
      <w:r w:rsidRPr="00475B94">
        <w:rPr>
          <w:rFonts w:ascii="Times New Roman" w:eastAsia="Times New Roman" w:hAnsi="Times New Roman" w:cs="Times New Roman"/>
          <w:sz w:val="24"/>
          <w:szCs w:val="24"/>
          <w:lang w:val="en-US"/>
        </w:rPr>
        <w:t xml:space="preserve"> Clustered Pearson correlation matrix for provider features, used to identify highly collinear variables and guide feature selection.</w:t>
      </w:r>
    </w:p>
    <w:p w14:paraId="4D09DE5E" w14:textId="0C4BEBE6" w:rsidR="004907CD" w:rsidRDefault="004907CD" w:rsidP="00F60ECE">
      <w:pPr>
        <w:spacing w:line="360" w:lineRule="auto"/>
        <w:rPr>
          <w:rFonts w:ascii="Times New Roman" w:eastAsia="Times New Roman" w:hAnsi="Times New Roman" w:cs="Times New Roman"/>
          <w:b/>
          <w:bCs/>
          <w:i/>
          <w:iCs/>
          <w:sz w:val="24"/>
          <w:szCs w:val="24"/>
        </w:rPr>
      </w:pPr>
      <w:r w:rsidRPr="004907CD">
        <w:rPr>
          <w:rFonts w:ascii="Times New Roman" w:eastAsia="Times New Roman" w:hAnsi="Times New Roman" w:cs="Times New Roman"/>
          <w:b/>
          <w:bCs/>
          <w:i/>
          <w:iCs/>
          <w:sz w:val="24"/>
          <w:szCs w:val="24"/>
        </w:rPr>
        <w:t>4.2 Unsupervised claim-level patterns among fraudulent claims</w:t>
      </w:r>
    </w:p>
    <w:p w14:paraId="5F4ED508" w14:textId="524DB9EE" w:rsidR="00A41183" w:rsidRPr="00A41183" w:rsidRDefault="00A41183" w:rsidP="00F60ECE">
      <w:pPr>
        <w:spacing w:line="360" w:lineRule="auto"/>
        <w:rPr>
          <w:rFonts w:ascii="Times New Roman" w:eastAsia="Times New Roman" w:hAnsi="Times New Roman" w:cs="Times New Roman"/>
          <w:sz w:val="24"/>
          <w:szCs w:val="24"/>
          <w:lang w:val="en-US"/>
        </w:rPr>
      </w:pPr>
      <w:r w:rsidRPr="00A41183">
        <w:rPr>
          <w:rFonts w:ascii="Times New Roman" w:eastAsia="Times New Roman" w:hAnsi="Times New Roman" w:cs="Times New Roman"/>
          <w:sz w:val="24"/>
          <w:szCs w:val="24"/>
        </w:rPr>
        <w:t xml:space="preserve">To explore heterogeneity in fraudulent behavior, we restricted the claim-level feature table to providers labeled as fraudulent in the training data, yielding 22,640 inpatient and 8,408 outpatient fraud-only claims, standardized on amounts, diagnosis/procedure counts, rule flags, and peer-normalized z-scores before applying HDBSCAN separately to each subset. For inpatient claims, HDBSCAN produced several clusters plus a substantial noise set, with a positive but modest DBCV and roughly one-third of claims labeled as noise; a PCA projection showed a dense band with a few distinct groups corresponding to clusters (Figure 4), and cluster summaries revealed both moderate-payment, moderate–length-of-stay admissions and a smaller group of very high-payment, longer stays with elevated reimbursement and length-of-stay z-scores and occasional overcharge flags. Outpatient fraud-only claims displayed somewhat clearer structure: HDBSCAN again yielded multiple clusters and noise but with a lower noise fraction, </w:t>
      </w:r>
      <w:r w:rsidRPr="00A41183">
        <w:rPr>
          <w:rFonts w:ascii="Times New Roman" w:eastAsia="Times New Roman" w:hAnsi="Times New Roman" w:cs="Times New Roman"/>
          <w:sz w:val="24"/>
          <w:szCs w:val="24"/>
        </w:rPr>
        <w:lastRenderedPageBreak/>
        <w:t>and PCA showed a large homogeneous core and a few distinct high-payment or otherwise atypical groups (Figure 5). Most outpatient clusters involved low- to moderate-paid claims within specific diagnosis-code count ranges, while one or two clusters captured higher-paid claims with positive reimbursement z-scores and more frequent overcharge indicators. To characterize clusters beyond aggregate amounts, we mined association rules within each cluster, focusing on rules with relatively high support, confidence, and lift (Table 1), which highlighted repeated use of narrow diagnosis-code sets in outpatient clusters and characteristic diagnosis–procedure pairs in high-payment inpatient clusters, providing a compact description of distinct fraudulent patterns that informed both our understanding of provider behavior and subsequent rule-based feature design.</w:t>
      </w:r>
    </w:p>
    <w:p w14:paraId="3A142D2A" w14:textId="54C6E420" w:rsidR="004907CD" w:rsidRPr="004907CD" w:rsidRDefault="004907CD" w:rsidP="00F60ECE">
      <w:pPr>
        <w:spacing w:after="24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269294FC" wp14:editId="65A54784">
            <wp:extent cx="2854251" cy="1821109"/>
            <wp:effectExtent l="0" t="0" r="3810" b="8255"/>
            <wp:docPr id="13554686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866" name="Picture 4" descr="A screen 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4251" cy="1821109"/>
                    </a:xfrm>
                    <a:prstGeom prst="rect">
                      <a:avLst/>
                    </a:prstGeom>
                  </pic:spPr>
                </pic:pic>
              </a:graphicData>
            </a:graphic>
          </wp:inline>
        </w:drawing>
      </w:r>
      <w:r w:rsidR="00030CF4">
        <w:rPr>
          <w:rFonts w:ascii="Times New Roman" w:eastAsia="Times New Roman" w:hAnsi="Times New Roman" w:cs="Times New Roman"/>
          <w:noProof/>
          <w:sz w:val="24"/>
          <w:szCs w:val="24"/>
          <w:lang w:val="en-US"/>
        </w:rPr>
        <w:drawing>
          <wp:inline distT="0" distB="0" distL="0" distR="0" wp14:anchorId="6D2A79C3" wp14:editId="715FFE3A">
            <wp:extent cx="3070329" cy="1958975"/>
            <wp:effectExtent l="0" t="0" r="0" b="3175"/>
            <wp:docPr id="339040142" name="Picture 5" descr="A graph showing a graph showing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0142" name="Picture 5" descr="A graph showing a graph showing a number of poin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70963" cy="1959380"/>
                    </a:xfrm>
                    <a:prstGeom prst="rect">
                      <a:avLst/>
                    </a:prstGeom>
                  </pic:spPr>
                </pic:pic>
              </a:graphicData>
            </a:graphic>
          </wp:inline>
        </w:drawing>
      </w:r>
    </w:p>
    <w:p w14:paraId="1941CB9F" w14:textId="1D5A2DCE" w:rsidR="004907CD" w:rsidRDefault="00030CF4" w:rsidP="00F60ECE">
      <w:pPr>
        <w:spacing w:after="240" w:line="360" w:lineRule="auto"/>
        <w:rPr>
          <w:rFonts w:ascii="Times New Roman" w:eastAsia="Times New Roman" w:hAnsi="Times New Roman" w:cs="Times New Roman"/>
          <w:sz w:val="24"/>
          <w:szCs w:val="24"/>
          <w:lang w:val="en-US"/>
        </w:rPr>
      </w:pPr>
      <w:r w:rsidRPr="00030CF4">
        <w:rPr>
          <w:rFonts w:ascii="Times New Roman" w:eastAsia="Times New Roman" w:hAnsi="Times New Roman" w:cs="Times New Roman"/>
          <w:b/>
          <w:bCs/>
          <w:sz w:val="24"/>
          <w:szCs w:val="24"/>
        </w:rPr>
        <w:t>Figure 4–5. HDBSCAN clusters of fraudulent inpatient (left) and outpatient (right) claims.</w:t>
      </w:r>
      <w:r w:rsidRPr="00030CF4">
        <w:rPr>
          <w:rFonts w:ascii="Times New Roman" w:eastAsia="Times New Roman" w:hAnsi="Times New Roman" w:cs="Times New Roman"/>
          <w:sz w:val="24"/>
          <w:szCs w:val="24"/>
        </w:rPr>
        <w:t xml:space="preserve"> Two-dimensional PCA projections of standardized fraud-only claims are shown, with points colored by HDBSCAN cluster labels and noise points displayed in grey.</w:t>
      </w:r>
    </w:p>
    <w:tbl>
      <w:tblPr>
        <w:tblStyle w:val="TableGridLight"/>
        <w:tblW w:w="9894" w:type="dxa"/>
        <w:tblLook w:val="04A0" w:firstRow="1" w:lastRow="0" w:firstColumn="1" w:lastColumn="0" w:noHBand="0" w:noVBand="1"/>
      </w:tblPr>
      <w:tblGrid>
        <w:gridCol w:w="1357"/>
        <w:gridCol w:w="1357"/>
        <w:gridCol w:w="1502"/>
        <w:gridCol w:w="1556"/>
        <w:gridCol w:w="1357"/>
        <w:gridCol w:w="1408"/>
        <w:gridCol w:w="1357"/>
      </w:tblGrid>
      <w:tr w:rsidR="00921C4E" w:rsidRPr="00921C4E" w14:paraId="0A2D3A5D" w14:textId="77777777" w:rsidTr="009E36B0">
        <w:trPr>
          <w:trHeight w:val="733"/>
        </w:trPr>
        <w:tc>
          <w:tcPr>
            <w:tcW w:w="1357" w:type="dxa"/>
            <w:vAlign w:val="center"/>
          </w:tcPr>
          <w:p w14:paraId="00A650C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Claim Type</w:t>
            </w:r>
          </w:p>
        </w:tc>
        <w:tc>
          <w:tcPr>
            <w:tcW w:w="1357" w:type="dxa"/>
            <w:vAlign w:val="center"/>
          </w:tcPr>
          <w:p w14:paraId="0776B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Cluster</w:t>
            </w:r>
          </w:p>
        </w:tc>
        <w:tc>
          <w:tcPr>
            <w:tcW w:w="1502" w:type="dxa"/>
            <w:vAlign w:val="center"/>
          </w:tcPr>
          <w:p w14:paraId="71AA35C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Antecedents Str</w:t>
            </w:r>
          </w:p>
        </w:tc>
        <w:tc>
          <w:tcPr>
            <w:tcW w:w="1556" w:type="dxa"/>
            <w:vAlign w:val="center"/>
          </w:tcPr>
          <w:p w14:paraId="29DE121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Consequents Str</w:t>
            </w:r>
          </w:p>
        </w:tc>
        <w:tc>
          <w:tcPr>
            <w:tcW w:w="1357" w:type="dxa"/>
            <w:vAlign w:val="center"/>
          </w:tcPr>
          <w:p w14:paraId="4769935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Support</w:t>
            </w:r>
          </w:p>
        </w:tc>
        <w:tc>
          <w:tcPr>
            <w:tcW w:w="1408" w:type="dxa"/>
            <w:vAlign w:val="center"/>
          </w:tcPr>
          <w:p w14:paraId="3845476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Confidence</w:t>
            </w:r>
          </w:p>
        </w:tc>
        <w:tc>
          <w:tcPr>
            <w:tcW w:w="1357" w:type="dxa"/>
            <w:vAlign w:val="center"/>
          </w:tcPr>
          <w:p w14:paraId="54D1A8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Lift</w:t>
            </w:r>
          </w:p>
        </w:tc>
      </w:tr>
      <w:tr w:rsidR="00921C4E" w:rsidRPr="00921C4E" w14:paraId="7F6D1B5C" w14:textId="77777777" w:rsidTr="009E36B0">
        <w:trPr>
          <w:trHeight w:val="367"/>
        </w:trPr>
        <w:tc>
          <w:tcPr>
            <w:tcW w:w="1357" w:type="dxa"/>
            <w:vAlign w:val="center"/>
          </w:tcPr>
          <w:p w14:paraId="0424B2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0EEEA12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73A918F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280+285</w:t>
            </w:r>
          </w:p>
        </w:tc>
        <w:tc>
          <w:tcPr>
            <w:tcW w:w="1556" w:type="dxa"/>
            <w:vAlign w:val="center"/>
          </w:tcPr>
          <w:p w14:paraId="3930176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04FF539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52369B0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0.766</w:t>
            </w:r>
          </w:p>
        </w:tc>
        <w:tc>
          <w:tcPr>
            <w:tcW w:w="1357" w:type="dxa"/>
            <w:vAlign w:val="center"/>
          </w:tcPr>
          <w:p w14:paraId="13E626D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10.127</w:t>
            </w:r>
          </w:p>
        </w:tc>
      </w:tr>
      <w:tr w:rsidR="00921C4E" w:rsidRPr="00921C4E" w14:paraId="0A726175" w14:textId="77777777" w:rsidTr="009E36B0">
        <w:trPr>
          <w:trHeight w:val="367"/>
        </w:trPr>
        <w:tc>
          <w:tcPr>
            <w:tcW w:w="1357" w:type="dxa"/>
            <w:vAlign w:val="center"/>
          </w:tcPr>
          <w:p w14:paraId="17BF92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B520F4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061FFB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285+588</w:t>
            </w:r>
          </w:p>
        </w:tc>
        <w:tc>
          <w:tcPr>
            <w:tcW w:w="1556" w:type="dxa"/>
            <w:vAlign w:val="center"/>
          </w:tcPr>
          <w:p w14:paraId="14130EC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3A2A910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0E0B98B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0.688</w:t>
            </w:r>
          </w:p>
        </w:tc>
        <w:tc>
          <w:tcPr>
            <w:tcW w:w="1357" w:type="dxa"/>
            <w:vAlign w:val="center"/>
          </w:tcPr>
          <w:p w14:paraId="6DEF25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9.462</w:t>
            </w:r>
          </w:p>
        </w:tc>
      </w:tr>
      <w:tr w:rsidR="00921C4E" w:rsidRPr="00921C4E" w14:paraId="265CFDBF" w14:textId="77777777" w:rsidTr="009E36B0">
        <w:trPr>
          <w:trHeight w:val="367"/>
        </w:trPr>
        <w:tc>
          <w:tcPr>
            <w:tcW w:w="1357" w:type="dxa"/>
            <w:vAlign w:val="center"/>
          </w:tcPr>
          <w:p w14:paraId="61116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74FC56A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18</w:t>
            </w:r>
          </w:p>
        </w:tc>
        <w:tc>
          <w:tcPr>
            <w:tcW w:w="1502" w:type="dxa"/>
            <w:vAlign w:val="center"/>
          </w:tcPr>
          <w:p w14:paraId="0F94624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995</w:t>
            </w:r>
          </w:p>
        </w:tc>
        <w:tc>
          <w:tcPr>
            <w:tcW w:w="1556" w:type="dxa"/>
            <w:vAlign w:val="center"/>
          </w:tcPr>
          <w:p w14:paraId="4A8B77D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38</w:t>
            </w:r>
          </w:p>
        </w:tc>
        <w:tc>
          <w:tcPr>
            <w:tcW w:w="1357" w:type="dxa"/>
            <w:vAlign w:val="center"/>
          </w:tcPr>
          <w:p w14:paraId="63814D7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7285D0A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0.645</w:t>
            </w:r>
          </w:p>
        </w:tc>
        <w:tc>
          <w:tcPr>
            <w:tcW w:w="1357" w:type="dxa"/>
            <w:vAlign w:val="center"/>
          </w:tcPr>
          <w:p w14:paraId="12A3861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8.896</w:t>
            </w:r>
          </w:p>
        </w:tc>
      </w:tr>
      <w:tr w:rsidR="00921C4E" w:rsidRPr="00921C4E" w14:paraId="5B64C18C" w14:textId="77777777" w:rsidTr="009E36B0">
        <w:trPr>
          <w:trHeight w:val="367"/>
        </w:trPr>
        <w:tc>
          <w:tcPr>
            <w:tcW w:w="1357" w:type="dxa"/>
            <w:vAlign w:val="center"/>
          </w:tcPr>
          <w:p w14:paraId="587F61D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9D9BD6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21436CF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V56</w:t>
            </w:r>
          </w:p>
        </w:tc>
        <w:tc>
          <w:tcPr>
            <w:tcW w:w="1556" w:type="dxa"/>
            <w:vAlign w:val="center"/>
          </w:tcPr>
          <w:p w14:paraId="32B7E5B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53F4A13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0.024</w:t>
            </w:r>
          </w:p>
        </w:tc>
        <w:tc>
          <w:tcPr>
            <w:tcW w:w="1408" w:type="dxa"/>
            <w:vAlign w:val="center"/>
          </w:tcPr>
          <w:p w14:paraId="6AD92E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0.637</w:t>
            </w:r>
          </w:p>
        </w:tc>
        <w:tc>
          <w:tcPr>
            <w:tcW w:w="1357" w:type="dxa"/>
            <w:vAlign w:val="center"/>
          </w:tcPr>
          <w:p w14:paraId="28CCFF2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8.425</w:t>
            </w:r>
          </w:p>
        </w:tc>
      </w:tr>
      <w:tr w:rsidR="00921C4E" w:rsidRPr="00921C4E" w14:paraId="6A0A588E" w14:textId="77777777" w:rsidTr="009E36B0">
        <w:trPr>
          <w:trHeight w:val="367"/>
        </w:trPr>
        <w:tc>
          <w:tcPr>
            <w:tcW w:w="1357" w:type="dxa"/>
            <w:vAlign w:val="center"/>
          </w:tcPr>
          <w:p w14:paraId="4361FDE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156BC9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78EE59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556" w:type="dxa"/>
            <w:vAlign w:val="center"/>
          </w:tcPr>
          <w:p w14:paraId="600ADD2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1BD2C7F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004EC57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0.612</w:t>
            </w:r>
          </w:p>
        </w:tc>
        <w:tc>
          <w:tcPr>
            <w:tcW w:w="1357" w:type="dxa"/>
            <w:vAlign w:val="center"/>
          </w:tcPr>
          <w:p w14:paraId="68FA6BE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13A840D2" w14:textId="77777777" w:rsidTr="009E36B0">
        <w:trPr>
          <w:trHeight w:val="367"/>
        </w:trPr>
        <w:tc>
          <w:tcPr>
            <w:tcW w:w="1357" w:type="dxa"/>
            <w:vAlign w:val="center"/>
          </w:tcPr>
          <w:p w14:paraId="29F42D6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177FB9B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A056D4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556" w:type="dxa"/>
            <w:vAlign w:val="center"/>
          </w:tcPr>
          <w:p w14:paraId="5D3D88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1CB88B3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6EC152E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0.636</w:t>
            </w:r>
          </w:p>
        </w:tc>
        <w:tc>
          <w:tcPr>
            <w:tcW w:w="1357" w:type="dxa"/>
            <w:vAlign w:val="center"/>
          </w:tcPr>
          <w:p w14:paraId="09977D2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7B2A7D67" w14:textId="77777777" w:rsidTr="009E36B0">
        <w:trPr>
          <w:trHeight w:val="367"/>
        </w:trPr>
        <w:tc>
          <w:tcPr>
            <w:tcW w:w="1357" w:type="dxa"/>
            <w:vAlign w:val="center"/>
          </w:tcPr>
          <w:p w14:paraId="38CB65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lastRenderedPageBreak/>
              <w:t>IP</w:t>
            </w:r>
          </w:p>
        </w:tc>
        <w:tc>
          <w:tcPr>
            <w:tcW w:w="1357" w:type="dxa"/>
            <w:vAlign w:val="center"/>
          </w:tcPr>
          <w:p w14:paraId="6E14B9D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14</w:t>
            </w:r>
          </w:p>
        </w:tc>
        <w:tc>
          <w:tcPr>
            <w:tcW w:w="1502" w:type="dxa"/>
            <w:vAlign w:val="center"/>
          </w:tcPr>
          <w:p w14:paraId="2C2A04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8154</w:t>
            </w:r>
          </w:p>
        </w:tc>
        <w:tc>
          <w:tcPr>
            <w:tcW w:w="1556" w:type="dxa"/>
            <w:vAlign w:val="center"/>
          </w:tcPr>
          <w:p w14:paraId="62EF56D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715</w:t>
            </w:r>
          </w:p>
        </w:tc>
        <w:tc>
          <w:tcPr>
            <w:tcW w:w="1357" w:type="dxa"/>
            <w:vAlign w:val="center"/>
          </w:tcPr>
          <w:p w14:paraId="12E25E4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114889A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0.863</w:t>
            </w:r>
          </w:p>
        </w:tc>
        <w:tc>
          <w:tcPr>
            <w:tcW w:w="1357" w:type="dxa"/>
            <w:vAlign w:val="center"/>
          </w:tcPr>
          <w:p w14:paraId="26D6027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7.415</w:t>
            </w:r>
          </w:p>
        </w:tc>
      </w:tr>
      <w:tr w:rsidR="00921C4E" w:rsidRPr="00921C4E" w14:paraId="33BA9682" w14:textId="77777777" w:rsidTr="009E36B0">
        <w:trPr>
          <w:trHeight w:val="367"/>
        </w:trPr>
        <w:tc>
          <w:tcPr>
            <w:tcW w:w="1357" w:type="dxa"/>
            <w:vAlign w:val="center"/>
          </w:tcPr>
          <w:p w14:paraId="2819CC4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00BDD2ED"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13</w:t>
            </w:r>
          </w:p>
        </w:tc>
        <w:tc>
          <w:tcPr>
            <w:tcW w:w="1502" w:type="dxa"/>
            <w:vAlign w:val="center"/>
          </w:tcPr>
          <w:p w14:paraId="0D51848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7935</w:t>
            </w:r>
          </w:p>
        </w:tc>
        <w:tc>
          <w:tcPr>
            <w:tcW w:w="1556" w:type="dxa"/>
            <w:vAlign w:val="center"/>
          </w:tcPr>
          <w:p w14:paraId="0B54D1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820</w:t>
            </w:r>
          </w:p>
        </w:tc>
        <w:tc>
          <w:tcPr>
            <w:tcW w:w="1357" w:type="dxa"/>
            <w:vAlign w:val="center"/>
          </w:tcPr>
          <w:p w14:paraId="4FE3FD8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0.051</w:t>
            </w:r>
          </w:p>
        </w:tc>
        <w:tc>
          <w:tcPr>
            <w:tcW w:w="1408" w:type="dxa"/>
            <w:vAlign w:val="center"/>
          </w:tcPr>
          <w:p w14:paraId="78820F8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0.865</w:t>
            </w:r>
          </w:p>
        </w:tc>
        <w:tc>
          <w:tcPr>
            <w:tcW w:w="1357" w:type="dxa"/>
            <w:vAlign w:val="center"/>
          </w:tcPr>
          <w:p w14:paraId="309A8A5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7.398</w:t>
            </w:r>
          </w:p>
        </w:tc>
      </w:tr>
    </w:tbl>
    <w:p w14:paraId="749B4D33" w14:textId="77777777" w:rsidR="004907CD" w:rsidRPr="004907CD" w:rsidRDefault="004907CD" w:rsidP="00F60ECE">
      <w:pPr>
        <w:spacing w:after="240" w:line="360" w:lineRule="auto"/>
        <w:rPr>
          <w:rFonts w:ascii="Times New Roman" w:eastAsia="Times New Roman" w:hAnsi="Times New Roman" w:cs="Times New Roman"/>
          <w:sz w:val="24"/>
          <w:szCs w:val="24"/>
          <w:lang w:val="en-US"/>
        </w:rPr>
      </w:pPr>
    </w:p>
    <w:p w14:paraId="618D8F6F" w14:textId="720472D9" w:rsidR="00A41183" w:rsidRPr="00D87CE6" w:rsidRDefault="004907CD" w:rsidP="00D87CE6">
      <w:pPr>
        <w:spacing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b/>
          <w:bCs/>
          <w:sz w:val="24"/>
          <w:szCs w:val="24"/>
          <w:lang w:val="en-US"/>
        </w:rPr>
        <w:t>Table 1. Example diagnosis/procedure code patterns within claim clusters.</w:t>
      </w:r>
      <w:r w:rsidRPr="004907CD">
        <w:rPr>
          <w:rFonts w:ascii="Times New Roman" w:eastAsia="Times New Roman" w:hAnsi="Times New Roman" w:cs="Times New Roman"/>
          <w:sz w:val="24"/>
          <w:szCs w:val="24"/>
          <w:lang w:val="en-US"/>
        </w:rPr>
        <w:t xml:space="preserve"> Representative association rules for selected inpatient and outpatient HDBSCAN clusters, showing antecedent code sets, consequent codes, support, confidence, and lift, and illustrating recurring code combinations that are concentrated within specific fraud-only clusters.</w:t>
      </w:r>
    </w:p>
    <w:p w14:paraId="2D6D7843" w14:textId="15EA88C4" w:rsidR="00A5133A" w:rsidRPr="00A5133A" w:rsidRDefault="00A5133A" w:rsidP="00F60ECE">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4.3 Provider-level fraud classification performance</w:t>
      </w:r>
    </w:p>
    <w:p w14:paraId="14D06FDD" w14:textId="69721C67" w:rsidR="00895AAA" w:rsidRDefault="00A41183" w:rsidP="00F60ECE">
      <w:pPr>
        <w:spacing w:after="240" w:line="360" w:lineRule="auto"/>
        <w:rPr>
          <w:rFonts w:ascii="Times New Roman" w:eastAsia="Times New Roman" w:hAnsi="Times New Roman" w:cs="Times New Roman"/>
          <w:sz w:val="24"/>
          <w:szCs w:val="24"/>
        </w:rPr>
      </w:pPr>
      <w:r w:rsidRPr="00A41183">
        <w:rPr>
          <w:rFonts w:ascii="Times New Roman" w:eastAsia="Times New Roman" w:hAnsi="Times New Roman" w:cs="Times New Roman"/>
          <w:sz w:val="24"/>
          <w:szCs w:val="24"/>
        </w:rPr>
        <w:t xml:space="preserve">We evaluated several supervised models for predicting provider fraud status using engineered provider-level features. On the 30% hold-out subset of labeled providers, all models achieved high ROC-AUC (≈0.93–0.94), indicating good discrimination, while precision–recall performance varied more under class imbalance; full metrics (accuracy, precision, recall, F1, PR-AUC, ROC-AUC) are reported in Table 2. Logistic regression with elastic-net regularization and class-balanced weighting emerged as the best overall model, with PR-AUC ≈0.71, ROC-AUC ≈0.93, and, after threshold tuning, precision ≈0.74 and recall ≈0.56 (F1 in the mid-0.60s). Tree-based models (Random Forests, </w:t>
      </w:r>
      <w:proofErr w:type="spellStart"/>
      <w:r w:rsidRPr="00A41183">
        <w:rPr>
          <w:rFonts w:ascii="Times New Roman" w:eastAsia="Times New Roman" w:hAnsi="Times New Roman" w:cs="Times New Roman"/>
          <w:sz w:val="24"/>
          <w:szCs w:val="24"/>
        </w:rPr>
        <w:t>ExtraTrees</w:t>
      </w:r>
      <w:proofErr w:type="spellEnd"/>
      <w:r w:rsidRPr="00A41183">
        <w:rPr>
          <w:rFonts w:ascii="Times New Roman" w:eastAsia="Times New Roman" w:hAnsi="Times New Roman" w:cs="Times New Roman"/>
          <w:sz w:val="24"/>
          <w:szCs w:val="24"/>
        </w:rPr>
        <w:t xml:space="preserve">, </w:t>
      </w:r>
      <w:proofErr w:type="spellStart"/>
      <w:r w:rsidRPr="00A41183">
        <w:rPr>
          <w:rFonts w:ascii="Times New Roman" w:eastAsia="Times New Roman" w:hAnsi="Times New Roman" w:cs="Times New Roman"/>
          <w:sz w:val="24"/>
          <w:szCs w:val="24"/>
        </w:rPr>
        <w:t>LightGBM</w:t>
      </w:r>
      <w:proofErr w:type="spellEnd"/>
      <w:r w:rsidRPr="00A41183">
        <w:rPr>
          <w:rFonts w:ascii="Times New Roman" w:eastAsia="Times New Roman" w:hAnsi="Times New Roman" w:cs="Times New Roman"/>
          <w:sz w:val="24"/>
          <w:szCs w:val="24"/>
        </w:rPr>
        <w:t xml:space="preserve">, XGBoost), </w:t>
      </w:r>
      <w:proofErr w:type="spellStart"/>
      <w:r w:rsidRPr="00A41183">
        <w:rPr>
          <w:rFonts w:ascii="Times New Roman" w:eastAsia="Times New Roman" w:hAnsi="Times New Roman" w:cs="Times New Roman"/>
          <w:sz w:val="24"/>
          <w:szCs w:val="24"/>
        </w:rPr>
        <w:t>CatBoost</w:t>
      </w:r>
      <w:proofErr w:type="spellEnd"/>
      <w:r w:rsidRPr="00A41183">
        <w:rPr>
          <w:rFonts w:ascii="Times New Roman" w:eastAsia="Times New Roman" w:hAnsi="Times New Roman" w:cs="Times New Roman"/>
          <w:sz w:val="24"/>
          <w:szCs w:val="24"/>
        </w:rPr>
        <w:t>, and a shallow multilayer perceptron achieved similar ROC-AUC but slightly lower PR-AUC or less favorable precision–recall trade-offs at their optimal F1 thresholds, so more complex models did not outperform the well-regularized, interpretable linear model. The distribution of logistic regression fraud risk scores (Figure 6) showed non-fraudulent providers concentrated near zero and fraudulent providers skewed toward higher scores, with the chosen decision threshold isolating a small subset of high-risk providers. Among the highest-scoring providers, we observed elevated annual reimbursement, higher claim volumes, higher peer-normalized inpatient or outpatient z-scores, and increased counts of duplicate or overcharge flags, consistent with our feature design. These risk scores were then applied to unlabeled test providers to generate fraud risk predictions and to define the high-risk provider universe for clustering in Section 4.4.</w:t>
      </w:r>
    </w:p>
    <w:p w14:paraId="1910F19B" w14:textId="77777777" w:rsidR="00D87CE6" w:rsidRDefault="00D87CE6" w:rsidP="00F60ECE">
      <w:pPr>
        <w:spacing w:after="240" w:line="360" w:lineRule="auto"/>
        <w:rPr>
          <w:rFonts w:ascii="Times New Roman" w:eastAsia="Times New Roman" w:hAnsi="Times New Roman" w:cs="Times New Roman"/>
          <w:sz w:val="24"/>
          <w:szCs w:val="24"/>
          <w:lang w:val="en-US"/>
        </w:rPr>
      </w:pPr>
    </w:p>
    <w:tbl>
      <w:tblPr>
        <w:tblStyle w:val="TableGrid"/>
        <w:tblW w:w="0" w:type="auto"/>
        <w:jc w:val="center"/>
        <w:tblLayout w:type="fixed"/>
        <w:tblLook w:val="04A0" w:firstRow="1" w:lastRow="0" w:firstColumn="1" w:lastColumn="0" w:noHBand="0" w:noVBand="1"/>
      </w:tblPr>
      <w:tblGrid>
        <w:gridCol w:w="1705"/>
        <w:gridCol w:w="1260"/>
        <w:gridCol w:w="1260"/>
        <w:gridCol w:w="908"/>
        <w:gridCol w:w="892"/>
        <w:gridCol w:w="1170"/>
        <w:gridCol w:w="1260"/>
      </w:tblGrid>
      <w:tr w:rsidR="00895AAA" w:rsidRPr="00BB7564" w14:paraId="348513A6" w14:textId="77777777" w:rsidTr="00030CF4">
        <w:trPr>
          <w:trHeight w:val="520"/>
          <w:jc w:val="center"/>
        </w:trPr>
        <w:tc>
          <w:tcPr>
            <w:tcW w:w="1705" w:type="dxa"/>
            <w:vAlign w:val="center"/>
          </w:tcPr>
          <w:p w14:paraId="69E9A465" w14:textId="77777777" w:rsidR="00895AAA" w:rsidRPr="00BB7564" w:rsidRDefault="00895AAA" w:rsidP="00F60ECE">
            <w:pPr>
              <w:spacing w:after="240"/>
              <w:jc w:val="center"/>
              <w:rPr>
                <w:b/>
                <w:bCs/>
              </w:rPr>
            </w:pPr>
            <w:r>
              <w:rPr>
                <w:b/>
                <w:bCs/>
              </w:rPr>
              <w:lastRenderedPageBreak/>
              <w:t>M</w:t>
            </w:r>
            <w:r w:rsidRPr="00BB7564">
              <w:rPr>
                <w:b/>
                <w:bCs/>
              </w:rPr>
              <w:t>odel</w:t>
            </w:r>
          </w:p>
        </w:tc>
        <w:tc>
          <w:tcPr>
            <w:tcW w:w="1260" w:type="dxa"/>
            <w:vAlign w:val="center"/>
          </w:tcPr>
          <w:p w14:paraId="4354A7D5" w14:textId="77777777" w:rsidR="00895AAA" w:rsidRPr="00BB7564" w:rsidRDefault="00895AAA" w:rsidP="00F60ECE">
            <w:pPr>
              <w:spacing w:after="240"/>
              <w:jc w:val="center"/>
              <w:rPr>
                <w:b/>
                <w:bCs/>
              </w:rPr>
            </w:pPr>
            <w:r>
              <w:rPr>
                <w:b/>
                <w:bCs/>
              </w:rPr>
              <w:t>A</w:t>
            </w:r>
            <w:r w:rsidRPr="00BB7564">
              <w:rPr>
                <w:b/>
                <w:bCs/>
              </w:rPr>
              <w:t>ccuracy</w:t>
            </w:r>
          </w:p>
        </w:tc>
        <w:tc>
          <w:tcPr>
            <w:tcW w:w="1260" w:type="dxa"/>
            <w:vAlign w:val="center"/>
          </w:tcPr>
          <w:p w14:paraId="21B77ADC" w14:textId="77777777" w:rsidR="00895AAA" w:rsidRPr="00BB7564" w:rsidRDefault="00895AAA" w:rsidP="00F60ECE">
            <w:pPr>
              <w:spacing w:after="240"/>
              <w:jc w:val="center"/>
              <w:rPr>
                <w:b/>
                <w:bCs/>
              </w:rPr>
            </w:pPr>
            <w:r>
              <w:rPr>
                <w:b/>
                <w:bCs/>
              </w:rPr>
              <w:t>P</w:t>
            </w:r>
            <w:r w:rsidRPr="00BB7564">
              <w:rPr>
                <w:b/>
                <w:bCs/>
              </w:rPr>
              <w:t>recision</w:t>
            </w:r>
          </w:p>
        </w:tc>
        <w:tc>
          <w:tcPr>
            <w:tcW w:w="908" w:type="dxa"/>
            <w:vAlign w:val="center"/>
          </w:tcPr>
          <w:p w14:paraId="16F113A7" w14:textId="77777777" w:rsidR="00895AAA" w:rsidRPr="00BB7564" w:rsidRDefault="00895AAA" w:rsidP="00F60ECE">
            <w:pPr>
              <w:spacing w:after="240"/>
              <w:jc w:val="center"/>
              <w:rPr>
                <w:b/>
                <w:bCs/>
              </w:rPr>
            </w:pPr>
            <w:r>
              <w:rPr>
                <w:b/>
                <w:bCs/>
              </w:rPr>
              <w:t>R</w:t>
            </w:r>
            <w:r w:rsidRPr="00BB7564">
              <w:rPr>
                <w:b/>
                <w:bCs/>
              </w:rPr>
              <w:t>ecall</w:t>
            </w:r>
          </w:p>
        </w:tc>
        <w:tc>
          <w:tcPr>
            <w:tcW w:w="892" w:type="dxa"/>
            <w:vAlign w:val="center"/>
          </w:tcPr>
          <w:p w14:paraId="398BBD51" w14:textId="77777777" w:rsidR="00895AAA" w:rsidRPr="00BB7564" w:rsidRDefault="00895AAA" w:rsidP="00F60ECE">
            <w:pPr>
              <w:spacing w:after="240"/>
              <w:jc w:val="center"/>
              <w:rPr>
                <w:b/>
                <w:bCs/>
              </w:rPr>
            </w:pPr>
            <w:r>
              <w:rPr>
                <w:b/>
                <w:bCs/>
              </w:rPr>
              <w:t>F1</w:t>
            </w:r>
          </w:p>
        </w:tc>
        <w:tc>
          <w:tcPr>
            <w:tcW w:w="1170" w:type="dxa"/>
            <w:vAlign w:val="center"/>
          </w:tcPr>
          <w:p w14:paraId="40EAA97D" w14:textId="77777777" w:rsidR="00895AAA" w:rsidRPr="00BB7564" w:rsidRDefault="00895AAA" w:rsidP="00F60ECE">
            <w:pPr>
              <w:spacing w:after="240"/>
              <w:jc w:val="center"/>
              <w:rPr>
                <w:b/>
                <w:bCs/>
              </w:rPr>
            </w:pPr>
            <w:r>
              <w:rPr>
                <w:b/>
                <w:bCs/>
              </w:rPr>
              <w:t>PR</w:t>
            </w:r>
            <w:r w:rsidRPr="00BB7564">
              <w:rPr>
                <w:b/>
                <w:bCs/>
              </w:rPr>
              <w:t>_</w:t>
            </w:r>
            <w:r>
              <w:rPr>
                <w:b/>
                <w:bCs/>
              </w:rPr>
              <w:t>AUC</w:t>
            </w:r>
          </w:p>
        </w:tc>
        <w:tc>
          <w:tcPr>
            <w:tcW w:w="1260" w:type="dxa"/>
            <w:vAlign w:val="center"/>
          </w:tcPr>
          <w:p w14:paraId="0574EAD1" w14:textId="77777777" w:rsidR="00895AAA" w:rsidRPr="00BB7564" w:rsidRDefault="00895AAA" w:rsidP="00F60ECE">
            <w:pPr>
              <w:spacing w:after="240"/>
              <w:jc w:val="center"/>
              <w:rPr>
                <w:b/>
                <w:bCs/>
              </w:rPr>
            </w:pPr>
            <w:r>
              <w:rPr>
                <w:b/>
                <w:bCs/>
              </w:rPr>
              <w:t>ROC</w:t>
            </w:r>
            <w:r w:rsidRPr="00BB7564">
              <w:rPr>
                <w:b/>
                <w:bCs/>
              </w:rPr>
              <w:t>_</w:t>
            </w:r>
            <w:r>
              <w:rPr>
                <w:b/>
                <w:bCs/>
              </w:rPr>
              <w:t>AUC</w:t>
            </w:r>
          </w:p>
        </w:tc>
      </w:tr>
      <w:tr w:rsidR="00895AAA" w14:paraId="7D0D3559" w14:textId="77777777" w:rsidTr="00030CF4">
        <w:trPr>
          <w:trHeight w:val="260"/>
          <w:jc w:val="center"/>
        </w:trPr>
        <w:tc>
          <w:tcPr>
            <w:tcW w:w="1705" w:type="dxa"/>
            <w:vAlign w:val="center"/>
          </w:tcPr>
          <w:p w14:paraId="704F9527" w14:textId="77777777" w:rsidR="00895AAA" w:rsidRDefault="00895AAA" w:rsidP="00F60ECE">
            <w:pPr>
              <w:spacing w:after="240"/>
              <w:jc w:val="center"/>
            </w:pPr>
            <w:proofErr w:type="spellStart"/>
            <w:r>
              <w:t>LogReg</w:t>
            </w:r>
            <w:proofErr w:type="spellEnd"/>
          </w:p>
        </w:tc>
        <w:tc>
          <w:tcPr>
            <w:tcW w:w="1260" w:type="dxa"/>
            <w:vAlign w:val="center"/>
          </w:tcPr>
          <w:p w14:paraId="3819EECE" w14:textId="77777777" w:rsidR="00895AAA" w:rsidRDefault="00895AAA" w:rsidP="00F60ECE">
            <w:pPr>
              <w:spacing w:after="240"/>
              <w:jc w:val="center"/>
            </w:pPr>
            <w:r>
              <w:t>0.93</w:t>
            </w:r>
          </w:p>
        </w:tc>
        <w:tc>
          <w:tcPr>
            <w:tcW w:w="1260" w:type="dxa"/>
            <w:vAlign w:val="center"/>
          </w:tcPr>
          <w:p w14:paraId="55EB3591" w14:textId="77777777" w:rsidR="00895AAA" w:rsidRDefault="00895AAA" w:rsidP="00F60ECE">
            <w:pPr>
              <w:spacing w:after="240"/>
              <w:jc w:val="center"/>
            </w:pPr>
            <w:r>
              <w:t>0.59</w:t>
            </w:r>
          </w:p>
        </w:tc>
        <w:tc>
          <w:tcPr>
            <w:tcW w:w="908" w:type="dxa"/>
            <w:vAlign w:val="center"/>
          </w:tcPr>
          <w:p w14:paraId="3B72E89F" w14:textId="77777777" w:rsidR="00895AAA" w:rsidRDefault="00895AAA" w:rsidP="00F60ECE">
            <w:pPr>
              <w:spacing w:after="240"/>
              <w:jc w:val="center"/>
            </w:pPr>
            <w:r>
              <w:t>0.74</w:t>
            </w:r>
          </w:p>
        </w:tc>
        <w:tc>
          <w:tcPr>
            <w:tcW w:w="892" w:type="dxa"/>
            <w:vAlign w:val="center"/>
          </w:tcPr>
          <w:p w14:paraId="4252F9A6" w14:textId="77777777" w:rsidR="00895AAA" w:rsidRDefault="00895AAA" w:rsidP="00F60ECE">
            <w:pPr>
              <w:spacing w:after="240"/>
              <w:jc w:val="center"/>
            </w:pPr>
            <w:r>
              <w:t>0.66</w:t>
            </w:r>
          </w:p>
        </w:tc>
        <w:tc>
          <w:tcPr>
            <w:tcW w:w="1170" w:type="dxa"/>
            <w:vAlign w:val="center"/>
          </w:tcPr>
          <w:p w14:paraId="04401FA3" w14:textId="77777777" w:rsidR="00895AAA" w:rsidRDefault="00895AAA" w:rsidP="00F60ECE">
            <w:pPr>
              <w:spacing w:after="240"/>
              <w:jc w:val="center"/>
            </w:pPr>
            <w:r>
              <w:t>0.73</w:t>
            </w:r>
          </w:p>
        </w:tc>
        <w:tc>
          <w:tcPr>
            <w:tcW w:w="1260" w:type="dxa"/>
            <w:vAlign w:val="center"/>
          </w:tcPr>
          <w:p w14:paraId="2B0A6AE3" w14:textId="77777777" w:rsidR="00895AAA" w:rsidRDefault="00895AAA" w:rsidP="00F60ECE">
            <w:pPr>
              <w:spacing w:after="240"/>
              <w:jc w:val="center"/>
            </w:pPr>
            <w:r>
              <w:t>0.94</w:t>
            </w:r>
          </w:p>
        </w:tc>
      </w:tr>
      <w:tr w:rsidR="00895AAA" w14:paraId="7C639901" w14:textId="77777777" w:rsidTr="00030CF4">
        <w:trPr>
          <w:trHeight w:val="525"/>
          <w:jc w:val="center"/>
        </w:trPr>
        <w:tc>
          <w:tcPr>
            <w:tcW w:w="1705" w:type="dxa"/>
            <w:vAlign w:val="center"/>
          </w:tcPr>
          <w:p w14:paraId="7EC48985" w14:textId="77777777" w:rsidR="00895AAA" w:rsidRDefault="00895AAA" w:rsidP="00F60ECE">
            <w:pPr>
              <w:spacing w:after="240"/>
              <w:jc w:val="center"/>
            </w:pPr>
            <w:proofErr w:type="spellStart"/>
            <w:r>
              <w:t>ExtraTrees</w:t>
            </w:r>
            <w:proofErr w:type="spellEnd"/>
          </w:p>
        </w:tc>
        <w:tc>
          <w:tcPr>
            <w:tcW w:w="1260" w:type="dxa"/>
            <w:vAlign w:val="center"/>
          </w:tcPr>
          <w:p w14:paraId="54DCACA0" w14:textId="77777777" w:rsidR="00895AAA" w:rsidRDefault="00895AAA" w:rsidP="00F60ECE">
            <w:pPr>
              <w:spacing w:after="240"/>
              <w:jc w:val="center"/>
            </w:pPr>
            <w:r>
              <w:t>0.91</w:t>
            </w:r>
          </w:p>
        </w:tc>
        <w:tc>
          <w:tcPr>
            <w:tcW w:w="1260" w:type="dxa"/>
            <w:vAlign w:val="center"/>
          </w:tcPr>
          <w:p w14:paraId="30D752F6" w14:textId="77777777" w:rsidR="00895AAA" w:rsidRDefault="00895AAA" w:rsidP="00F60ECE">
            <w:pPr>
              <w:spacing w:after="240"/>
              <w:jc w:val="center"/>
            </w:pPr>
            <w:r>
              <w:t>0.53</w:t>
            </w:r>
          </w:p>
        </w:tc>
        <w:tc>
          <w:tcPr>
            <w:tcW w:w="908" w:type="dxa"/>
            <w:vAlign w:val="center"/>
          </w:tcPr>
          <w:p w14:paraId="4F96833B" w14:textId="77777777" w:rsidR="00895AAA" w:rsidRDefault="00895AAA" w:rsidP="00F60ECE">
            <w:pPr>
              <w:spacing w:after="240"/>
              <w:jc w:val="center"/>
            </w:pPr>
            <w:r>
              <w:t>0.74</w:t>
            </w:r>
          </w:p>
        </w:tc>
        <w:tc>
          <w:tcPr>
            <w:tcW w:w="892" w:type="dxa"/>
            <w:vAlign w:val="center"/>
          </w:tcPr>
          <w:p w14:paraId="5C353C6F" w14:textId="77777777" w:rsidR="00895AAA" w:rsidRDefault="00895AAA" w:rsidP="00F60ECE">
            <w:pPr>
              <w:spacing w:after="240"/>
              <w:jc w:val="center"/>
            </w:pPr>
            <w:r>
              <w:t>0.61</w:t>
            </w:r>
          </w:p>
        </w:tc>
        <w:tc>
          <w:tcPr>
            <w:tcW w:w="1170" w:type="dxa"/>
            <w:vAlign w:val="center"/>
          </w:tcPr>
          <w:p w14:paraId="015C4B8A" w14:textId="77777777" w:rsidR="00895AAA" w:rsidRDefault="00895AAA" w:rsidP="00F60ECE">
            <w:pPr>
              <w:spacing w:after="240"/>
              <w:jc w:val="center"/>
            </w:pPr>
            <w:r>
              <w:t>0.70</w:t>
            </w:r>
          </w:p>
        </w:tc>
        <w:tc>
          <w:tcPr>
            <w:tcW w:w="1260" w:type="dxa"/>
            <w:vAlign w:val="center"/>
          </w:tcPr>
          <w:p w14:paraId="4CCA9F1C" w14:textId="77777777" w:rsidR="00895AAA" w:rsidRDefault="00895AAA" w:rsidP="00F60ECE">
            <w:pPr>
              <w:spacing w:after="240"/>
              <w:jc w:val="center"/>
            </w:pPr>
            <w:r>
              <w:t>0.93</w:t>
            </w:r>
          </w:p>
        </w:tc>
      </w:tr>
      <w:tr w:rsidR="00895AAA" w14:paraId="453B654A" w14:textId="77777777" w:rsidTr="00030CF4">
        <w:trPr>
          <w:trHeight w:val="260"/>
          <w:jc w:val="center"/>
        </w:trPr>
        <w:tc>
          <w:tcPr>
            <w:tcW w:w="1705" w:type="dxa"/>
            <w:vAlign w:val="center"/>
          </w:tcPr>
          <w:p w14:paraId="13F1C6CF" w14:textId="77777777" w:rsidR="00895AAA" w:rsidRDefault="00895AAA" w:rsidP="00F60ECE">
            <w:pPr>
              <w:spacing w:after="240"/>
              <w:jc w:val="center"/>
            </w:pPr>
            <w:proofErr w:type="spellStart"/>
            <w:r>
              <w:t>CatBoost</w:t>
            </w:r>
            <w:proofErr w:type="spellEnd"/>
          </w:p>
        </w:tc>
        <w:tc>
          <w:tcPr>
            <w:tcW w:w="1260" w:type="dxa"/>
            <w:vAlign w:val="center"/>
          </w:tcPr>
          <w:p w14:paraId="3D64A806" w14:textId="77777777" w:rsidR="00895AAA" w:rsidRDefault="00895AAA" w:rsidP="00F60ECE">
            <w:pPr>
              <w:spacing w:after="240"/>
              <w:jc w:val="center"/>
            </w:pPr>
            <w:r>
              <w:t>0.92</w:t>
            </w:r>
          </w:p>
        </w:tc>
        <w:tc>
          <w:tcPr>
            <w:tcW w:w="1260" w:type="dxa"/>
            <w:vAlign w:val="center"/>
          </w:tcPr>
          <w:p w14:paraId="598ECA31" w14:textId="77777777" w:rsidR="00895AAA" w:rsidRDefault="00895AAA" w:rsidP="00F60ECE">
            <w:pPr>
              <w:spacing w:after="240"/>
              <w:jc w:val="center"/>
            </w:pPr>
            <w:r>
              <w:t>0.57</w:t>
            </w:r>
          </w:p>
        </w:tc>
        <w:tc>
          <w:tcPr>
            <w:tcW w:w="908" w:type="dxa"/>
            <w:vAlign w:val="center"/>
          </w:tcPr>
          <w:p w14:paraId="55EF95BD" w14:textId="77777777" w:rsidR="00895AAA" w:rsidRDefault="00895AAA" w:rsidP="00F60ECE">
            <w:pPr>
              <w:spacing w:after="240"/>
              <w:jc w:val="center"/>
            </w:pPr>
            <w:r>
              <w:t>0.64</w:t>
            </w:r>
          </w:p>
        </w:tc>
        <w:tc>
          <w:tcPr>
            <w:tcW w:w="892" w:type="dxa"/>
            <w:vAlign w:val="center"/>
          </w:tcPr>
          <w:p w14:paraId="635048A1" w14:textId="77777777" w:rsidR="00895AAA" w:rsidRDefault="00895AAA" w:rsidP="00F60ECE">
            <w:pPr>
              <w:spacing w:after="240"/>
              <w:jc w:val="center"/>
            </w:pPr>
            <w:r>
              <w:t>0.60</w:t>
            </w:r>
          </w:p>
        </w:tc>
        <w:tc>
          <w:tcPr>
            <w:tcW w:w="1170" w:type="dxa"/>
            <w:vAlign w:val="center"/>
          </w:tcPr>
          <w:p w14:paraId="19FF2195" w14:textId="77777777" w:rsidR="00895AAA" w:rsidRDefault="00895AAA" w:rsidP="00F60ECE">
            <w:pPr>
              <w:spacing w:after="240"/>
              <w:jc w:val="center"/>
            </w:pPr>
            <w:r>
              <w:t>0.69</w:t>
            </w:r>
          </w:p>
        </w:tc>
        <w:tc>
          <w:tcPr>
            <w:tcW w:w="1260" w:type="dxa"/>
            <w:vAlign w:val="center"/>
          </w:tcPr>
          <w:p w14:paraId="6BB8037A" w14:textId="77777777" w:rsidR="00895AAA" w:rsidRDefault="00895AAA" w:rsidP="00F60ECE">
            <w:pPr>
              <w:spacing w:after="240"/>
              <w:jc w:val="center"/>
            </w:pPr>
            <w:r>
              <w:t>0.93</w:t>
            </w:r>
          </w:p>
        </w:tc>
      </w:tr>
      <w:tr w:rsidR="00895AAA" w14:paraId="59FB28EE" w14:textId="77777777" w:rsidTr="00030CF4">
        <w:trPr>
          <w:trHeight w:val="520"/>
          <w:jc w:val="center"/>
        </w:trPr>
        <w:tc>
          <w:tcPr>
            <w:tcW w:w="1705" w:type="dxa"/>
            <w:vAlign w:val="center"/>
          </w:tcPr>
          <w:p w14:paraId="12A99776" w14:textId="77777777" w:rsidR="00895AAA" w:rsidRDefault="00895AAA" w:rsidP="00F60ECE">
            <w:pPr>
              <w:spacing w:after="240"/>
              <w:jc w:val="center"/>
            </w:pPr>
            <w:proofErr w:type="spellStart"/>
            <w:r>
              <w:t>RandomForest</w:t>
            </w:r>
            <w:proofErr w:type="spellEnd"/>
          </w:p>
        </w:tc>
        <w:tc>
          <w:tcPr>
            <w:tcW w:w="1260" w:type="dxa"/>
            <w:vAlign w:val="center"/>
          </w:tcPr>
          <w:p w14:paraId="0F24399A" w14:textId="77777777" w:rsidR="00895AAA" w:rsidRDefault="00895AAA" w:rsidP="00F60ECE">
            <w:pPr>
              <w:spacing w:after="240"/>
              <w:jc w:val="center"/>
            </w:pPr>
            <w:r>
              <w:t>0.93</w:t>
            </w:r>
          </w:p>
        </w:tc>
        <w:tc>
          <w:tcPr>
            <w:tcW w:w="1260" w:type="dxa"/>
            <w:vAlign w:val="center"/>
          </w:tcPr>
          <w:p w14:paraId="7BC2711B" w14:textId="77777777" w:rsidR="00895AAA" w:rsidRDefault="00895AAA" w:rsidP="00F60ECE">
            <w:pPr>
              <w:spacing w:after="240"/>
              <w:jc w:val="center"/>
            </w:pPr>
            <w:r>
              <w:t>0.62</w:t>
            </w:r>
          </w:p>
        </w:tc>
        <w:tc>
          <w:tcPr>
            <w:tcW w:w="908" w:type="dxa"/>
            <w:vAlign w:val="center"/>
          </w:tcPr>
          <w:p w14:paraId="6D7A006F" w14:textId="77777777" w:rsidR="00895AAA" w:rsidRDefault="00895AAA" w:rsidP="00F60ECE">
            <w:pPr>
              <w:spacing w:after="240"/>
              <w:jc w:val="center"/>
            </w:pPr>
            <w:r>
              <w:t>0.61</w:t>
            </w:r>
          </w:p>
        </w:tc>
        <w:tc>
          <w:tcPr>
            <w:tcW w:w="892" w:type="dxa"/>
            <w:vAlign w:val="center"/>
          </w:tcPr>
          <w:p w14:paraId="7C6F8441" w14:textId="77777777" w:rsidR="00895AAA" w:rsidRDefault="00895AAA" w:rsidP="00F60ECE">
            <w:pPr>
              <w:spacing w:after="240"/>
              <w:jc w:val="center"/>
            </w:pPr>
            <w:r>
              <w:t>0.61</w:t>
            </w:r>
          </w:p>
        </w:tc>
        <w:tc>
          <w:tcPr>
            <w:tcW w:w="1170" w:type="dxa"/>
            <w:vAlign w:val="center"/>
          </w:tcPr>
          <w:p w14:paraId="5D319B09" w14:textId="77777777" w:rsidR="00895AAA" w:rsidRDefault="00895AAA" w:rsidP="00F60ECE">
            <w:pPr>
              <w:spacing w:after="240"/>
              <w:jc w:val="center"/>
            </w:pPr>
            <w:r>
              <w:t>0.69</w:t>
            </w:r>
          </w:p>
        </w:tc>
        <w:tc>
          <w:tcPr>
            <w:tcW w:w="1260" w:type="dxa"/>
            <w:vAlign w:val="center"/>
          </w:tcPr>
          <w:p w14:paraId="531597FD" w14:textId="77777777" w:rsidR="00895AAA" w:rsidRDefault="00895AAA" w:rsidP="00F60ECE">
            <w:pPr>
              <w:spacing w:after="240"/>
              <w:jc w:val="center"/>
            </w:pPr>
            <w:r>
              <w:t>0.93</w:t>
            </w:r>
          </w:p>
        </w:tc>
      </w:tr>
      <w:tr w:rsidR="00895AAA" w14:paraId="66AB9BD6" w14:textId="77777777" w:rsidTr="00030CF4">
        <w:trPr>
          <w:trHeight w:val="520"/>
          <w:jc w:val="center"/>
        </w:trPr>
        <w:tc>
          <w:tcPr>
            <w:tcW w:w="1705" w:type="dxa"/>
            <w:vAlign w:val="center"/>
          </w:tcPr>
          <w:p w14:paraId="135E216F" w14:textId="77777777" w:rsidR="00895AAA" w:rsidRDefault="00895AAA" w:rsidP="00F60ECE">
            <w:pPr>
              <w:spacing w:after="240"/>
              <w:jc w:val="center"/>
            </w:pPr>
            <w:proofErr w:type="spellStart"/>
            <w:r>
              <w:t>LightGBM</w:t>
            </w:r>
            <w:proofErr w:type="spellEnd"/>
          </w:p>
        </w:tc>
        <w:tc>
          <w:tcPr>
            <w:tcW w:w="1260" w:type="dxa"/>
            <w:vAlign w:val="center"/>
          </w:tcPr>
          <w:p w14:paraId="1D35532D" w14:textId="77777777" w:rsidR="00895AAA" w:rsidRDefault="00895AAA" w:rsidP="00F60ECE">
            <w:pPr>
              <w:spacing w:after="240"/>
              <w:jc w:val="center"/>
            </w:pPr>
            <w:r>
              <w:t>0.91</w:t>
            </w:r>
          </w:p>
        </w:tc>
        <w:tc>
          <w:tcPr>
            <w:tcW w:w="1260" w:type="dxa"/>
            <w:vAlign w:val="center"/>
          </w:tcPr>
          <w:p w14:paraId="21C4B380" w14:textId="77777777" w:rsidR="00895AAA" w:rsidRDefault="00895AAA" w:rsidP="00F60ECE">
            <w:pPr>
              <w:spacing w:after="240"/>
              <w:jc w:val="center"/>
            </w:pPr>
            <w:r>
              <w:t>0.51</w:t>
            </w:r>
          </w:p>
        </w:tc>
        <w:tc>
          <w:tcPr>
            <w:tcW w:w="908" w:type="dxa"/>
            <w:vAlign w:val="center"/>
          </w:tcPr>
          <w:p w14:paraId="1226FA4A" w14:textId="77777777" w:rsidR="00895AAA" w:rsidRDefault="00895AAA" w:rsidP="00F60ECE">
            <w:pPr>
              <w:spacing w:after="240"/>
              <w:jc w:val="center"/>
            </w:pPr>
            <w:r>
              <w:t>0.78</w:t>
            </w:r>
          </w:p>
        </w:tc>
        <w:tc>
          <w:tcPr>
            <w:tcW w:w="892" w:type="dxa"/>
            <w:vAlign w:val="center"/>
          </w:tcPr>
          <w:p w14:paraId="7C5C929D" w14:textId="77777777" w:rsidR="00895AAA" w:rsidRDefault="00895AAA" w:rsidP="00F60ECE">
            <w:pPr>
              <w:spacing w:after="240"/>
              <w:jc w:val="center"/>
            </w:pPr>
            <w:r>
              <w:t>0.61</w:t>
            </w:r>
          </w:p>
        </w:tc>
        <w:tc>
          <w:tcPr>
            <w:tcW w:w="1170" w:type="dxa"/>
            <w:vAlign w:val="center"/>
          </w:tcPr>
          <w:p w14:paraId="067197E9" w14:textId="77777777" w:rsidR="00895AAA" w:rsidRDefault="00895AAA" w:rsidP="00F60ECE">
            <w:pPr>
              <w:spacing w:after="240"/>
              <w:jc w:val="center"/>
            </w:pPr>
            <w:r>
              <w:t>0.68</w:t>
            </w:r>
          </w:p>
        </w:tc>
        <w:tc>
          <w:tcPr>
            <w:tcW w:w="1260" w:type="dxa"/>
            <w:vAlign w:val="center"/>
          </w:tcPr>
          <w:p w14:paraId="4EDD7752" w14:textId="77777777" w:rsidR="00895AAA" w:rsidRDefault="00895AAA" w:rsidP="00F60ECE">
            <w:pPr>
              <w:spacing w:after="240"/>
              <w:jc w:val="center"/>
            </w:pPr>
            <w:r>
              <w:t>0.93</w:t>
            </w:r>
          </w:p>
        </w:tc>
      </w:tr>
      <w:tr w:rsidR="00895AAA" w14:paraId="6154C974" w14:textId="77777777" w:rsidTr="00030CF4">
        <w:trPr>
          <w:trHeight w:val="260"/>
          <w:jc w:val="center"/>
        </w:trPr>
        <w:tc>
          <w:tcPr>
            <w:tcW w:w="1705" w:type="dxa"/>
            <w:vAlign w:val="center"/>
          </w:tcPr>
          <w:p w14:paraId="60864C56" w14:textId="77777777" w:rsidR="00895AAA" w:rsidRDefault="00895AAA" w:rsidP="00F60ECE">
            <w:pPr>
              <w:spacing w:after="240"/>
              <w:jc w:val="center"/>
            </w:pPr>
            <w:r>
              <w:t>XGBoost</w:t>
            </w:r>
          </w:p>
        </w:tc>
        <w:tc>
          <w:tcPr>
            <w:tcW w:w="1260" w:type="dxa"/>
            <w:vAlign w:val="center"/>
          </w:tcPr>
          <w:p w14:paraId="1B2B7927" w14:textId="77777777" w:rsidR="00895AAA" w:rsidRDefault="00895AAA" w:rsidP="00F60ECE">
            <w:pPr>
              <w:spacing w:after="240"/>
              <w:jc w:val="center"/>
            </w:pPr>
            <w:r>
              <w:t>0.91</w:t>
            </w:r>
          </w:p>
        </w:tc>
        <w:tc>
          <w:tcPr>
            <w:tcW w:w="1260" w:type="dxa"/>
            <w:vAlign w:val="center"/>
          </w:tcPr>
          <w:p w14:paraId="6DD394F2" w14:textId="77777777" w:rsidR="00895AAA" w:rsidRDefault="00895AAA" w:rsidP="00F60ECE">
            <w:pPr>
              <w:spacing w:after="240"/>
              <w:jc w:val="center"/>
            </w:pPr>
            <w:r>
              <w:t>0.51</w:t>
            </w:r>
          </w:p>
        </w:tc>
        <w:tc>
          <w:tcPr>
            <w:tcW w:w="908" w:type="dxa"/>
            <w:vAlign w:val="center"/>
          </w:tcPr>
          <w:p w14:paraId="69060890" w14:textId="77777777" w:rsidR="00895AAA" w:rsidRDefault="00895AAA" w:rsidP="00F60ECE">
            <w:pPr>
              <w:spacing w:after="240"/>
              <w:jc w:val="center"/>
            </w:pPr>
            <w:r>
              <w:t>0.78</w:t>
            </w:r>
          </w:p>
        </w:tc>
        <w:tc>
          <w:tcPr>
            <w:tcW w:w="892" w:type="dxa"/>
            <w:vAlign w:val="center"/>
          </w:tcPr>
          <w:p w14:paraId="278377DF" w14:textId="77777777" w:rsidR="00895AAA" w:rsidRDefault="00895AAA" w:rsidP="00F60ECE">
            <w:pPr>
              <w:spacing w:after="240"/>
              <w:jc w:val="center"/>
            </w:pPr>
            <w:r>
              <w:t>0.61</w:t>
            </w:r>
          </w:p>
        </w:tc>
        <w:tc>
          <w:tcPr>
            <w:tcW w:w="1170" w:type="dxa"/>
            <w:vAlign w:val="center"/>
          </w:tcPr>
          <w:p w14:paraId="799A6DA4" w14:textId="77777777" w:rsidR="00895AAA" w:rsidRDefault="00895AAA" w:rsidP="00F60ECE">
            <w:pPr>
              <w:spacing w:after="240"/>
              <w:jc w:val="center"/>
            </w:pPr>
            <w:r>
              <w:t>0.68</w:t>
            </w:r>
          </w:p>
        </w:tc>
        <w:tc>
          <w:tcPr>
            <w:tcW w:w="1260" w:type="dxa"/>
            <w:vAlign w:val="center"/>
          </w:tcPr>
          <w:p w14:paraId="346D1F4B" w14:textId="77777777" w:rsidR="00895AAA" w:rsidRDefault="00895AAA" w:rsidP="00F60ECE">
            <w:pPr>
              <w:spacing w:after="240"/>
              <w:jc w:val="center"/>
            </w:pPr>
            <w:r>
              <w:t>0.93</w:t>
            </w:r>
          </w:p>
        </w:tc>
      </w:tr>
    </w:tbl>
    <w:p w14:paraId="66E71FF2" w14:textId="77777777" w:rsidR="002C5D5E" w:rsidRDefault="002C5D5E" w:rsidP="00F60ECE">
      <w:pPr>
        <w:spacing w:after="240" w:line="360" w:lineRule="auto"/>
        <w:rPr>
          <w:rFonts w:ascii="Times New Roman" w:eastAsia="Times New Roman" w:hAnsi="Times New Roman" w:cs="Times New Roman"/>
          <w:sz w:val="24"/>
          <w:szCs w:val="24"/>
          <w:lang w:val="en-US"/>
        </w:rPr>
      </w:pPr>
    </w:p>
    <w:p w14:paraId="43A892D7" w14:textId="3AA8558F" w:rsid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Table 2. Supervised model performance on the provider hold-out set.</w:t>
      </w:r>
      <w:r w:rsidRPr="00A5133A">
        <w:rPr>
          <w:rFonts w:ascii="Times New Roman" w:eastAsia="Times New Roman" w:hAnsi="Times New Roman" w:cs="Times New Roman"/>
          <w:sz w:val="24"/>
          <w:szCs w:val="24"/>
          <w:lang w:val="en-US"/>
        </w:rPr>
        <w:t xml:space="preserve"> Classification performance of logistic regression (elastic-net), Random Forests, </w:t>
      </w:r>
      <w:proofErr w:type="spellStart"/>
      <w:r w:rsidRPr="00A5133A">
        <w:rPr>
          <w:rFonts w:ascii="Times New Roman" w:eastAsia="Times New Roman" w:hAnsi="Times New Roman" w:cs="Times New Roman"/>
          <w:sz w:val="24"/>
          <w:szCs w:val="24"/>
          <w:lang w:val="en-US"/>
        </w:rPr>
        <w:t>ExtraTrees</w:t>
      </w:r>
      <w:proofErr w:type="spellEnd"/>
      <w:r w:rsidRPr="00A5133A">
        <w:rPr>
          <w:rFonts w:ascii="Times New Roman" w:eastAsia="Times New Roman" w:hAnsi="Times New Roman" w:cs="Times New Roman"/>
          <w:sz w:val="24"/>
          <w:szCs w:val="24"/>
          <w:lang w:val="en-US"/>
        </w:rPr>
        <w:t xml:space="preserve">, </w:t>
      </w:r>
      <w:proofErr w:type="spellStart"/>
      <w:r w:rsidRPr="00A5133A">
        <w:rPr>
          <w:rFonts w:ascii="Times New Roman" w:eastAsia="Times New Roman" w:hAnsi="Times New Roman" w:cs="Times New Roman"/>
          <w:sz w:val="24"/>
          <w:szCs w:val="24"/>
          <w:lang w:val="en-US"/>
        </w:rPr>
        <w:t>LightGBM</w:t>
      </w:r>
      <w:proofErr w:type="spellEnd"/>
      <w:r w:rsidRPr="00A5133A">
        <w:rPr>
          <w:rFonts w:ascii="Times New Roman" w:eastAsia="Times New Roman" w:hAnsi="Times New Roman" w:cs="Times New Roman"/>
          <w:sz w:val="24"/>
          <w:szCs w:val="24"/>
          <w:lang w:val="en-US"/>
        </w:rPr>
        <w:t xml:space="preserve">, XGBoost, </w:t>
      </w:r>
      <w:proofErr w:type="spellStart"/>
      <w:r w:rsidRPr="00A5133A">
        <w:rPr>
          <w:rFonts w:ascii="Times New Roman" w:eastAsia="Times New Roman" w:hAnsi="Times New Roman" w:cs="Times New Roman"/>
          <w:sz w:val="24"/>
          <w:szCs w:val="24"/>
          <w:lang w:val="en-US"/>
        </w:rPr>
        <w:t>CatBoost</w:t>
      </w:r>
      <w:proofErr w:type="spellEnd"/>
      <w:r w:rsidRPr="00A5133A">
        <w:rPr>
          <w:rFonts w:ascii="Times New Roman" w:eastAsia="Times New Roman" w:hAnsi="Times New Roman" w:cs="Times New Roman"/>
          <w:sz w:val="24"/>
          <w:szCs w:val="24"/>
          <w:lang w:val="en-US"/>
        </w:rPr>
        <w:t>, and a multilayer perceptron, reported as accuracy, precision, recall, F1-score, area under the precision–recall curve (PR-AUC), and area under the ROC curve (ROC-AUC).</w:t>
      </w:r>
    </w:p>
    <w:p w14:paraId="7B53BD42" w14:textId="5B8F040C" w:rsidR="00C44040" w:rsidRPr="00A5133A" w:rsidRDefault="00714167"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89B273D" wp14:editId="7789827D">
            <wp:extent cx="5092038" cy="2886576"/>
            <wp:effectExtent l="0" t="0" r="0" b="9525"/>
            <wp:docPr id="541189111" name="Picture 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89111" name="Picture 8" descr="A white rectangular object with black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03999" cy="2893356"/>
                    </a:xfrm>
                    <a:prstGeom prst="rect">
                      <a:avLst/>
                    </a:prstGeom>
                  </pic:spPr>
                </pic:pic>
              </a:graphicData>
            </a:graphic>
          </wp:inline>
        </w:drawing>
      </w:r>
    </w:p>
    <w:p w14:paraId="3E1A2B79" w14:textId="0EC47310" w:rsidR="00F60ECE"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Figure 6. Distribution of provider fraud risk scores.</w:t>
      </w:r>
      <w:r w:rsidRPr="00A5133A">
        <w:rPr>
          <w:rFonts w:ascii="Times New Roman" w:eastAsia="Times New Roman" w:hAnsi="Times New Roman" w:cs="Times New Roman"/>
          <w:sz w:val="24"/>
          <w:szCs w:val="24"/>
          <w:lang w:val="en-US"/>
        </w:rPr>
        <w:t xml:space="preserve"> Histogram or density plots of logistic regression fraud risk scores for labeled providers, stratified by true fraud label, illustrating </w:t>
      </w:r>
      <w:r w:rsidRPr="00A5133A">
        <w:rPr>
          <w:rFonts w:ascii="Times New Roman" w:eastAsia="Times New Roman" w:hAnsi="Times New Roman" w:cs="Times New Roman"/>
          <w:sz w:val="24"/>
          <w:szCs w:val="24"/>
          <w:lang w:val="en-US"/>
        </w:rPr>
        <w:lastRenderedPageBreak/>
        <w:t>separation between non-fraudulent providers (scores near zero) and fraudulent providers (scores shifted toward higher values).</w:t>
      </w:r>
    </w:p>
    <w:p w14:paraId="671182C4" w14:textId="25D279F0" w:rsidR="00266567" w:rsidRPr="00266567" w:rsidRDefault="00A5133A" w:rsidP="00266567">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t>4.4 Provider fraud-type clusters</w:t>
      </w:r>
    </w:p>
    <w:p w14:paraId="6D8A94C9" w14:textId="3A117551" w:rsidR="00266567" w:rsidRPr="00266567" w:rsidRDefault="00266567" w:rsidP="00F60ECE">
      <w:pPr>
        <w:spacing w:line="360" w:lineRule="auto"/>
        <w:rPr>
          <w:rFonts w:ascii="Times New Roman" w:eastAsia="Times New Roman" w:hAnsi="Times New Roman" w:cs="Times New Roman"/>
          <w:sz w:val="24"/>
          <w:szCs w:val="24"/>
          <w:lang w:val="en-US"/>
        </w:rPr>
      </w:pPr>
      <w:r w:rsidRPr="00266567">
        <w:rPr>
          <w:rFonts w:ascii="Times New Roman" w:eastAsia="Times New Roman" w:hAnsi="Times New Roman" w:cs="Times New Roman"/>
          <w:sz w:val="24"/>
          <w:szCs w:val="24"/>
          <w:lang w:val="en-US"/>
        </w:rPr>
        <w:t xml:space="preserve">To characterize patterns of fraudulent behavior at the provider level, we defined a high-risk universe of 570 providers by combining all labeled fraudulent training providers with test providers whose logistic regression fraud score exceeded a high threshold, then applied HDBSCAN to their standardized provider-level features. The algorithm identified four clusters and labeled the remaining 334 providers as noise, indicating many high-risk providers do not belong to any dense feature-space group. A two-dimensional PCA projection (Figure 7) shows compact regions corresponding to clusters and a diffuse cloud of noise points. The largest cluster (Cluster 3, 180 providers) comprises moderate-volume providers with substantial annual reimbursement and inpatient activity, elevated maximum inpatient reimbursement and length-of-stay z-scores, but relatively modest duplicate and overcharge counts. Cluster 1 (36 providers) contains high-revenue providers with more extreme inpatient z-scores and signs of upcoding, consistent with an “inpatient </w:t>
      </w:r>
      <w:proofErr w:type="spellStart"/>
      <w:r w:rsidRPr="00266567">
        <w:rPr>
          <w:rFonts w:ascii="Times New Roman" w:eastAsia="Times New Roman" w:hAnsi="Times New Roman" w:cs="Times New Roman"/>
          <w:sz w:val="24"/>
          <w:szCs w:val="24"/>
          <w:lang w:val="en-US"/>
        </w:rPr>
        <w:t>overcharger</w:t>
      </w:r>
      <w:proofErr w:type="spellEnd"/>
      <w:r w:rsidRPr="00266567">
        <w:rPr>
          <w:rFonts w:ascii="Times New Roman" w:eastAsia="Times New Roman" w:hAnsi="Times New Roman" w:cs="Times New Roman"/>
          <w:sz w:val="24"/>
          <w:szCs w:val="24"/>
          <w:lang w:val="en-US"/>
        </w:rPr>
        <w:t xml:space="preserve">” pattern. Cluster 0 (10 providers) </w:t>
      </w:r>
      <w:r w:rsidRPr="00266567">
        <w:rPr>
          <w:rFonts w:ascii="Times New Roman" w:eastAsia="Times New Roman" w:hAnsi="Times New Roman" w:cs="Times New Roman"/>
          <w:sz w:val="24"/>
          <w:szCs w:val="24"/>
          <w:lang w:val="en-US"/>
        </w:rPr>
        <w:t>capture</w:t>
      </w:r>
      <w:r w:rsidRPr="00266567">
        <w:rPr>
          <w:rFonts w:ascii="Times New Roman" w:eastAsia="Times New Roman" w:hAnsi="Times New Roman" w:cs="Times New Roman"/>
          <w:sz w:val="24"/>
          <w:szCs w:val="24"/>
          <w:lang w:val="en-US"/>
        </w:rPr>
        <w:t xml:space="preserve"> high-volume outpatient billers with many duplicate claims and overcharge flags, while Cluster 2 (10 providers) consists of outpatient-only providers with very large claim volumes, large beneficiary panels, and frequent overcharge flags, suggestive of systematic small-ticket overbilling. Table 3 summarizes each cluster’s size, labeled/test mix, and median utilization, payment, z-score, and rule-based features, highlighting that fraudulent and high-risk providers form several distinct fraud-type archetypes rather than a single homogeneous group.</w:t>
      </w:r>
    </w:p>
    <w:p w14:paraId="0CB6F7B5" w14:textId="3D7A413B" w:rsidR="00C44040" w:rsidRPr="00A5133A" w:rsidRDefault="00C44040"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162554F2" wp14:editId="07988811">
            <wp:extent cx="4194973" cy="3135025"/>
            <wp:effectExtent l="0" t="0" r="0" b="8255"/>
            <wp:docPr id="31249996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9968" name="Picture 7"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16131" cy="3150837"/>
                    </a:xfrm>
                    <a:prstGeom prst="rect">
                      <a:avLst/>
                    </a:prstGeom>
                  </pic:spPr>
                </pic:pic>
              </a:graphicData>
            </a:graphic>
          </wp:inline>
        </w:drawing>
      </w:r>
    </w:p>
    <w:p w14:paraId="7E1B0D9F" w14:textId="6C1727AB" w:rsidR="00266567"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Figure 7. Clusters of high-risk providers.</w:t>
      </w:r>
      <w:r w:rsidRPr="00A5133A">
        <w:rPr>
          <w:rFonts w:ascii="Times New Roman" w:eastAsia="Times New Roman" w:hAnsi="Times New Roman" w:cs="Times New Roman"/>
          <w:sz w:val="24"/>
          <w:szCs w:val="24"/>
          <w:lang w:val="en-US"/>
        </w:rPr>
        <w:t xml:space="preserve"> Two-dimensional PCA projection of standardized provider-level features for high-risk providers, </w:t>
      </w:r>
      <w:r w:rsidR="00980E92" w:rsidRPr="00A5133A">
        <w:rPr>
          <w:rFonts w:ascii="Times New Roman" w:eastAsia="Times New Roman" w:hAnsi="Times New Roman" w:cs="Times New Roman"/>
          <w:sz w:val="24"/>
          <w:szCs w:val="24"/>
          <w:lang w:val="en-US"/>
        </w:rPr>
        <w:t>colored</w:t>
      </w:r>
      <w:r w:rsidRPr="00A5133A">
        <w:rPr>
          <w:rFonts w:ascii="Times New Roman" w:eastAsia="Times New Roman" w:hAnsi="Times New Roman" w:cs="Times New Roman"/>
          <w:sz w:val="24"/>
          <w:szCs w:val="24"/>
          <w:lang w:val="en-US"/>
        </w:rPr>
        <w:t xml:space="preserve"> by HDBSCAN cluster label, with noise providers shown in grey.</w:t>
      </w:r>
    </w:p>
    <w:tbl>
      <w:tblPr>
        <w:tblStyle w:val="TableGrid"/>
        <w:tblW w:w="9915" w:type="dxa"/>
        <w:jc w:val="center"/>
        <w:tblLook w:val="04A0" w:firstRow="1" w:lastRow="0" w:firstColumn="1" w:lastColumn="0" w:noHBand="0" w:noVBand="1"/>
      </w:tblPr>
      <w:tblGrid>
        <w:gridCol w:w="856"/>
        <w:gridCol w:w="1392"/>
        <w:gridCol w:w="1545"/>
        <w:gridCol w:w="1696"/>
        <w:gridCol w:w="2203"/>
        <w:gridCol w:w="2269"/>
      </w:tblGrid>
      <w:tr w:rsidR="008153EB" w:rsidRPr="008153EB" w14:paraId="7AEF134D" w14:textId="77777777" w:rsidTr="00266567">
        <w:trPr>
          <w:trHeight w:val="323"/>
          <w:jc w:val="center"/>
        </w:trPr>
        <w:tc>
          <w:tcPr>
            <w:tcW w:w="850" w:type="dxa"/>
            <w:noWrap/>
            <w:vAlign w:val="center"/>
            <w:hideMark/>
          </w:tcPr>
          <w:p w14:paraId="17C2F024"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cluster</w:t>
            </w:r>
          </w:p>
        </w:tc>
        <w:tc>
          <w:tcPr>
            <w:tcW w:w="1392" w:type="dxa"/>
            <w:noWrap/>
            <w:vAlign w:val="center"/>
            <w:hideMark/>
          </w:tcPr>
          <w:p w14:paraId="2C835F1C"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n_providers</w:t>
            </w:r>
            <w:proofErr w:type="spellEnd"/>
          </w:p>
        </w:tc>
        <w:tc>
          <w:tcPr>
            <w:tcW w:w="1545" w:type="dxa"/>
            <w:noWrap/>
            <w:vAlign w:val="center"/>
            <w:hideMark/>
          </w:tcPr>
          <w:p w14:paraId="46E47A55"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n_train_fraud</w:t>
            </w:r>
            <w:proofErr w:type="spellEnd"/>
          </w:p>
        </w:tc>
        <w:tc>
          <w:tcPr>
            <w:tcW w:w="1685" w:type="dxa"/>
            <w:noWrap/>
            <w:vAlign w:val="center"/>
            <w:hideMark/>
          </w:tcPr>
          <w:p w14:paraId="4635DB75"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n_test_highrisk</w:t>
            </w:r>
            <w:proofErr w:type="spellEnd"/>
          </w:p>
        </w:tc>
        <w:tc>
          <w:tcPr>
            <w:tcW w:w="2189" w:type="dxa"/>
            <w:noWrap/>
            <w:vAlign w:val="center"/>
            <w:hideMark/>
          </w:tcPr>
          <w:p w14:paraId="1B30E369"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median_reimb_365d</w:t>
            </w:r>
          </w:p>
        </w:tc>
        <w:tc>
          <w:tcPr>
            <w:tcW w:w="2254" w:type="dxa"/>
            <w:noWrap/>
            <w:vAlign w:val="center"/>
            <w:hideMark/>
          </w:tcPr>
          <w:p w14:paraId="3D90E6B2"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median_claims_365d</w:t>
            </w:r>
          </w:p>
        </w:tc>
      </w:tr>
      <w:tr w:rsidR="008153EB" w:rsidRPr="008153EB" w14:paraId="0032621C" w14:textId="77777777" w:rsidTr="00266567">
        <w:trPr>
          <w:trHeight w:val="323"/>
          <w:jc w:val="center"/>
        </w:trPr>
        <w:tc>
          <w:tcPr>
            <w:tcW w:w="850" w:type="dxa"/>
            <w:noWrap/>
            <w:vAlign w:val="center"/>
            <w:hideMark/>
          </w:tcPr>
          <w:p w14:paraId="40C46C9B"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1392" w:type="dxa"/>
            <w:noWrap/>
            <w:vAlign w:val="center"/>
            <w:hideMark/>
          </w:tcPr>
          <w:p w14:paraId="4A87450F"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545" w:type="dxa"/>
            <w:noWrap/>
            <w:vAlign w:val="center"/>
            <w:hideMark/>
          </w:tcPr>
          <w:p w14:paraId="4271269E"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85" w:type="dxa"/>
            <w:noWrap/>
            <w:vAlign w:val="center"/>
            <w:hideMark/>
          </w:tcPr>
          <w:p w14:paraId="09E350E5"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70A31E55"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252570</w:t>
            </w:r>
          </w:p>
        </w:tc>
        <w:tc>
          <w:tcPr>
            <w:tcW w:w="2254" w:type="dxa"/>
            <w:noWrap/>
            <w:vAlign w:val="center"/>
            <w:hideMark/>
          </w:tcPr>
          <w:p w14:paraId="3CCF851C"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309</w:t>
            </w:r>
          </w:p>
        </w:tc>
      </w:tr>
      <w:tr w:rsidR="008153EB" w:rsidRPr="008153EB" w14:paraId="4E113158" w14:textId="77777777" w:rsidTr="00266567">
        <w:trPr>
          <w:trHeight w:val="323"/>
          <w:jc w:val="center"/>
        </w:trPr>
        <w:tc>
          <w:tcPr>
            <w:tcW w:w="850" w:type="dxa"/>
            <w:noWrap/>
            <w:vAlign w:val="center"/>
            <w:hideMark/>
          </w:tcPr>
          <w:p w14:paraId="27EA84F8"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w:t>
            </w:r>
          </w:p>
        </w:tc>
        <w:tc>
          <w:tcPr>
            <w:tcW w:w="1392" w:type="dxa"/>
            <w:noWrap/>
            <w:vAlign w:val="center"/>
            <w:hideMark/>
          </w:tcPr>
          <w:p w14:paraId="6AFBEBCB"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545" w:type="dxa"/>
            <w:noWrap/>
            <w:vAlign w:val="center"/>
            <w:hideMark/>
          </w:tcPr>
          <w:p w14:paraId="5D91C0D5"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685" w:type="dxa"/>
            <w:noWrap/>
            <w:vAlign w:val="center"/>
            <w:hideMark/>
          </w:tcPr>
          <w:p w14:paraId="3B9F8F69"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734D756D"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490880</w:t>
            </w:r>
          </w:p>
        </w:tc>
        <w:tc>
          <w:tcPr>
            <w:tcW w:w="2254" w:type="dxa"/>
            <w:noWrap/>
            <w:vAlign w:val="center"/>
            <w:hideMark/>
          </w:tcPr>
          <w:p w14:paraId="7D9EBEF8"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140</w:t>
            </w:r>
          </w:p>
        </w:tc>
      </w:tr>
      <w:tr w:rsidR="008153EB" w:rsidRPr="008153EB" w14:paraId="7733AC96" w14:textId="77777777" w:rsidTr="00266567">
        <w:trPr>
          <w:trHeight w:val="323"/>
          <w:jc w:val="center"/>
        </w:trPr>
        <w:tc>
          <w:tcPr>
            <w:tcW w:w="850" w:type="dxa"/>
            <w:noWrap/>
            <w:vAlign w:val="center"/>
            <w:hideMark/>
          </w:tcPr>
          <w:p w14:paraId="049EE38D"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w:t>
            </w:r>
          </w:p>
        </w:tc>
        <w:tc>
          <w:tcPr>
            <w:tcW w:w="1392" w:type="dxa"/>
            <w:noWrap/>
            <w:vAlign w:val="center"/>
            <w:hideMark/>
          </w:tcPr>
          <w:p w14:paraId="5E8C3EE2"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545" w:type="dxa"/>
            <w:noWrap/>
            <w:vAlign w:val="center"/>
            <w:hideMark/>
          </w:tcPr>
          <w:p w14:paraId="455559D0"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85" w:type="dxa"/>
            <w:noWrap/>
            <w:vAlign w:val="center"/>
            <w:hideMark/>
          </w:tcPr>
          <w:p w14:paraId="7663681C"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5E9DFB6C"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390030</w:t>
            </w:r>
          </w:p>
        </w:tc>
        <w:tc>
          <w:tcPr>
            <w:tcW w:w="2254" w:type="dxa"/>
            <w:noWrap/>
            <w:vAlign w:val="center"/>
            <w:hideMark/>
          </w:tcPr>
          <w:p w14:paraId="6DC344CF"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1336</w:t>
            </w:r>
          </w:p>
        </w:tc>
      </w:tr>
      <w:tr w:rsidR="008153EB" w:rsidRPr="008153EB" w14:paraId="72456534" w14:textId="77777777" w:rsidTr="00266567">
        <w:trPr>
          <w:trHeight w:val="323"/>
          <w:jc w:val="center"/>
        </w:trPr>
        <w:tc>
          <w:tcPr>
            <w:tcW w:w="850" w:type="dxa"/>
            <w:noWrap/>
            <w:vAlign w:val="center"/>
            <w:hideMark/>
          </w:tcPr>
          <w:p w14:paraId="1470EC35"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w:t>
            </w:r>
          </w:p>
        </w:tc>
        <w:tc>
          <w:tcPr>
            <w:tcW w:w="1392" w:type="dxa"/>
            <w:noWrap/>
            <w:vAlign w:val="center"/>
            <w:hideMark/>
          </w:tcPr>
          <w:p w14:paraId="4B226E84"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545" w:type="dxa"/>
            <w:noWrap/>
            <w:vAlign w:val="center"/>
            <w:hideMark/>
          </w:tcPr>
          <w:p w14:paraId="02F69FD0"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685" w:type="dxa"/>
            <w:noWrap/>
            <w:vAlign w:val="center"/>
            <w:hideMark/>
          </w:tcPr>
          <w:p w14:paraId="4A5DAA94"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0665DC91"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210265</w:t>
            </w:r>
          </w:p>
        </w:tc>
        <w:tc>
          <w:tcPr>
            <w:tcW w:w="2254" w:type="dxa"/>
            <w:noWrap/>
            <w:vAlign w:val="center"/>
            <w:hideMark/>
          </w:tcPr>
          <w:p w14:paraId="0CCB6744" w14:textId="77777777" w:rsidR="008153EB" w:rsidRPr="008153EB" w:rsidRDefault="008153EB" w:rsidP="00266567">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108</w:t>
            </w:r>
          </w:p>
        </w:tc>
      </w:tr>
    </w:tbl>
    <w:p w14:paraId="42C301EF" w14:textId="5713F47D" w:rsidR="00D87CE6" w:rsidRDefault="00D87CE6" w:rsidP="00D87CE6">
      <w:pPr>
        <w:tabs>
          <w:tab w:val="left" w:pos="1013"/>
        </w:tabs>
        <w:spacing w:after="240" w:line="360" w:lineRule="auto"/>
        <w:rPr>
          <w:rFonts w:ascii="Times New Roman" w:eastAsia="Times New Roman" w:hAnsi="Times New Roman" w:cs="Times New Roman"/>
          <w:b/>
          <w:bCs/>
          <w:sz w:val="24"/>
          <w:szCs w:val="24"/>
          <w:lang w:val="en-US"/>
        </w:rPr>
      </w:pPr>
    </w:p>
    <w:p w14:paraId="38E7F01B" w14:textId="4F59CAB9" w:rsidR="00A5133A"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Table 3. Summary of provider fraud-type clusters.</w:t>
      </w:r>
      <w:r w:rsidRPr="00A5133A">
        <w:rPr>
          <w:rFonts w:ascii="Times New Roman" w:eastAsia="Times New Roman" w:hAnsi="Times New Roman" w:cs="Times New Roman"/>
          <w:sz w:val="24"/>
          <w:szCs w:val="24"/>
          <w:lang w:val="en-US"/>
        </w:rPr>
        <w:t xml:space="preserve"> For each provider cluster identified by HDBSCAN, the table reports the number of providers, the fraction originating from labeled training frauds versus high-scored test providers, and median values of key features such as annual reimbursement, claim volume, peer-normalized z-scores, and counts of duplicate, upcoding, and overcharge flags.</w:t>
      </w:r>
    </w:p>
    <w:p w14:paraId="0000000D" w14:textId="3CDB7EC2" w:rsidR="00003EE0" w:rsidRDefault="00000000" w:rsidP="00F60ECE">
      <w:pPr>
        <w:pStyle w:val="Heading1"/>
        <w:spacing w:before="0" w:after="240"/>
        <w:rPr>
          <w:rFonts w:ascii="Times New Roman" w:hAnsi="Times New Roman" w:cs="Times New Roman"/>
          <w:b/>
          <w:bCs/>
          <w:i/>
          <w:iCs/>
          <w:sz w:val="28"/>
          <w:szCs w:val="28"/>
        </w:rPr>
      </w:pPr>
      <w:r w:rsidRPr="00666B08">
        <w:rPr>
          <w:rFonts w:ascii="Times New Roman" w:hAnsi="Times New Roman" w:cs="Times New Roman"/>
          <w:b/>
          <w:bCs/>
          <w:i/>
          <w:iCs/>
          <w:sz w:val="28"/>
          <w:szCs w:val="28"/>
        </w:rPr>
        <w:lastRenderedPageBreak/>
        <w:t>5. Discussion/Conclusion</w:t>
      </w:r>
    </w:p>
    <w:p w14:paraId="3B99D6C9" w14:textId="19121040"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This work developed an end-to-end fraud analytics pipeline on Medicare-like claims data that ties together SQL-based feature engineering, unsupervised pattern discovery on fraud-only claims, supervised provider-level classification, and clustering of high-risk providers into fraud-type groups. Conceptually, it sits in the space mapped out by recent surveys and position papers that call for integrated, multi-paradigm approaches to healthcare fraud detection, rather than single model point solutions [3], [9], [14], [17], [20].</w:t>
      </w:r>
    </w:p>
    <w:p w14:paraId="229A681D" w14:textId="650616E7"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On the supervised side, we found that a relatively simple logistic regression model with elastic-net regularization and class-balanced weighting performed competitively with more complex tree-based and neural models. All models achieved high ROC-AUC on the hold-out provider set, but logistic regression offered a favorable precision–recall trade-off and a PR-AUC around 0.71, while remaining easy to interpret through its coefficients and calibrated risk scores. This aligns with systematic reviews showing that “classical” models (logistic regression, tree ensembles, SVMs) remain strong baselines for healthcare claims fraud when paired with good feature engineering [3], [9], [13], [20], even as optimized deep learning approaches are starting to appear in the literature [8], [16]. Our results reinforce the idea that, in tabular insurance data, carefully designed temporal aggregates, peer-normalized statistics, and rule-based counts can be at least as important as model complexity.</w:t>
      </w:r>
    </w:p>
    <w:p w14:paraId="54522F99" w14:textId="73FB9203"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Unsupervised and anomaly-detection methods played a complementary role. We applied HDBSCAN to fraud-only inpatient and outpatient claims, then used PCA visualizations and association rule mining on diagnosis–procedure combinations to uncover heterogeneity within fraudulent behavior. This is consistent with a broader trend toward unsupervised or weakly supervised methods for fraud and anomaly detection in health insurance, including clustering and density-based methods [1], [6], [15], [19], explainable unsupervised anomaly detection [2], and multivariate outlier models such as WMTDBC [15]. Our approach is particularly close in spirit to Hamid et al., who combines association rule mining with unsupervised classifiers on CMS claims to highlight suspicious patterns [5], and to sequence- and pattern-based methods that use frequent subsequences or trajectories to capture complex schemes [12]. Rather than directly labeling claims from these unsupervised models, we use them to describe and differentiate fraud-only clusters, which then inform both interpretation and rule design.</w:t>
      </w:r>
    </w:p>
    <w:p w14:paraId="02C87C37" w14:textId="77777777" w:rsid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lastRenderedPageBreak/>
        <w:t>At the provider level, clustering the high-risk provider universe—combining labeled fraudulent providers with unlabeled providers that received high fraud scores—yielded several distinct fraud-type clusters and a large noise set. This echoes earlier work that uses clustering or multistage unsupervised approaches to identify outlier providers or utilization profiles in administrative data [10], [15], [19]. In our case, cluster summaries suggested intuitive provider archetypes, such as high-revenue inpatient overchargers, moderate-volume inpatient outliers, high-volume outpatient billers with many duplicate or overcharge flags, and outpatient-only providers with very large claim volumes. Such typologies complement global risk scores and are similar in spirit to recent “explainable anomaly detection” approaches that seek to group and characterize anomalies rather than simply rank them [2].</w:t>
      </w:r>
    </w:p>
    <w:p w14:paraId="45E962F7" w14:textId="35A989D7"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The pipeline design itself—built around a SQL feature store with explicit staging, curated, and mart layers—aligns with work advocating for closer integration between data warehousing, SQL-based analytics, and machine learning in fraud detection [11]. By pushing much of the aggregation, normalization, and rule logic into the database, we obtain a transparent and reproducible feature space that can be reused across multiple models and analyses. This is compatible with emerging architectures for real-time or near–real-time analytics that combine data warehouses with cloud-native processing engines [7] and could in principle be combined with blockchain-based or graph-based infrastructures proposed for secure, auditable fraud detection in health insurance [4], [10], [14].</w:t>
      </w:r>
    </w:p>
    <w:p w14:paraId="40BE15A5" w14:textId="3058A839"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 xml:space="preserve">Several limitations of our study are important. First, the PotentialFraud label is only a proxy for true fraud status and may reflect partial investigations, automated rules, or historical heuristics, an issue frequently raised in reviews of healthcare fraud data mining [3], [9], [17]. Label noise and incomplete coverage of fraudulent providers can bias both supervised models and the fraud-only subsets used for unsupervised clustering. Second, our analysis is limited to a single Medicare-like dataset in a fixed time window. We did not evaluate temporal drift or generalization to other payer types or national systems, whereas prior studies emphasize the importance of context and local coding practices (for example, in Nigerian health insurance [18]) and call for cross-system validation [14], [17]. Third, our pipeline operates in batch mode; we did not implement real-time scoring, streaming ingestion, or online monitoring for concept drift, which are key elements of “next generation” operational systems [7], [14]. Fourth, while we </w:t>
      </w:r>
      <w:r w:rsidRPr="00F60ECE">
        <w:rPr>
          <w:rFonts w:ascii="Times New Roman" w:hAnsi="Times New Roman" w:cs="Times New Roman"/>
          <w:sz w:val="24"/>
          <w:szCs w:val="24"/>
          <w:lang w:val="en-US"/>
        </w:rPr>
        <w:lastRenderedPageBreak/>
        <w:t>borrow ideas from deep learning and sequence mining work [8], [12], [16], we did not explore graph-based, sequence-based, or end-to-end deep models that might capture provider–patient networks or temporal dependencies more richly. Finally, we lacked access to domain experts to manually review specific claims and providers, so our fraud-type clusters should be interpreted as indicative patterns rather than validated typologies.</w:t>
      </w:r>
    </w:p>
    <w:p w14:paraId="607167E2" w14:textId="1E6F42F4"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These limitations suggest clear directions for future work. One avenue is to embed the current feature store and models into a real-time analytics stack, incorporating streaming data, low-latency scoring, and dashboards for monitoring model calibration, performance drift, and feature drift, in line with recent work on cloud-native analytics [7] and “next-generation” fraud systems [14]. Another is to integrate more advanced unsupervised and explainable methods—such as the explainable anomaly detection frameworks proposed for insurance data [2] and unsupervised multivariate models like WMTDBC [15]—directly into provider- and claim-level scorecards. A third direction is to explore richer model classes, including optimized deep learning architectures [8], [16] and sequence models [12], especially when longer longitudinal claim histories are available. Finally, applying the pipeline to additional datasets and settings (for example, different insurers or national contexts [18]) and involving subject-matter experts in reviewing representative cases from each fraud-type cluster would strengthen both the empirical evidence and the practical interpretability of the approach.</w:t>
      </w:r>
    </w:p>
    <w:p w14:paraId="74E45C89" w14:textId="18AC1541"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In conclusion, our study shows that a modular pipeline combining a SQL-based feature store, interpretable rule-based indicators, unsupervised pattern discovery on fraud-only claims, and supervised provider risk scoring can deliver competitive predictive performance while also yielding interpretable fraud-type clusters. Rather than competing with more specialized approaches—such as deep learning models [8], [16] or sophisticated unsupervised frameworks [1], [2], [15], [19]—our contribution is to demonstrate how these ideas can be orchestrated within a transparent, reproducible workflow that is compatible with the broader trends and challenges identified in recent surveys and position papers on healthcare fraud detection [3], [9], [14], [17], [20].</w:t>
      </w:r>
    </w:p>
    <w:p w14:paraId="0000000E" w14:textId="77777777" w:rsidR="00003EE0" w:rsidRPr="00666B08" w:rsidRDefault="00000000" w:rsidP="00666B08">
      <w:pPr>
        <w:pStyle w:val="Heading1"/>
        <w:rPr>
          <w:rFonts w:ascii="Times New Roman" w:hAnsi="Times New Roman" w:cs="Times New Roman"/>
          <w:b/>
          <w:bCs/>
          <w:i/>
          <w:iCs/>
          <w:sz w:val="28"/>
          <w:szCs w:val="28"/>
        </w:rPr>
      </w:pPr>
      <w:r w:rsidRPr="00666B08">
        <w:rPr>
          <w:rFonts w:ascii="Times New Roman" w:hAnsi="Times New Roman" w:cs="Times New Roman"/>
          <w:b/>
          <w:bCs/>
          <w:i/>
          <w:iCs/>
          <w:sz w:val="28"/>
          <w:szCs w:val="28"/>
        </w:rPr>
        <w:lastRenderedPageBreak/>
        <w:t>6. References</w:t>
      </w:r>
    </w:p>
    <w:p w14:paraId="0000000F"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 M. </w:t>
      </w:r>
      <w:proofErr w:type="spellStart"/>
      <w:r w:rsidRPr="006F6A93">
        <w:rPr>
          <w:rFonts w:ascii="Times New Roman" w:hAnsi="Times New Roman" w:cs="Times New Roman"/>
          <w:sz w:val="24"/>
          <w:szCs w:val="24"/>
        </w:rPr>
        <w:t>Bairy</w:t>
      </w:r>
      <w:proofErr w:type="spellEnd"/>
      <w:r w:rsidRPr="006F6A93">
        <w:rPr>
          <w:rFonts w:ascii="Times New Roman" w:hAnsi="Times New Roman" w:cs="Times New Roman"/>
          <w:sz w:val="24"/>
          <w:szCs w:val="24"/>
        </w:rPr>
        <w:t xml:space="preserve">, B. </w:t>
      </w:r>
      <w:proofErr w:type="spellStart"/>
      <w:r w:rsidRPr="006F6A93">
        <w:rPr>
          <w:rFonts w:ascii="Times New Roman" w:hAnsi="Times New Roman" w:cs="Times New Roman"/>
          <w:sz w:val="24"/>
          <w:szCs w:val="24"/>
        </w:rPr>
        <w:t>Muniyal</w:t>
      </w:r>
      <w:proofErr w:type="spellEnd"/>
      <w:r w:rsidRPr="006F6A93">
        <w:rPr>
          <w:rFonts w:ascii="Times New Roman" w:hAnsi="Times New Roman" w:cs="Times New Roman"/>
          <w:sz w:val="24"/>
          <w:szCs w:val="24"/>
        </w:rPr>
        <w:t xml:space="preserve">, and N. P. Shetty, “Enhancing healthcare data integrity: Fraud detection using unsupervised learning techniques,” Int. J. </w:t>
      </w:r>
      <w:proofErr w:type="spellStart"/>
      <w:r w:rsidRPr="006F6A93">
        <w:rPr>
          <w:rFonts w:ascii="Times New Roman" w:hAnsi="Times New Roman" w:cs="Times New Roman"/>
          <w:sz w:val="24"/>
          <w:szCs w:val="24"/>
        </w:rPr>
        <w:t>Comput</w:t>
      </w:r>
      <w:proofErr w:type="spellEnd"/>
      <w:r w:rsidRPr="006F6A93">
        <w:rPr>
          <w:rFonts w:ascii="Times New Roman" w:hAnsi="Times New Roman" w:cs="Times New Roman"/>
          <w:sz w:val="24"/>
          <w:szCs w:val="24"/>
        </w:rPr>
        <w:t xml:space="preserve">. Appl., vol. 46, no. 11, pp. 1006–1019, 2024,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10.1080/1206212X.2024.2408262.</w:t>
      </w:r>
    </w:p>
    <w:p w14:paraId="00000010"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[2] H. De Meulemeester, F. De Smet, J. van Dorst, E. </w:t>
      </w:r>
      <w:proofErr w:type="spellStart"/>
      <w:r w:rsidRPr="006F6A93">
        <w:rPr>
          <w:rFonts w:ascii="Times New Roman" w:hAnsi="Times New Roman" w:cs="Times New Roman"/>
          <w:sz w:val="24"/>
          <w:szCs w:val="24"/>
        </w:rPr>
        <w:t>Derroitte</w:t>
      </w:r>
      <w:proofErr w:type="spellEnd"/>
      <w:r w:rsidRPr="006F6A93">
        <w:rPr>
          <w:rFonts w:ascii="Times New Roman" w:hAnsi="Times New Roman" w:cs="Times New Roman"/>
          <w:sz w:val="24"/>
          <w:szCs w:val="24"/>
        </w:rPr>
        <w:t xml:space="preserve">, and B. De Moor, “Explainable unsupervised anomaly detection for healthcare insurance data,” BMC Med. Inform.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Mak., vol. 25, art. 14,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10.1186/s12911-024-02823-6.</w:t>
      </w:r>
    </w:p>
    <w:p w14:paraId="00000011"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[3] A. du Preez, S. Bhattacharya, P. Beling, and E. Bowen, “Fraud detection in healthcare claims using machine learning: A systematic review,” </w:t>
      </w:r>
      <w:proofErr w:type="spellStart"/>
      <w:r w:rsidRPr="006F6A93">
        <w:rPr>
          <w:rFonts w:ascii="Times New Roman" w:hAnsi="Times New Roman" w:cs="Times New Roman"/>
          <w:sz w:val="24"/>
          <w:szCs w:val="24"/>
        </w:rPr>
        <w:t>Artif</w:t>
      </w:r>
      <w:proofErr w:type="spellEnd"/>
      <w:r w:rsidRPr="006F6A93">
        <w:rPr>
          <w:rFonts w:ascii="Times New Roman" w:hAnsi="Times New Roman" w:cs="Times New Roman"/>
          <w:sz w:val="24"/>
          <w:szCs w:val="24"/>
        </w:rPr>
        <w:t xml:space="preserve">. Intell. Med., vol. 160, art. 103061,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10.1016/j.artmed.2024.103061.</w:t>
      </w:r>
    </w:p>
    <w:p w14:paraId="00000012"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[4] G. </w:t>
      </w:r>
      <w:proofErr w:type="spellStart"/>
      <w:r w:rsidRPr="006F6A93">
        <w:rPr>
          <w:rFonts w:ascii="Times New Roman" w:hAnsi="Times New Roman" w:cs="Times New Roman"/>
          <w:sz w:val="24"/>
          <w:szCs w:val="24"/>
        </w:rPr>
        <w:t>Saldamli</w:t>
      </w:r>
      <w:proofErr w:type="spellEnd"/>
      <w:r w:rsidRPr="006F6A93">
        <w:rPr>
          <w:rFonts w:ascii="Times New Roman" w:hAnsi="Times New Roman" w:cs="Times New Roman"/>
          <w:sz w:val="24"/>
          <w:szCs w:val="24"/>
        </w:rPr>
        <w:t xml:space="preserve"> et al., “Health care insurance fraud detection using blockchain,” in Proc. 7th Int. Conf. </w:t>
      </w:r>
      <w:proofErr w:type="spellStart"/>
      <w:r w:rsidRPr="006F6A93">
        <w:rPr>
          <w:rFonts w:ascii="Times New Roman" w:hAnsi="Times New Roman" w:cs="Times New Roman"/>
          <w:sz w:val="24"/>
          <w:szCs w:val="24"/>
        </w:rPr>
        <w:t>Softw</w:t>
      </w:r>
      <w:proofErr w:type="spellEnd"/>
      <w:r w:rsidRPr="006F6A93">
        <w:rPr>
          <w:rFonts w:ascii="Times New Roman" w:hAnsi="Times New Roman" w:cs="Times New Roman"/>
          <w:sz w:val="24"/>
          <w:szCs w:val="24"/>
        </w:rPr>
        <w:t xml:space="preserve">. Defined Syst. (SDS), 2020, pp. 145–152,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10.1109/SDS49854.2020.9143900.</w:t>
      </w:r>
    </w:p>
    <w:p w14:paraId="00000013"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[5] Z. Hamid, F. Khalique, S. Mahmood, A. Daud, A. Bukhari, and B. </w:t>
      </w:r>
      <w:proofErr w:type="spellStart"/>
      <w:r w:rsidRPr="006F6A93">
        <w:rPr>
          <w:rFonts w:ascii="Times New Roman" w:hAnsi="Times New Roman" w:cs="Times New Roman"/>
          <w:sz w:val="24"/>
          <w:szCs w:val="24"/>
        </w:rPr>
        <w:t>Alshemaimri</w:t>
      </w:r>
      <w:proofErr w:type="spellEnd"/>
      <w:r w:rsidRPr="006F6A93">
        <w:rPr>
          <w:rFonts w:ascii="Times New Roman" w:hAnsi="Times New Roman" w:cs="Times New Roman"/>
          <w:sz w:val="24"/>
          <w:szCs w:val="24"/>
        </w:rPr>
        <w:t xml:space="preserve">, “Healthcare insurance fraud detection using data mining,” BMC Med. Inform.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Mak., vol. 24, art. 112, 2024,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10.1186/s12911-024-02512-4.</w:t>
      </w:r>
    </w:p>
    <w:p w14:paraId="00000014"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[6] </w:t>
      </w:r>
      <w:proofErr w:type="spellStart"/>
      <w:r w:rsidRPr="006F6A93">
        <w:rPr>
          <w:rFonts w:ascii="Times New Roman" w:hAnsi="Times New Roman" w:cs="Times New Roman"/>
          <w:sz w:val="24"/>
          <w:szCs w:val="24"/>
        </w:rPr>
        <w:t>Kanksha</w:t>
      </w:r>
      <w:proofErr w:type="spellEnd"/>
      <w:r w:rsidRPr="006F6A93">
        <w:rPr>
          <w:rFonts w:ascii="Times New Roman" w:hAnsi="Times New Roman" w:cs="Times New Roman"/>
          <w:sz w:val="24"/>
          <w:szCs w:val="24"/>
        </w:rPr>
        <w:t xml:space="preserve">, A. Bhaskar, S. Pande, R. Malik, and A. </w:t>
      </w:r>
      <w:proofErr w:type="spellStart"/>
      <w:r w:rsidRPr="006F6A93">
        <w:rPr>
          <w:rFonts w:ascii="Times New Roman" w:hAnsi="Times New Roman" w:cs="Times New Roman"/>
          <w:sz w:val="24"/>
          <w:szCs w:val="24"/>
        </w:rPr>
        <w:t>Khamparia</w:t>
      </w:r>
      <w:proofErr w:type="spellEnd"/>
      <w:r w:rsidRPr="006F6A93">
        <w:rPr>
          <w:rFonts w:ascii="Times New Roman" w:hAnsi="Times New Roman" w:cs="Times New Roman"/>
          <w:sz w:val="24"/>
          <w:szCs w:val="24"/>
        </w:rPr>
        <w:t xml:space="preserve">, “An intelligent unsupervised technique for fraud detection in health care systems,” Intell.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Technol., vol. 15, no. 1, pp. 127–139, Feb. 2021,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10.3233/IDT-200052.</w:t>
      </w:r>
    </w:p>
    <w:p w14:paraId="00000015"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[7] D. P. Katasani, “Real-time analytics: Integrating cloud-native data processing and warehousing platforms,” J. </w:t>
      </w:r>
      <w:proofErr w:type="spellStart"/>
      <w:r w:rsidRPr="006F6A93">
        <w:rPr>
          <w:rFonts w:ascii="Times New Roman" w:hAnsi="Times New Roman" w:cs="Times New Roman"/>
          <w:sz w:val="24"/>
          <w:szCs w:val="24"/>
        </w:rPr>
        <w:t>Comput</w:t>
      </w:r>
      <w:proofErr w:type="spellEnd"/>
      <w:r w:rsidRPr="006F6A93">
        <w:rPr>
          <w:rFonts w:ascii="Times New Roman" w:hAnsi="Times New Roman" w:cs="Times New Roman"/>
          <w:sz w:val="24"/>
          <w:szCs w:val="24"/>
        </w:rPr>
        <w:t xml:space="preserve">. Sci. Technol. Stud., vol. 7, no. 9, pp. 516–524,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10.32996/jcsts.2025.7.9.59.</w:t>
      </w:r>
    </w:p>
    <w:p w14:paraId="00000016"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[8] P. A. Kumar and S. </w:t>
      </w:r>
      <w:proofErr w:type="spellStart"/>
      <w:r w:rsidRPr="006F6A93">
        <w:rPr>
          <w:rFonts w:ascii="Times New Roman" w:hAnsi="Times New Roman" w:cs="Times New Roman"/>
          <w:sz w:val="24"/>
          <w:szCs w:val="24"/>
        </w:rPr>
        <w:t>Sountharrajan</w:t>
      </w:r>
      <w:proofErr w:type="spellEnd"/>
      <w:r w:rsidRPr="006F6A93">
        <w:rPr>
          <w:rFonts w:ascii="Times New Roman" w:hAnsi="Times New Roman" w:cs="Times New Roman"/>
          <w:sz w:val="24"/>
          <w:szCs w:val="24"/>
        </w:rPr>
        <w:t xml:space="preserve">, “Insurance claims estimation and fraud detection with optimized deep learning techniques,” Sci. Rep., vol. 15, art. 27296,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10.1038/s41598-025-12848-0.</w:t>
      </w:r>
    </w:p>
    <w:p w14:paraId="00000017"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lastRenderedPageBreak/>
        <w:t xml:space="preserve">[9] N. Kumaraswamy, M. K. Markey, T. Ekin, J. C. Barner, and K. Rascati, “Healthcare fraud data mining methods: A look back and look ahead,” </w:t>
      </w:r>
      <w:proofErr w:type="spellStart"/>
      <w:r w:rsidRPr="006F6A93">
        <w:rPr>
          <w:rFonts w:ascii="Times New Roman" w:hAnsi="Times New Roman" w:cs="Times New Roman"/>
          <w:sz w:val="24"/>
          <w:szCs w:val="24"/>
        </w:rPr>
        <w:t>Perspect</w:t>
      </w:r>
      <w:proofErr w:type="spellEnd"/>
      <w:r w:rsidRPr="006F6A93">
        <w:rPr>
          <w:rFonts w:ascii="Times New Roman" w:hAnsi="Times New Roman" w:cs="Times New Roman"/>
          <w:sz w:val="24"/>
          <w:szCs w:val="24"/>
        </w:rPr>
        <w:t>. Health Inf. Manag., vol. 19, no. 1, p. 1i, 2022. Available: https://perspectives.ahima.org/</w:t>
      </w:r>
    </w:p>
    <w:p w14:paraId="00000018"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[10] Q. Liu and M. A. </w:t>
      </w:r>
      <w:proofErr w:type="spellStart"/>
      <w:r w:rsidRPr="006F6A93">
        <w:rPr>
          <w:rFonts w:ascii="Times New Roman" w:hAnsi="Times New Roman" w:cs="Times New Roman"/>
          <w:sz w:val="24"/>
          <w:szCs w:val="24"/>
        </w:rPr>
        <w:t>Vasarhelyi</w:t>
      </w:r>
      <w:proofErr w:type="spellEnd"/>
      <w:r w:rsidRPr="006F6A93">
        <w:rPr>
          <w:rFonts w:ascii="Times New Roman" w:hAnsi="Times New Roman" w:cs="Times New Roman"/>
          <w:sz w:val="24"/>
          <w:szCs w:val="24"/>
        </w:rPr>
        <w:t>, “Healthcare fraud detection: A survey and a clustering model incorporating geo-location information,” in Proc. 29th World Continuous Auditing and Reporting Symp. (WCARS), Brisbane, Australia, Nov. 21–22, 2013.</w:t>
      </w:r>
    </w:p>
    <w:p w14:paraId="0000001A" w14:textId="2486E642"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[11] R. Maddali, “Machine learning for SQL-based anomaly detection and fraud analytics in financial data,” Int. J. Res. Leading Publ., vol. 2, no. 10, pp. 1–11, Oct. 2021. Available: https://www.ijlrp.com/</w:t>
      </w:r>
    </w:p>
    <w:p w14:paraId="0000001B"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[12] I. Matloob, S. A. Khan, and H. U. Rahman, “Sequence mining and prediction-based healthcare fraud detection methodology,” IEEE Access, vol. 8, pp. 143256–143273, 2020,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10.1109/ACCESS.2020.3013962.</w:t>
      </w:r>
    </w:p>
    <w:p w14:paraId="0000001C"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[13] E. </w:t>
      </w:r>
      <w:proofErr w:type="spellStart"/>
      <w:r w:rsidRPr="006F6A93">
        <w:rPr>
          <w:rFonts w:ascii="Times New Roman" w:hAnsi="Times New Roman" w:cs="Times New Roman"/>
          <w:sz w:val="24"/>
          <w:szCs w:val="24"/>
        </w:rPr>
        <w:t>Nabrawi</w:t>
      </w:r>
      <w:proofErr w:type="spellEnd"/>
      <w:r w:rsidRPr="006F6A93">
        <w:rPr>
          <w:rFonts w:ascii="Times New Roman" w:hAnsi="Times New Roman" w:cs="Times New Roman"/>
          <w:sz w:val="24"/>
          <w:szCs w:val="24"/>
        </w:rPr>
        <w:t xml:space="preserve"> and A. Alanazi, “Fraud detection in healthcare insurance claims using machine learning,” Risks, vol. 11, no. 9, art. 160, 2023,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10.3390/risks11090160.</w:t>
      </w:r>
    </w:p>
    <w:p w14:paraId="0000001D"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[14] K. Razzaq and M. Shah, “Next-generation machine learning in healthcare fraud detection: Current trends, challenges, and future research directions,” Information, vol. 16, no. 9, art. 730,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10.3390/info16090730.</w:t>
      </w:r>
    </w:p>
    <w:p w14:paraId="0000001E"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[15] L. </w:t>
      </w:r>
      <w:proofErr w:type="spellStart"/>
      <w:r w:rsidRPr="006F6A93">
        <w:rPr>
          <w:rFonts w:ascii="Times New Roman" w:hAnsi="Times New Roman" w:cs="Times New Roman"/>
          <w:sz w:val="24"/>
          <w:szCs w:val="24"/>
        </w:rPr>
        <w:t>Settipalli</w:t>
      </w:r>
      <w:proofErr w:type="spellEnd"/>
      <w:r w:rsidRPr="006F6A93">
        <w:rPr>
          <w:rFonts w:ascii="Times New Roman" w:hAnsi="Times New Roman" w:cs="Times New Roman"/>
          <w:sz w:val="24"/>
          <w:szCs w:val="24"/>
        </w:rPr>
        <w:t xml:space="preserve"> and G. R. Gangadharan, “WMTDBC: An unsupervised multivariate analysis model for fraud detection in health insurance claims,” Expert Syst. Appl., vol. 215, art. 119259, 2023,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10.1016/j.eswa.2022.119259.</w:t>
      </w:r>
    </w:p>
    <w:p w14:paraId="0000001F"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[16] P. S. </w:t>
      </w:r>
      <w:proofErr w:type="spellStart"/>
      <w:r w:rsidRPr="006F6A93">
        <w:rPr>
          <w:rFonts w:ascii="Times New Roman" w:hAnsi="Times New Roman" w:cs="Times New Roman"/>
          <w:sz w:val="24"/>
          <w:szCs w:val="24"/>
        </w:rPr>
        <w:t>Shungube</w:t>
      </w:r>
      <w:proofErr w:type="spellEnd"/>
      <w:r w:rsidRPr="006F6A93">
        <w:rPr>
          <w:rFonts w:ascii="Times New Roman" w:hAnsi="Times New Roman" w:cs="Times New Roman"/>
          <w:sz w:val="24"/>
          <w:szCs w:val="24"/>
        </w:rPr>
        <w:t xml:space="preserve">, T. </w:t>
      </w:r>
      <w:proofErr w:type="spellStart"/>
      <w:r w:rsidRPr="006F6A93">
        <w:rPr>
          <w:rFonts w:ascii="Times New Roman" w:hAnsi="Times New Roman" w:cs="Times New Roman"/>
          <w:sz w:val="24"/>
          <w:szCs w:val="24"/>
        </w:rPr>
        <w:t>Bokaba</w:t>
      </w:r>
      <w:proofErr w:type="spellEnd"/>
      <w:r w:rsidRPr="006F6A93">
        <w:rPr>
          <w:rFonts w:ascii="Times New Roman" w:hAnsi="Times New Roman" w:cs="Times New Roman"/>
          <w:sz w:val="24"/>
          <w:szCs w:val="24"/>
        </w:rPr>
        <w:t xml:space="preserve">, P. </w:t>
      </w:r>
      <w:proofErr w:type="spellStart"/>
      <w:r w:rsidRPr="006F6A93">
        <w:rPr>
          <w:rFonts w:ascii="Times New Roman" w:hAnsi="Times New Roman" w:cs="Times New Roman"/>
          <w:sz w:val="24"/>
          <w:szCs w:val="24"/>
        </w:rPr>
        <w:t>Ndayizigamiye</w:t>
      </w:r>
      <w:proofErr w:type="spellEnd"/>
      <w:r w:rsidRPr="006F6A93">
        <w:rPr>
          <w:rFonts w:ascii="Times New Roman" w:hAnsi="Times New Roman" w:cs="Times New Roman"/>
          <w:sz w:val="24"/>
          <w:szCs w:val="24"/>
        </w:rPr>
        <w:t xml:space="preserve">, S. Mhlongo, and E. </w:t>
      </w:r>
      <w:proofErr w:type="spellStart"/>
      <w:r w:rsidRPr="006F6A93">
        <w:rPr>
          <w:rFonts w:ascii="Times New Roman" w:hAnsi="Times New Roman" w:cs="Times New Roman"/>
          <w:sz w:val="24"/>
          <w:szCs w:val="24"/>
        </w:rPr>
        <w:t>Dogo</w:t>
      </w:r>
      <w:proofErr w:type="spellEnd"/>
      <w:r w:rsidRPr="006F6A93">
        <w:rPr>
          <w:rFonts w:ascii="Times New Roman" w:hAnsi="Times New Roman" w:cs="Times New Roman"/>
          <w:sz w:val="24"/>
          <w:szCs w:val="24"/>
        </w:rPr>
        <w:t xml:space="preserve">, “A deep learning approach for healthcare insurance fraud detection,” Research Square preprint, Dec. 2024,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10.21203/rs.3.rs-5453482/v1.</w:t>
      </w:r>
    </w:p>
    <w:p w14:paraId="00000020"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[17] A. Y. B. R. </w:t>
      </w:r>
      <w:proofErr w:type="spellStart"/>
      <w:r w:rsidRPr="006F6A93">
        <w:rPr>
          <w:rFonts w:ascii="Times New Roman" w:hAnsi="Times New Roman" w:cs="Times New Roman"/>
          <w:sz w:val="24"/>
          <w:szCs w:val="24"/>
        </w:rPr>
        <w:t>Thaifur</w:t>
      </w:r>
      <w:proofErr w:type="spellEnd"/>
      <w:r w:rsidRPr="006F6A93">
        <w:rPr>
          <w:rFonts w:ascii="Times New Roman" w:hAnsi="Times New Roman" w:cs="Times New Roman"/>
          <w:sz w:val="24"/>
          <w:szCs w:val="24"/>
        </w:rPr>
        <w:t xml:space="preserve">, M. A. Maidin, A. I. </w:t>
      </w:r>
      <w:proofErr w:type="spellStart"/>
      <w:r w:rsidRPr="006F6A93">
        <w:rPr>
          <w:rFonts w:ascii="Times New Roman" w:hAnsi="Times New Roman" w:cs="Times New Roman"/>
          <w:sz w:val="24"/>
          <w:szCs w:val="24"/>
        </w:rPr>
        <w:t>Sidin</w:t>
      </w:r>
      <w:proofErr w:type="spellEnd"/>
      <w:r w:rsidRPr="006F6A93">
        <w:rPr>
          <w:rFonts w:ascii="Times New Roman" w:hAnsi="Times New Roman" w:cs="Times New Roman"/>
          <w:sz w:val="24"/>
          <w:szCs w:val="24"/>
        </w:rPr>
        <w:t xml:space="preserve">, and A. Razak, “How to detect healthcare fraud? A systematic review,” Gac. Sanit., vol. 35, suppl. 2, pp. 441–449, 2021,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10.1016/j.gaceta.2021.07.022.</w:t>
      </w:r>
    </w:p>
    <w:p w14:paraId="00000021"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lastRenderedPageBreak/>
        <w:t xml:space="preserve">[18] T. S. </w:t>
      </w:r>
      <w:proofErr w:type="spellStart"/>
      <w:r w:rsidRPr="006F6A93">
        <w:rPr>
          <w:rFonts w:ascii="Times New Roman" w:hAnsi="Times New Roman" w:cs="Times New Roman"/>
          <w:sz w:val="24"/>
          <w:szCs w:val="24"/>
        </w:rPr>
        <w:t>Yange</w:t>
      </w:r>
      <w:proofErr w:type="spellEnd"/>
      <w:r w:rsidRPr="006F6A93">
        <w:rPr>
          <w:rFonts w:ascii="Times New Roman" w:hAnsi="Times New Roman" w:cs="Times New Roman"/>
          <w:sz w:val="24"/>
          <w:szCs w:val="24"/>
        </w:rPr>
        <w:t xml:space="preserve">, O. </w:t>
      </w:r>
      <w:proofErr w:type="spellStart"/>
      <w:r w:rsidRPr="006F6A93">
        <w:rPr>
          <w:rFonts w:ascii="Times New Roman" w:hAnsi="Times New Roman" w:cs="Times New Roman"/>
          <w:sz w:val="24"/>
          <w:szCs w:val="24"/>
        </w:rPr>
        <w:t>Onyekware</w:t>
      </w:r>
      <w:proofErr w:type="spellEnd"/>
      <w:r w:rsidRPr="006F6A93">
        <w:rPr>
          <w:rFonts w:ascii="Times New Roman" w:hAnsi="Times New Roman" w:cs="Times New Roman"/>
          <w:sz w:val="24"/>
          <w:szCs w:val="24"/>
        </w:rPr>
        <w:t xml:space="preserve">, and H. A. </w:t>
      </w:r>
      <w:proofErr w:type="spellStart"/>
      <w:r w:rsidRPr="006F6A93">
        <w:rPr>
          <w:rFonts w:ascii="Times New Roman" w:hAnsi="Times New Roman" w:cs="Times New Roman"/>
          <w:sz w:val="24"/>
          <w:szCs w:val="24"/>
        </w:rPr>
        <w:t>Soriyan</w:t>
      </w:r>
      <w:proofErr w:type="spellEnd"/>
      <w:r w:rsidRPr="006F6A93">
        <w:rPr>
          <w:rFonts w:ascii="Times New Roman" w:hAnsi="Times New Roman" w:cs="Times New Roman"/>
          <w:sz w:val="24"/>
          <w:szCs w:val="24"/>
        </w:rPr>
        <w:t xml:space="preserve">, “A fraud detection system for health insurance in Nigeria,” J. Health Inform. Afr., vol. 6, no. 2, pp. 64–73, Feb. 2020,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10.12856/JHIA-2019-v6-i2-256.</w:t>
      </w:r>
    </w:p>
    <w:p w14:paraId="00000022"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[19] M. C. Massi, F. Ieva, and E. Lettieri, “Data mining application to healthcare fraud detection: A two-step unsupervised clustering method for outlier detection with administrative databases,” BMC Med. Inform.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Mak., vol. 20, art. 160, 2020,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10.1186/s12911-020-01143-9.</w:t>
      </w:r>
    </w:p>
    <w:p w14:paraId="00000025" w14:textId="51FFA9AB" w:rsidR="00003EE0" w:rsidRPr="006F6A93" w:rsidRDefault="00000000" w:rsidP="00525A33">
      <w:pPr>
        <w:spacing w:before="240" w:after="240" w:line="360" w:lineRule="auto"/>
        <w:rPr>
          <w:rFonts w:ascii="Times New Roman" w:eastAsia="Times New Roman" w:hAnsi="Times New Roman" w:cs="Times New Roman"/>
          <w:b/>
          <w:bCs/>
          <w:sz w:val="28"/>
          <w:szCs w:val="28"/>
        </w:rPr>
      </w:pPr>
      <w:r w:rsidRPr="006F6A93">
        <w:rPr>
          <w:rFonts w:ascii="Times New Roman" w:hAnsi="Times New Roman" w:cs="Times New Roman"/>
          <w:sz w:val="24"/>
          <w:szCs w:val="24"/>
        </w:rPr>
        <w:t xml:space="preserve">[20] S. S. </w:t>
      </w:r>
      <w:proofErr w:type="spellStart"/>
      <w:r w:rsidRPr="006F6A93">
        <w:rPr>
          <w:rFonts w:ascii="Times New Roman" w:hAnsi="Times New Roman" w:cs="Times New Roman"/>
          <w:sz w:val="24"/>
          <w:szCs w:val="24"/>
        </w:rPr>
        <w:t>Waghade</w:t>
      </w:r>
      <w:proofErr w:type="spellEnd"/>
      <w:r w:rsidRPr="006F6A93">
        <w:rPr>
          <w:rFonts w:ascii="Times New Roman" w:hAnsi="Times New Roman" w:cs="Times New Roman"/>
          <w:sz w:val="24"/>
          <w:szCs w:val="24"/>
        </w:rPr>
        <w:t xml:space="preserve"> and A. M. Karandikar, “A comprehensive study of healthcare fraud detection based on machine learning,” Int. J. Appl. Eng. Res., vol. 13, no. 6, pp. 4175–4178, 2018.</w:t>
      </w:r>
    </w:p>
    <w:p w14:paraId="00000026" w14:textId="77777777" w:rsidR="00003EE0" w:rsidRPr="006F6A93" w:rsidRDefault="00003EE0">
      <w:pPr>
        <w:rPr>
          <w:rFonts w:ascii="Times New Roman" w:eastAsia="Times New Roman" w:hAnsi="Times New Roman" w:cs="Times New Roman"/>
          <w:sz w:val="28"/>
          <w:szCs w:val="28"/>
        </w:rPr>
      </w:pPr>
    </w:p>
    <w:sectPr w:rsidR="00003EE0" w:rsidRPr="006F6A9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1E945" w14:textId="77777777" w:rsidR="00144B56" w:rsidRDefault="00144B56" w:rsidP="00FF07ED">
      <w:pPr>
        <w:spacing w:line="240" w:lineRule="auto"/>
      </w:pPr>
      <w:r>
        <w:separator/>
      </w:r>
    </w:p>
  </w:endnote>
  <w:endnote w:type="continuationSeparator" w:id="0">
    <w:p w14:paraId="3A15F60C" w14:textId="77777777" w:rsidR="00144B56" w:rsidRDefault="00144B56"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7A43DA1-2323-40AA-B0C4-251C95A526A9}"/>
    <w:embedBold r:id="rId2" w:fontKey="{10CED94B-9A8E-480B-9B08-99B74D790D62}"/>
  </w:font>
  <w:font w:name="Calibri">
    <w:panose1 w:val="020F0502020204030204"/>
    <w:charset w:val="00"/>
    <w:family w:val="swiss"/>
    <w:pitch w:val="variable"/>
    <w:sig w:usb0="E4002EFF" w:usb1="C200247B" w:usb2="00000009" w:usb3="00000000" w:csb0="000001FF" w:csb1="00000000"/>
    <w:embedRegular r:id="rId3" w:fontKey="{9B07E17D-C611-4E32-9433-440C7A83FCF9}"/>
    <w:embedBold r:id="rId4" w:fontKey="{D47DA753-135D-4AFB-AFB3-9E8002E2FDE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2094B" w14:textId="77777777" w:rsidR="00144B56" w:rsidRDefault="00144B56" w:rsidP="00FF07ED">
      <w:pPr>
        <w:spacing w:line="240" w:lineRule="auto"/>
      </w:pPr>
      <w:r>
        <w:separator/>
      </w:r>
    </w:p>
  </w:footnote>
  <w:footnote w:type="continuationSeparator" w:id="0">
    <w:p w14:paraId="58E92126" w14:textId="77777777" w:rsidR="00144B56" w:rsidRDefault="00144B56" w:rsidP="00FF07E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3EE0"/>
    <w:rsid w:val="00030CF4"/>
    <w:rsid w:val="00031A6B"/>
    <w:rsid w:val="000A78E8"/>
    <w:rsid w:val="000C490C"/>
    <w:rsid w:val="0012442C"/>
    <w:rsid w:val="00144B56"/>
    <w:rsid w:val="00147157"/>
    <w:rsid w:val="00190042"/>
    <w:rsid w:val="001B78DE"/>
    <w:rsid w:val="0024172A"/>
    <w:rsid w:val="00266567"/>
    <w:rsid w:val="002C5D5E"/>
    <w:rsid w:val="004006B0"/>
    <w:rsid w:val="004100F3"/>
    <w:rsid w:val="00466C06"/>
    <w:rsid w:val="00475B94"/>
    <w:rsid w:val="004907CD"/>
    <w:rsid w:val="004A2F83"/>
    <w:rsid w:val="004B78FD"/>
    <w:rsid w:val="0050313E"/>
    <w:rsid w:val="00525A33"/>
    <w:rsid w:val="00562CA6"/>
    <w:rsid w:val="005A48BF"/>
    <w:rsid w:val="005E738C"/>
    <w:rsid w:val="005F68C8"/>
    <w:rsid w:val="00666B08"/>
    <w:rsid w:val="00666EAD"/>
    <w:rsid w:val="006F6A93"/>
    <w:rsid w:val="00714167"/>
    <w:rsid w:val="0075103F"/>
    <w:rsid w:val="00752513"/>
    <w:rsid w:val="007B4152"/>
    <w:rsid w:val="007C33BC"/>
    <w:rsid w:val="007D0706"/>
    <w:rsid w:val="008153EB"/>
    <w:rsid w:val="00895AAA"/>
    <w:rsid w:val="008F4673"/>
    <w:rsid w:val="00921C4E"/>
    <w:rsid w:val="0092230A"/>
    <w:rsid w:val="00980E92"/>
    <w:rsid w:val="0099226F"/>
    <w:rsid w:val="009B407B"/>
    <w:rsid w:val="009E36B0"/>
    <w:rsid w:val="00A21936"/>
    <w:rsid w:val="00A2675E"/>
    <w:rsid w:val="00A41183"/>
    <w:rsid w:val="00A5133A"/>
    <w:rsid w:val="00A719C0"/>
    <w:rsid w:val="00AB3535"/>
    <w:rsid w:val="00B134E6"/>
    <w:rsid w:val="00B40840"/>
    <w:rsid w:val="00BC62F8"/>
    <w:rsid w:val="00C44040"/>
    <w:rsid w:val="00C44501"/>
    <w:rsid w:val="00CA7F4D"/>
    <w:rsid w:val="00CC62F9"/>
    <w:rsid w:val="00CF48EC"/>
    <w:rsid w:val="00D06341"/>
    <w:rsid w:val="00D83B35"/>
    <w:rsid w:val="00D87CE6"/>
    <w:rsid w:val="00DA3B76"/>
    <w:rsid w:val="00DC1E75"/>
    <w:rsid w:val="00E91925"/>
    <w:rsid w:val="00EB01E0"/>
    <w:rsid w:val="00EB6B67"/>
    <w:rsid w:val="00F43E4E"/>
    <w:rsid w:val="00F60ECE"/>
    <w:rsid w:val="00F7593F"/>
    <w:rsid w:val="00FF0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D2AC1"/>
  <w15:docId w15:val="{BA3802A0-2B9B-4477-AC94-A1767750D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ulugbekabdurakhmonov.tennis@gmail.com"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zayed.md.uddin273@gmail.com"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mailto:srajeev@coppin.edu"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ishkatfamily@gmail.com" TargetMode="Externa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6028</TotalTime>
  <Pages>22</Pages>
  <Words>5882</Words>
  <Characters>36942</Characters>
  <Application>Microsoft Office Word</Application>
  <DocSecurity>0</DocSecurity>
  <Lines>1026</Lines>
  <Paragraphs>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Uddin, Zayed Mohammed - (STUDENT)</cp:lastModifiedBy>
  <cp:revision>23</cp:revision>
  <dcterms:created xsi:type="dcterms:W3CDTF">2025-11-27T19:07:00Z</dcterms:created>
  <dcterms:modified xsi:type="dcterms:W3CDTF">2025-12-09T18:29:00Z</dcterms:modified>
</cp:coreProperties>
</file>