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03EE0"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Scalable Medicare Claims Fraud Detection Using SQL-Based Feature Engineering and Machine Learning</w:t>
      </w:r>
    </w:p>
    <w:p w14:paraId="00000002" w14:textId="77777777" w:rsidR="00003EE0"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Zayed M. Uddin</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Ulugbek Abdurakhmonov</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Abu Bakar Siddik Mishkat</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Sarika Rajeev</w:t>
      </w: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w:t>
      </w:r>
    </w:p>
    <w:p w14:paraId="00000003" w14:textId="77777777" w:rsidR="00003EE0" w:rsidRDefault="00003EE0">
      <w:pPr>
        <w:rPr>
          <w:rFonts w:ascii="Times New Roman" w:eastAsia="Times New Roman" w:hAnsi="Times New Roman" w:cs="Times New Roman"/>
          <w:sz w:val="24"/>
          <w:szCs w:val="24"/>
        </w:rPr>
      </w:pPr>
    </w:p>
    <w:p w14:paraId="00000004" w14:textId="77777777" w:rsidR="00003EE0" w:rsidRDefault="00000000">
      <w:pPr>
        <w:spacing w:line="36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Department of Mathematics and Computer Science, School of Arts &amp; Sciences, CSU—Coppin State University, Baltimore, MD 21216, USA; Email: </w:t>
      </w:r>
      <w:hyperlink r:id="rId7">
        <w:r w:rsidR="00003EE0">
          <w:rPr>
            <w:rFonts w:ascii="Times New Roman" w:eastAsia="Times New Roman" w:hAnsi="Times New Roman" w:cs="Times New Roman"/>
            <w:color w:val="1155CC"/>
            <w:sz w:val="24"/>
            <w:szCs w:val="24"/>
            <w:u w:val="single"/>
          </w:rPr>
          <w:t>zayed.md.uddin273@gmail.com</w:t>
        </w:r>
      </w:hyperlink>
    </w:p>
    <w:p w14:paraId="00000005" w14:textId="77777777" w:rsidR="00003EE0" w:rsidRDefault="00000000">
      <w:pPr>
        <w:spacing w:line="36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Department of Mathematics and Computer Science, School of Arts &amp; Sciences, CSU—Coppin State University, Baltimore, MD 21216, USA; Email: </w:t>
      </w:r>
      <w:hyperlink r:id="rId8">
        <w:r w:rsidR="00003EE0">
          <w:rPr>
            <w:rFonts w:ascii="Times New Roman" w:eastAsia="Times New Roman" w:hAnsi="Times New Roman" w:cs="Times New Roman"/>
            <w:color w:val="1155CC"/>
            <w:sz w:val="24"/>
            <w:szCs w:val="24"/>
            <w:u w:val="single"/>
          </w:rPr>
          <w:t>ulugbekabdurakhmonov.tennis@gmail.com</w:t>
        </w:r>
      </w:hyperlink>
    </w:p>
    <w:p w14:paraId="00000006" w14:textId="77777777" w:rsidR="00003EE0" w:rsidRDefault="00000000">
      <w:pPr>
        <w:spacing w:line="360" w:lineRule="auto"/>
      </w:pP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Department of Mathematics and Computer Science, School of Arts &amp; Sciences, CSU—Coppin State University, Baltimore, MD 21216, USA; Email: </w:t>
      </w:r>
      <w:hyperlink r:id="rId9">
        <w:r w:rsidR="00003EE0">
          <w:rPr>
            <w:rFonts w:ascii="Times New Roman" w:eastAsia="Times New Roman" w:hAnsi="Times New Roman" w:cs="Times New Roman"/>
            <w:color w:val="1155CC"/>
            <w:sz w:val="24"/>
            <w:szCs w:val="24"/>
            <w:u w:val="single"/>
          </w:rPr>
          <w:t>mishkatfamily@gmail.com</w:t>
        </w:r>
      </w:hyperlink>
    </w:p>
    <w:p w14:paraId="00000007" w14:textId="13F2F92B" w:rsidR="00003EE0" w:rsidRDefault="006F6A93">
      <w:pPr>
        <w:spacing w:line="36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Department of Mathematics and Computer Science, School of Arts &amp; Sciences, CSU—Coppin State University, Baltimore, MD 21216, USA; Email: </w:t>
      </w:r>
      <w:hyperlink r:id="rId10" w:history="1">
        <w:r w:rsidRPr="00317440">
          <w:rPr>
            <w:rStyle w:val="Hyperlink"/>
            <w:rFonts w:ascii="Times New Roman" w:eastAsia="Times New Roman" w:hAnsi="Times New Roman" w:cs="Times New Roman"/>
            <w:sz w:val="24"/>
            <w:szCs w:val="24"/>
          </w:rPr>
          <w:t>srajeev@coppin.edu</w:t>
        </w:r>
      </w:hyperlink>
    </w:p>
    <w:p w14:paraId="00000008" w14:textId="2E2A3862" w:rsidR="00003EE0" w:rsidRDefault="00000000" w:rsidP="00031A6B">
      <w:pPr>
        <w:pStyle w:val="Heading1"/>
        <w:rPr>
          <w:rFonts w:ascii="Times New Roman" w:hAnsi="Times New Roman" w:cs="Times New Roman"/>
          <w:b/>
          <w:bCs/>
          <w:sz w:val="28"/>
          <w:szCs w:val="28"/>
        </w:rPr>
      </w:pPr>
      <w:r w:rsidRPr="00666B08">
        <w:rPr>
          <w:rFonts w:ascii="Times New Roman" w:hAnsi="Times New Roman" w:cs="Times New Roman"/>
          <w:b/>
          <w:bCs/>
          <w:sz w:val="28"/>
          <w:szCs w:val="28"/>
        </w:rPr>
        <w:t>1. Abstract</w:t>
      </w:r>
    </w:p>
    <w:p w14:paraId="1005E1FB" w14:textId="77777777" w:rsidR="00C44501" w:rsidRPr="00C44501" w:rsidRDefault="00C44501" w:rsidP="00C44501">
      <w:pPr>
        <w:spacing w:after="240" w:line="360" w:lineRule="auto"/>
        <w:rPr>
          <w:rFonts w:ascii="Times New Roman" w:hAnsi="Times New Roman" w:cs="Times New Roman"/>
          <w:sz w:val="24"/>
          <w:szCs w:val="24"/>
          <w:lang w:val="en-US"/>
        </w:rPr>
      </w:pPr>
      <w:r w:rsidRPr="00C44501">
        <w:rPr>
          <w:rFonts w:ascii="Times New Roman" w:hAnsi="Times New Roman" w:cs="Times New Roman"/>
          <w:sz w:val="24"/>
          <w:szCs w:val="24"/>
          <w:lang w:val="en-US"/>
        </w:rPr>
        <w:t>Healthcare fraud in large public insurance programs such as Medicare leads to substantial financial losses and undermines trust in the health system. Detecting fraud at scale is challenging because claims data are high-dimensional, heterogeneous, and highly imbalanced, with confirmed fraud representing only a small fraction of all activity. This paper presents an end-to-end fraud analytics pipeline on a Medicare-like claims dataset that integrates SQL-based feature engineering, unsupervised pattern discovery on fraud-only claims, supervised provider-level classification, and clustering of high-risk providers into fraud-type groups.</w:t>
      </w:r>
    </w:p>
    <w:p w14:paraId="4CBB2530" w14:textId="77777777" w:rsidR="00C44501" w:rsidRPr="00C44501" w:rsidRDefault="00C44501" w:rsidP="00C44501">
      <w:pPr>
        <w:spacing w:after="240" w:line="360" w:lineRule="auto"/>
        <w:rPr>
          <w:rFonts w:ascii="Times New Roman" w:hAnsi="Times New Roman" w:cs="Times New Roman"/>
          <w:sz w:val="24"/>
          <w:szCs w:val="24"/>
          <w:lang w:val="en-US"/>
        </w:rPr>
      </w:pPr>
      <w:r w:rsidRPr="00C44501">
        <w:rPr>
          <w:rFonts w:ascii="Times New Roman" w:hAnsi="Times New Roman" w:cs="Times New Roman"/>
          <w:sz w:val="24"/>
          <w:szCs w:val="24"/>
          <w:lang w:val="en-US"/>
        </w:rPr>
        <w:t>We first construct a relational feature store in PostgreSQL that ingests raw inpatient, outpatient, beneficiary, and provider tables, performs systematic cleaning and typing, and produces reusable claim- and provider-level feature tables. These include temporal aggregates of claims and reimbursement, counts of unique beneficiaries, peer-normalized reimbursement and length-of-stay z-scores, and interpretable rule-based indicators for duplicate billing, potential upcoding, and overcharging. Using these features, we perform exploratory analysis to understand distributions, outliers, and correlations, and select a compact set of provider-level variables for modelling.</w:t>
      </w:r>
    </w:p>
    <w:p w14:paraId="428E7575" w14:textId="77777777" w:rsidR="00C44501" w:rsidRPr="00C44501" w:rsidRDefault="00C44501" w:rsidP="00C44501">
      <w:pPr>
        <w:spacing w:after="240" w:line="360" w:lineRule="auto"/>
        <w:rPr>
          <w:rFonts w:ascii="Times New Roman" w:hAnsi="Times New Roman" w:cs="Times New Roman"/>
          <w:sz w:val="24"/>
          <w:szCs w:val="24"/>
          <w:lang w:val="en-US"/>
        </w:rPr>
      </w:pPr>
      <w:r w:rsidRPr="00C44501">
        <w:rPr>
          <w:rFonts w:ascii="Times New Roman" w:hAnsi="Times New Roman" w:cs="Times New Roman"/>
          <w:sz w:val="24"/>
          <w:szCs w:val="24"/>
          <w:lang w:val="en-US"/>
        </w:rPr>
        <w:lastRenderedPageBreak/>
        <w:t>At the claim level, we restrict attention to claims submitted by labeled fraudulent providers and apply the HDBSCAN clustering algorithm to standardized inpatient and outpatient fraud-only features. Principal component analysis visualizations and association rule mining on diagnosis–procedure combinations reveal heterogeneous clusters of fraudulent claims, including high-payment long-stay inpatient episodes and high-volume outpatient patterns with repeated code combinations and overcharge flags.</w:t>
      </w:r>
    </w:p>
    <w:p w14:paraId="6E3CED3B" w14:textId="77777777" w:rsidR="00C44501" w:rsidRPr="00C44501" w:rsidRDefault="00C44501" w:rsidP="00C44501">
      <w:pPr>
        <w:spacing w:after="240" w:line="360" w:lineRule="auto"/>
        <w:rPr>
          <w:rFonts w:ascii="Times New Roman" w:hAnsi="Times New Roman" w:cs="Times New Roman"/>
          <w:sz w:val="24"/>
          <w:szCs w:val="24"/>
          <w:lang w:val="en-US"/>
        </w:rPr>
      </w:pPr>
      <w:r w:rsidRPr="00C44501">
        <w:rPr>
          <w:rFonts w:ascii="Times New Roman" w:hAnsi="Times New Roman" w:cs="Times New Roman"/>
          <w:sz w:val="24"/>
          <w:szCs w:val="24"/>
          <w:lang w:val="en-US"/>
        </w:rPr>
        <w:t xml:space="preserve">At the provider level, we train and compare several supervised models to predict fraud status, including logistic regression with elastic-net regularization, tree ensembles, gradient boosting methods, </w:t>
      </w:r>
      <w:proofErr w:type="spellStart"/>
      <w:r w:rsidRPr="00C44501">
        <w:rPr>
          <w:rFonts w:ascii="Times New Roman" w:hAnsi="Times New Roman" w:cs="Times New Roman"/>
          <w:sz w:val="24"/>
          <w:szCs w:val="24"/>
          <w:lang w:val="en-US"/>
        </w:rPr>
        <w:t>CatBoost</w:t>
      </w:r>
      <w:proofErr w:type="spellEnd"/>
      <w:r w:rsidRPr="00C44501">
        <w:rPr>
          <w:rFonts w:ascii="Times New Roman" w:hAnsi="Times New Roman" w:cs="Times New Roman"/>
          <w:sz w:val="24"/>
          <w:szCs w:val="24"/>
          <w:lang w:val="en-US"/>
        </w:rPr>
        <w:t>, and a multilayer perceptron. On a stratified 30% hold-out set of labeled providers, all models achieve high ROC-AUC (≈0.93), and a well-regularized logistic regression model achieves the best balance of precision and recall, with a PR-AUC around 0.71 and an F1-score in the mid-0.60s after threshold tuning. We apply this model to unlabeled test providers to obtain fraud risk scores, then form a high-risk provider universe by combining labeled fraudulent providers with high-scoring test providers. HDBSCAN clustering on standardized provider features identifies several fraud-type clusters—such as high-revenue inpatient overchargers, moderate-volume inpatient outliers, and high-volume outpatient overbillers—alongside a diffuse noise set.</w:t>
      </w:r>
    </w:p>
    <w:p w14:paraId="309EED85" w14:textId="270B8689" w:rsidR="00C44501" w:rsidRPr="00C44501" w:rsidRDefault="00C44501" w:rsidP="00C44501">
      <w:pPr>
        <w:spacing w:after="240" w:line="360" w:lineRule="auto"/>
        <w:rPr>
          <w:rFonts w:ascii="Times New Roman" w:hAnsi="Times New Roman" w:cs="Times New Roman"/>
          <w:sz w:val="24"/>
          <w:szCs w:val="24"/>
          <w:lang w:val="en-US"/>
        </w:rPr>
      </w:pPr>
      <w:r w:rsidRPr="00C44501">
        <w:rPr>
          <w:rFonts w:ascii="Times New Roman" w:hAnsi="Times New Roman" w:cs="Times New Roman"/>
          <w:sz w:val="24"/>
          <w:szCs w:val="24"/>
          <w:lang w:val="en-US"/>
        </w:rPr>
        <w:t>Overall, the proposed pipeline shows that a combination of carefully engineered features, interpretable linear models, and targeted unsupervised analyses can deliver competitive provider-level fraud detection performance while also producing actionable fraud-type characterizations that may support human investigation and policy decisions.</w:t>
      </w:r>
    </w:p>
    <w:p w14:paraId="00000009" w14:textId="34F82357" w:rsidR="00003EE0" w:rsidRPr="00666B08" w:rsidRDefault="00000000" w:rsidP="00F60ECE">
      <w:pPr>
        <w:pStyle w:val="Heading1"/>
        <w:spacing w:after="240"/>
        <w:rPr>
          <w:rFonts w:ascii="Times New Roman" w:hAnsi="Times New Roman" w:cs="Times New Roman"/>
          <w:b/>
          <w:bCs/>
          <w:sz w:val="28"/>
          <w:szCs w:val="28"/>
        </w:rPr>
      </w:pPr>
      <w:r w:rsidRPr="00666B08">
        <w:rPr>
          <w:rFonts w:ascii="Times New Roman" w:hAnsi="Times New Roman" w:cs="Times New Roman"/>
          <w:b/>
          <w:bCs/>
          <w:sz w:val="28"/>
          <w:szCs w:val="28"/>
        </w:rPr>
        <w:t>2. Introduction</w:t>
      </w:r>
    </w:p>
    <w:p w14:paraId="2F4A6A4E" w14:textId="77777777" w:rsidR="00752513" w:rsidRPr="00752513" w:rsidRDefault="00752513" w:rsidP="00F60ECE">
      <w:pPr>
        <w:spacing w:line="360" w:lineRule="auto"/>
        <w:rPr>
          <w:rFonts w:ascii="Times New Roman" w:hAnsi="Times New Roman" w:cs="Times New Roman"/>
          <w:b/>
          <w:bCs/>
          <w:i/>
          <w:iCs/>
          <w:sz w:val="24"/>
          <w:szCs w:val="24"/>
          <w:lang w:val="en-US"/>
        </w:rPr>
      </w:pPr>
      <w:r w:rsidRPr="00752513">
        <w:rPr>
          <w:rFonts w:ascii="Times New Roman" w:hAnsi="Times New Roman" w:cs="Times New Roman"/>
          <w:b/>
          <w:bCs/>
          <w:i/>
          <w:iCs/>
          <w:sz w:val="24"/>
          <w:szCs w:val="24"/>
          <w:lang w:val="en-US"/>
        </w:rPr>
        <w:t>2.1 Background and motivation</w:t>
      </w:r>
    </w:p>
    <w:p w14:paraId="674C455A" w14:textId="0FD4D86E" w:rsidR="00466C06" w:rsidRPr="00466C06" w:rsidRDefault="00466C06" w:rsidP="00F60ECE">
      <w:pPr>
        <w:spacing w:after="240" w:line="360" w:lineRule="auto"/>
        <w:rPr>
          <w:rFonts w:ascii="Times New Roman" w:hAnsi="Times New Roman" w:cs="Times New Roman"/>
          <w:sz w:val="24"/>
          <w:szCs w:val="24"/>
          <w:lang w:val="en-US"/>
        </w:rPr>
      </w:pPr>
      <w:r w:rsidRPr="00466C06">
        <w:rPr>
          <w:rFonts w:ascii="Times New Roman" w:hAnsi="Times New Roman" w:cs="Times New Roman"/>
          <w:sz w:val="24"/>
          <w:szCs w:val="24"/>
          <w:lang w:val="en-US"/>
        </w:rPr>
        <w:t xml:space="preserve">Healthcare fraud, waste, and abuse divert scarce resources away from patient care and impose substantial financial losses on health systems worldwide. Estimates for public programs such as Medicare and Medicaid run into billions of dollars annually, driven by practices such as phantom billing, upcoding, unnecessary services, and abuse of reimbursement rules </w:t>
      </w:r>
      <w:r w:rsidR="00A719C0" w:rsidRPr="00A719C0">
        <w:rPr>
          <w:rFonts w:ascii="Times New Roman" w:hAnsi="Times New Roman" w:cs="Times New Roman"/>
          <w:sz w:val="24"/>
          <w:szCs w:val="24"/>
        </w:rPr>
        <w:t>[3], [9], [17], [20]</w:t>
      </w:r>
      <w:r w:rsidRPr="00466C06">
        <w:rPr>
          <w:rFonts w:ascii="Times New Roman" w:hAnsi="Times New Roman" w:cs="Times New Roman"/>
          <w:sz w:val="24"/>
          <w:szCs w:val="24"/>
          <w:lang w:val="en-US"/>
        </w:rPr>
        <w:t xml:space="preserve">. Beyond direct financial impact, fraudulent claims undermine trust in payers and providers and </w:t>
      </w:r>
      <w:proofErr w:type="gramStart"/>
      <w:r w:rsidRPr="00466C06">
        <w:rPr>
          <w:rFonts w:ascii="Times New Roman" w:hAnsi="Times New Roman" w:cs="Times New Roman"/>
          <w:sz w:val="24"/>
          <w:szCs w:val="24"/>
          <w:lang w:val="en-US"/>
        </w:rPr>
        <w:t>complicate</w:t>
      </w:r>
      <w:proofErr w:type="gramEnd"/>
      <w:r w:rsidRPr="00466C06">
        <w:rPr>
          <w:rFonts w:ascii="Times New Roman" w:hAnsi="Times New Roman" w:cs="Times New Roman"/>
          <w:sz w:val="24"/>
          <w:szCs w:val="24"/>
          <w:lang w:val="en-US"/>
        </w:rPr>
        <w:t xml:space="preserve"> policy efforts aimed at improving access and quality of care </w:t>
      </w:r>
      <w:r w:rsidR="00A719C0" w:rsidRPr="00A719C0">
        <w:rPr>
          <w:rFonts w:ascii="Times New Roman" w:hAnsi="Times New Roman" w:cs="Times New Roman"/>
          <w:sz w:val="24"/>
          <w:szCs w:val="24"/>
        </w:rPr>
        <w:t>[9], [17].</w:t>
      </w:r>
    </w:p>
    <w:p w14:paraId="74337F0B" w14:textId="26359386" w:rsidR="00666B08" w:rsidRPr="00F60ECE" w:rsidRDefault="00466C06" w:rsidP="00F60ECE">
      <w:pPr>
        <w:spacing w:after="240" w:line="360" w:lineRule="auto"/>
        <w:rPr>
          <w:rFonts w:ascii="Times New Roman" w:hAnsi="Times New Roman" w:cs="Times New Roman"/>
          <w:sz w:val="24"/>
          <w:szCs w:val="24"/>
          <w:lang w:val="en-US"/>
        </w:rPr>
      </w:pPr>
      <w:r w:rsidRPr="00466C06">
        <w:rPr>
          <w:rFonts w:ascii="Times New Roman" w:hAnsi="Times New Roman" w:cs="Times New Roman"/>
          <w:sz w:val="24"/>
          <w:szCs w:val="24"/>
          <w:lang w:val="en-US"/>
        </w:rPr>
        <w:lastRenderedPageBreak/>
        <w:t>Modern claims databases—covering millions of encounters across beneficiaries, providers, diagnoses, and procedures—offer an opportunity to detect fraud more systematically but also pose serious analytical challenges. The data are high-dimensional, heterogeneous, and highly imbalanced, with confirmed fraud representing only a small fraction of all claims [3]</w:t>
      </w:r>
      <w:r w:rsidR="00A719C0">
        <w:rPr>
          <w:rFonts w:ascii="Times New Roman" w:hAnsi="Times New Roman" w:cs="Times New Roman"/>
          <w:sz w:val="24"/>
          <w:szCs w:val="24"/>
          <w:lang w:val="en-US"/>
        </w:rPr>
        <w:t>, [9]</w:t>
      </w:r>
      <w:r w:rsidRPr="00466C06">
        <w:rPr>
          <w:rFonts w:ascii="Times New Roman" w:hAnsi="Times New Roman" w:cs="Times New Roman"/>
          <w:sz w:val="24"/>
          <w:szCs w:val="24"/>
          <w:lang w:val="en-US"/>
        </w:rPr>
        <w:t xml:space="preserve">. Simple rule-based systems, while interpretable and easy to deploy, struggle to keep pace with evolving fraud schemes and can generate many false positives. This has motivated extensive research on machine learning and data mining methods for healthcare fraud detection, spanning supervised classification, unsupervised anomaly detection, and hybrid approaches </w:t>
      </w:r>
      <w:r w:rsidR="00D83B35" w:rsidRPr="00D83B35">
        <w:rPr>
          <w:rFonts w:ascii="Times New Roman" w:hAnsi="Times New Roman" w:cs="Times New Roman"/>
          <w:sz w:val="24"/>
          <w:szCs w:val="24"/>
        </w:rPr>
        <w:t>[3],</w:t>
      </w:r>
      <w:r w:rsidR="00D83B35">
        <w:rPr>
          <w:rFonts w:ascii="Times New Roman" w:hAnsi="Times New Roman" w:cs="Times New Roman"/>
          <w:sz w:val="24"/>
          <w:szCs w:val="24"/>
        </w:rPr>
        <w:t xml:space="preserve"> [5]</w:t>
      </w:r>
      <w:r w:rsidR="00D83B35" w:rsidRPr="00D83B35">
        <w:rPr>
          <w:rFonts w:ascii="Times New Roman" w:hAnsi="Times New Roman" w:cs="Times New Roman"/>
          <w:sz w:val="24"/>
          <w:szCs w:val="24"/>
        </w:rPr>
        <w:t xml:space="preserve"> [9], [1</w:t>
      </w:r>
      <w:r w:rsidR="00D83B35">
        <w:rPr>
          <w:rFonts w:ascii="Times New Roman" w:hAnsi="Times New Roman" w:cs="Times New Roman"/>
          <w:sz w:val="24"/>
          <w:szCs w:val="24"/>
        </w:rPr>
        <w:t>4</w:t>
      </w:r>
      <w:r w:rsidR="00D83B35" w:rsidRPr="00D83B35">
        <w:rPr>
          <w:rFonts w:ascii="Times New Roman" w:hAnsi="Times New Roman" w:cs="Times New Roman"/>
          <w:sz w:val="24"/>
          <w:szCs w:val="24"/>
        </w:rPr>
        <w:t>], [20]</w:t>
      </w:r>
      <w:r w:rsidRPr="00466C06">
        <w:rPr>
          <w:rFonts w:ascii="Times New Roman" w:hAnsi="Times New Roman" w:cs="Times New Roman"/>
          <w:sz w:val="24"/>
          <w:szCs w:val="24"/>
          <w:lang w:val="en-US"/>
        </w:rPr>
        <w:t>.</w:t>
      </w:r>
    </w:p>
    <w:p w14:paraId="0EA7C72C" w14:textId="5755087D" w:rsidR="00466C06" w:rsidRDefault="00466C06" w:rsidP="00F60ECE">
      <w:pPr>
        <w:spacing w:line="360" w:lineRule="auto"/>
        <w:rPr>
          <w:rFonts w:ascii="Times New Roman" w:hAnsi="Times New Roman" w:cs="Times New Roman"/>
          <w:b/>
          <w:bCs/>
          <w:i/>
          <w:iCs/>
          <w:sz w:val="24"/>
          <w:szCs w:val="24"/>
          <w:lang w:val="en-US"/>
        </w:rPr>
      </w:pPr>
      <w:r w:rsidRPr="00752513">
        <w:rPr>
          <w:rFonts w:ascii="Times New Roman" w:hAnsi="Times New Roman" w:cs="Times New Roman"/>
          <w:b/>
          <w:bCs/>
          <w:i/>
          <w:iCs/>
          <w:sz w:val="24"/>
          <w:szCs w:val="24"/>
          <w:lang w:val="en-US"/>
        </w:rPr>
        <w:t>2.</w:t>
      </w:r>
      <w:r>
        <w:rPr>
          <w:rFonts w:ascii="Times New Roman" w:hAnsi="Times New Roman" w:cs="Times New Roman"/>
          <w:b/>
          <w:bCs/>
          <w:i/>
          <w:iCs/>
          <w:sz w:val="24"/>
          <w:szCs w:val="24"/>
          <w:lang w:val="en-US"/>
        </w:rPr>
        <w:t>2</w:t>
      </w:r>
      <w:r w:rsidRPr="00752513">
        <w:rPr>
          <w:rFonts w:ascii="Times New Roman" w:hAnsi="Times New Roman" w:cs="Times New Roman"/>
          <w:b/>
          <w:bCs/>
          <w:i/>
          <w:iCs/>
          <w:sz w:val="24"/>
          <w:szCs w:val="24"/>
          <w:lang w:val="en-US"/>
        </w:rPr>
        <w:t xml:space="preserve"> </w:t>
      </w:r>
      <w:r>
        <w:rPr>
          <w:rFonts w:ascii="Times New Roman" w:hAnsi="Times New Roman" w:cs="Times New Roman"/>
          <w:b/>
          <w:bCs/>
          <w:i/>
          <w:iCs/>
          <w:sz w:val="24"/>
          <w:szCs w:val="24"/>
          <w:lang w:val="en-US"/>
        </w:rPr>
        <w:t>Related Work</w:t>
      </w:r>
    </w:p>
    <w:p w14:paraId="624579EB" w14:textId="5E62C6D4" w:rsidR="00466C06" w:rsidRPr="00466C06" w:rsidRDefault="00466C06" w:rsidP="00F60ECE">
      <w:pPr>
        <w:spacing w:after="240" w:line="360" w:lineRule="auto"/>
        <w:rPr>
          <w:rFonts w:ascii="Times New Roman" w:hAnsi="Times New Roman" w:cs="Times New Roman"/>
          <w:sz w:val="24"/>
          <w:szCs w:val="24"/>
          <w:lang w:val="en-US"/>
        </w:rPr>
      </w:pPr>
      <w:r w:rsidRPr="00466C06">
        <w:rPr>
          <w:rFonts w:ascii="Times New Roman" w:hAnsi="Times New Roman" w:cs="Times New Roman"/>
          <w:sz w:val="24"/>
          <w:szCs w:val="24"/>
          <w:lang w:val="en-US"/>
        </w:rPr>
        <w:t xml:space="preserve">Recent surveys document a wide range of machine learning techniques applied to medical insurance and Medicare fraud detection </w:t>
      </w:r>
      <w:r w:rsidR="00D83B35" w:rsidRPr="00D83B35">
        <w:rPr>
          <w:rFonts w:ascii="Times New Roman" w:hAnsi="Times New Roman" w:cs="Times New Roman"/>
          <w:sz w:val="24"/>
          <w:szCs w:val="24"/>
        </w:rPr>
        <w:t>[3], [9], [17], [20</w:t>
      </w:r>
      <w:r w:rsidRPr="00466C06">
        <w:rPr>
          <w:rFonts w:ascii="Times New Roman" w:hAnsi="Times New Roman" w:cs="Times New Roman"/>
          <w:sz w:val="24"/>
          <w:szCs w:val="24"/>
          <w:lang w:val="en-US"/>
        </w:rPr>
        <w:t xml:space="preserve">]. Supervised models such as logistic regression, decision trees, random forests, support vector machines, and gradient boosting have been trained on labelled provider or claim data to distinguish fraudulent from legitimate behavior, often using Medicare or similar large-scale claims datasets </w:t>
      </w:r>
      <w:r w:rsidR="00D83B35" w:rsidRPr="00D83B35">
        <w:rPr>
          <w:rFonts w:ascii="Times New Roman" w:hAnsi="Times New Roman" w:cs="Times New Roman"/>
          <w:sz w:val="24"/>
          <w:szCs w:val="24"/>
        </w:rPr>
        <w:t>[3], [5], [8], [13], [16], [18]</w:t>
      </w:r>
      <w:r w:rsidRPr="00466C06">
        <w:rPr>
          <w:rFonts w:ascii="Times New Roman" w:hAnsi="Times New Roman" w:cs="Times New Roman"/>
          <w:sz w:val="24"/>
          <w:szCs w:val="24"/>
          <w:lang w:val="en-US"/>
        </w:rPr>
        <w:t xml:space="preserve">. These methods tend to perform well when sufficient labelled examples exist and when fraud patterns are relatively stable, but they depend heavily on the availability and quality of labelled fraud cases and can struggle to detect emerging or previously unseen schemes </w:t>
      </w:r>
      <w:r w:rsidR="00D83B35" w:rsidRPr="00D83B35">
        <w:rPr>
          <w:rFonts w:ascii="Times New Roman" w:hAnsi="Times New Roman" w:cs="Times New Roman"/>
          <w:sz w:val="24"/>
          <w:szCs w:val="24"/>
        </w:rPr>
        <w:t>[3], [9], [14]</w:t>
      </w:r>
      <w:r w:rsidRPr="00466C06">
        <w:rPr>
          <w:rFonts w:ascii="Times New Roman" w:hAnsi="Times New Roman" w:cs="Times New Roman"/>
          <w:sz w:val="24"/>
          <w:szCs w:val="24"/>
          <w:lang w:val="en-US"/>
        </w:rPr>
        <w:t>.</w:t>
      </w:r>
    </w:p>
    <w:p w14:paraId="1E631DF7" w14:textId="03E23320" w:rsidR="00466C06" w:rsidRPr="00466C06" w:rsidRDefault="00466C06" w:rsidP="00F60ECE">
      <w:pPr>
        <w:spacing w:after="240" w:line="360" w:lineRule="auto"/>
        <w:rPr>
          <w:rFonts w:ascii="Times New Roman" w:hAnsi="Times New Roman" w:cs="Times New Roman"/>
          <w:sz w:val="24"/>
          <w:szCs w:val="24"/>
          <w:lang w:val="en-US"/>
        </w:rPr>
      </w:pPr>
      <w:r w:rsidRPr="00466C06">
        <w:rPr>
          <w:rFonts w:ascii="Times New Roman" w:hAnsi="Times New Roman" w:cs="Times New Roman"/>
          <w:sz w:val="24"/>
          <w:szCs w:val="24"/>
          <w:lang w:val="en-US"/>
        </w:rPr>
        <w:t xml:space="preserve">Unsupervised learning offers an alternative route that does not rely on detailed fraud labels. Clustering and outlier-detection algorithms—including k-means, Local Outlier Factor, k-nearest neighbors, Isolation Forest, DBSCAN, and related density-based methods—have been explored for detecting anomalous claims or providers that deviate from typical patterns </w:t>
      </w:r>
      <w:r w:rsidR="00D83B35" w:rsidRPr="00D83B35">
        <w:rPr>
          <w:rFonts w:ascii="Times New Roman" w:hAnsi="Times New Roman" w:cs="Times New Roman"/>
          <w:sz w:val="24"/>
          <w:szCs w:val="24"/>
        </w:rPr>
        <w:t>[1], [2], [6], [10], [15], [19]</w:t>
      </w:r>
      <w:r w:rsidRPr="00466C06">
        <w:rPr>
          <w:rFonts w:ascii="Times New Roman" w:hAnsi="Times New Roman" w:cs="Times New Roman"/>
          <w:sz w:val="24"/>
          <w:szCs w:val="24"/>
          <w:lang w:val="en-US"/>
        </w:rPr>
        <w:t xml:space="preserve">. In healthcare datasets where labelled fraud is scarce or incomplete, these methods can highlight suspicious cases for further investigation, but they often depend critically on good feature engineering and may yield high false positive rates if used in isolation </w:t>
      </w:r>
      <w:r w:rsidR="00D83B35" w:rsidRPr="00D83B35">
        <w:rPr>
          <w:rFonts w:ascii="Times New Roman" w:hAnsi="Times New Roman" w:cs="Times New Roman"/>
          <w:sz w:val="24"/>
          <w:szCs w:val="24"/>
        </w:rPr>
        <w:t>[1], [2], [6], [19]</w:t>
      </w:r>
      <w:r w:rsidRPr="00466C06">
        <w:rPr>
          <w:rFonts w:ascii="Times New Roman" w:hAnsi="Times New Roman" w:cs="Times New Roman"/>
          <w:sz w:val="24"/>
          <w:szCs w:val="24"/>
          <w:lang w:val="en-US"/>
        </w:rPr>
        <w:t>.</w:t>
      </w:r>
    </w:p>
    <w:p w14:paraId="5B814E4B" w14:textId="70DCD9BF" w:rsidR="00466C06" w:rsidRPr="00466C06" w:rsidRDefault="00466C06" w:rsidP="00F60ECE">
      <w:pPr>
        <w:spacing w:after="240" w:line="360" w:lineRule="auto"/>
        <w:rPr>
          <w:rFonts w:ascii="Times New Roman" w:hAnsi="Times New Roman" w:cs="Times New Roman"/>
          <w:sz w:val="24"/>
          <w:szCs w:val="24"/>
          <w:lang w:val="en-US"/>
        </w:rPr>
      </w:pPr>
      <w:r w:rsidRPr="00466C06">
        <w:rPr>
          <w:rFonts w:ascii="Times New Roman" w:hAnsi="Times New Roman" w:cs="Times New Roman"/>
          <w:sz w:val="24"/>
          <w:szCs w:val="24"/>
          <w:lang w:val="en-US"/>
        </w:rPr>
        <w:t>A complementary line of work uses association rule mining to discover frequent patterns in claims data and then focuses on rules that appear abnormal or cost intensive</w:t>
      </w:r>
      <w:r w:rsidR="00D83B35">
        <w:rPr>
          <w:rFonts w:ascii="Times New Roman" w:hAnsi="Times New Roman" w:cs="Times New Roman"/>
          <w:sz w:val="24"/>
          <w:szCs w:val="24"/>
          <w:lang w:val="en-US"/>
        </w:rPr>
        <w:t xml:space="preserve"> </w:t>
      </w:r>
      <w:r w:rsidR="00D83B35" w:rsidRPr="00D83B35">
        <w:rPr>
          <w:rFonts w:ascii="Times New Roman" w:hAnsi="Times New Roman" w:cs="Times New Roman"/>
          <w:sz w:val="24"/>
          <w:szCs w:val="24"/>
        </w:rPr>
        <w:t>[5], [12], [18]</w:t>
      </w:r>
      <w:r w:rsidRPr="00466C06">
        <w:rPr>
          <w:rFonts w:ascii="Times New Roman" w:hAnsi="Times New Roman" w:cs="Times New Roman"/>
          <w:sz w:val="24"/>
          <w:szCs w:val="24"/>
          <w:lang w:val="en-US"/>
        </w:rPr>
        <w:t xml:space="preserve">. In these approaches, rules are typically filtered by support, confidence, and lift, and then examined as potential indicators of fraud when they involve unusual code combinations or high aggregate </w:t>
      </w:r>
      <w:r w:rsidRPr="00466C06">
        <w:rPr>
          <w:rFonts w:ascii="Times New Roman" w:hAnsi="Times New Roman" w:cs="Times New Roman"/>
          <w:sz w:val="24"/>
          <w:szCs w:val="24"/>
          <w:lang w:val="en-US"/>
        </w:rPr>
        <w:lastRenderedPageBreak/>
        <w:t>costs [</w:t>
      </w:r>
      <w:r w:rsidR="00D83B35">
        <w:rPr>
          <w:rFonts w:ascii="Times New Roman" w:hAnsi="Times New Roman" w:cs="Times New Roman"/>
          <w:sz w:val="24"/>
          <w:szCs w:val="24"/>
          <w:lang w:val="en-US"/>
        </w:rPr>
        <w:t>5</w:t>
      </w:r>
      <w:r w:rsidRPr="00466C06">
        <w:rPr>
          <w:rFonts w:ascii="Times New Roman" w:hAnsi="Times New Roman" w:cs="Times New Roman"/>
          <w:sz w:val="24"/>
          <w:szCs w:val="24"/>
          <w:lang w:val="en-US"/>
        </w:rPr>
        <w:t>]</w:t>
      </w:r>
      <w:r w:rsidR="00D83B35">
        <w:rPr>
          <w:rFonts w:ascii="Times New Roman" w:hAnsi="Times New Roman" w:cs="Times New Roman"/>
          <w:sz w:val="24"/>
          <w:szCs w:val="24"/>
          <w:lang w:val="en-US"/>
        </w:rPr>
        <w:t>, [12]</w:t>
      </w:r>
      <w:r w:rsidRPr="00466C06">
        <w:rPr>
          <w:rFonts w:ascii="Times New Roman" w:hAnsi="Times New Roman" w:cs="Times New Roman"/>
          <w:sz w:val="24"/>
          <w:szCs w:val="24"/>
          <w:lang w:val="en-US"/>
        </w:rPr>
        <w:t>. This rule-centric perspective helps capture structured fraud schemes that span multiple claims and actors, but it is often studied separately from provider-level risk scoring.</w:t>
      </w:r>
    </w:p>
    <w:p w14:paraId="0AA56A9E" w14:textId="2F515E29" w:rsidR="00466C06" w:rsidRPr="00466C06" w:rsidRDefault="00466C06" w:rsidP="00F60ECE">
      <w:pPr>
        <w:spacing w:after="240" w:line="360" w:lineRule="auto"/>
        <w:rPr>
          <w:rFonts w:ascii="Times New Roman" w:hAnsi="Times New Roman" w:cs="Times New Roman"/>
          <w:sz w:val="24"/>
          <w:szCs w:val="24"/>
          <w:lang w:val="en-US"/>
        </w:rPr>
      </w:pPr>
      <w:r w:rsidRPr="00466C06">
        <w:rPr>
          <w:rFonts w:ascii="Times New Roman" w:hAnsi="Times New Roman" w:cs="Times New Roman"/>
          <w:sz w:val="24"/>
          <w:szCs w:val="24"/>
          <w:lang w:val="en-US"/>
        </w:rPr>
        <w:t xml:space="preserve">More recent overviews emphasize that healthcare fraud detection in practice increasingly combines multiple paradigms—rules, supervised models, and unsupervised anomaly detectors—to balance adaptability, interpretability, and operational cost </w:t>
      </w:r>
      <w:r w:rsidR="00D83B35" w:rsidRPr="00D83B35">
        <w:rPr>
          <w:rFonts w:ascii="Times New Roman" w:hAnsi="Times New Roman" w:cs="Times New Roman"/>
          <w:sz w:val="24"/>
          <w:szCs w:val="24"/>
        </w:rPr>
        <w:t>[3], [9], [14], [20]</w:t>
      </w:r>
      <w:r w:rsidRPr="00466C06">
        <w:rPr>
          <w:rFonts w:ascii="Times New Roman" w:hAnsi="Times New Roman" w:cs="Times New Roman"/>
          <w:sz w:val="24"/>
          <w:szCs w:val="24"/>
          <w:lang w:val="en-US"/>
        </w:rPr>
        <w:t xml:space="preserve">. Nevertheless, many published systems focus on either claim-level anomaly detection or provider-level classification in isolation, provide limited detail on end-to-end data engineering pipelines, or give only high-level descriptions of how unsupervised patterns relate back to concrete fraud types </w:t>
      </w:r>
      <w:r w:rsidR="00D83B35" w:rsidRPr="00D83B35">
        <w:rPr>
          <w:rFonts w:ascii="Times New Roman" w:hAnsi="Times New Roman" w:cs="Times New Roman"/>
          <w:sz w:val="24"/>
          <w:szCs w:val="24"/>
        </w:rPr>
        <w:t>[3], [9], [14]</w:t>
      </w:r>
      <w:r w:rsidRPr="00466C06">
        <w:rPr>
          <w:rFonts w:ascii="Times New Roman" w:hAnsi="Times New Roman" w:cs="Times New Roman"/>
          <w:sz w:val="24"/>
          <w:szCs w:val="24"/>
          <w:lang w:val="en-US"/>
        </w:rPr>
        <w:t>. There remains a need for studies that tie together robust feature engineering, interpretable rule-based indicators, unsupervised clustering of fraud patterns, and supervised provider risk scoring within a single reproducible framework.</w:t>
      </w:r>
    </w:p>
    <w:p w14:paraId="64DFA170" w14:textId="77836977" w:rsidR="00466C06" w:rsidRPr="00466C06" w:rsidRDefault="00466C06" w:rsidP="00F60ECE">
      <w:pPr>
        <w:spacing w:after="240" w:line="360" w:lineRule="auto"/>
        <w:rPr>
          <w:rFonts w:ascii="Times New Roman" w:hAnsi="Times New Roman" w:cs="Times New Roman"/>
          <w:sz w:val="24"/>
          <w:szCs w:val="24"/>
          <w:lang w:val="en-US"/>
        </w:rPr>
      </w:pPr>
      <w:r w:rsidRPr="00466C06">
        <w:rPr>
          <w:rFonts w:ascii="Times New Roman" w:hAnsi="Times New Roman" w:cs="Times New Roman"/>
          <w:sz w:val="24"/>
          <w:szCs w:val="24"/>
          <w:lang w:val="en-US"/>
        </w:rPr>
        <w:t>This paper addresses these gaps by developing and evaluating an integrated fraud detection pipeline on a Medicare-like claims dataset with labelled provider fraud flags. Building on prior work in association rule mining, anomaly detection, and supervised classification for healthcare fraud, our contributions are threefold.</w:t>
      </w:r>
    </w:p>
    <w:p w14:paraId="0000000A" w14:textId="0DC4B070" w:rsidR="00003EE0" w:rsidRPr="00666B08" w:rsidRDefault="00000000" w:rsidP="00F60ECE">
      <w:pPr>
        <w:pStyle w:val="Heading1"/>
        <w:spacing w:before="0" w:after="240"/>
        <w:rPr>
          <w:rFonts w:ascii="Times New Roman" w:hAnsi="Times New Roman" w:cs="Times New Roman"/>
          <w:b/>
          <w:bCs/>
          <w:sz w:val="28"/>
          <w:szCs w:val="28"/>
        </w:rPr>
      </w:pPr>
      <w:r w:rsidRPr="00666B08">
        <w:rPr>
          <w:rFonts w:ascii="Times New Roman" w:hAnsi="Times New Roman" w:cs="Times New Roman"/>
          <w:b/>
          <w:bCs/>
          <w:sz w:val="28"/>
          <w:szCs w:val="28"/>
        </w:rPr>
        <w:t>3. Methodology</w:t>
      </w:r>
    </w:p>
    <w:p w14:paraId="4E85B98A" w14:textId="20ABD4DB" w:rsidR="00DC1E75" w:rsidRPr="00466C06" w:rsidRDefault="00DC1E75" w:rsidP="00F60ECE">
      <w:pPr>
        <w:spacing w:line="360" w:lineRule="auto"/>
        <w:rPr>
          <w:rFonts w:ascii="Times New Roman" w:hAnsi="Times New Roman" w:cs="Times New Roman"/>
          <w:b/>
          <w:bCs/>
          <w:i/>
          <w:iCs/>
          <w:sz w:val="24"/>
          <w:szCs w:val="24"/>
        </w:rPr>
      </w:pPr>
      <w:r w:rsidRPr="00466C06">
        <w:rPr>
          <w:rFonts w:ascii="Times New Roman" w:hAnsi="Times New Roman" w:cs="Times New Roman"/>
          <w:b/>
          <w:bCs/>
          <w:i/>
          <w:iCs/>
          <w:sz w:val="24"/>
          <w:szCs w:val="24"/>
        </w:rPr>
        <w:t>3.1. Data sources and study design</w:t>
      </w:r>
    </w:p>
    <w:p w14:paraId="134F0351" w14:textId="77777777" w:rsidR="007B4152" w:rsidRPr="00466C06" w:rsidRDefault="00DC1E75" w:rsidP="00F60ECE">
      <w:pPr>
        <w:spacing w:after="240" w:line="360" w:lineRule="auto"/>
        <w:rPr>
          <w:rFonts w:ascii="Times New Roman" w:eastAsia="Times New Roman" w:hAnsi="Times New Roman" w:cs="Times New Roman"/>
          <w:sz w:val="24"/>
          <w:szCs w:val="24"/>
          <w:lang w:val="en-US"/>
        </w:rPr>
      </w:pPr>
      <w:r w:rsidRPr="00466C06">
        <w:rPr>
          <w:rFonts w:ascii="Times New Roman" w:eastAsia="Times New Roman" w:hAnsi="Times New Roman" w:cs="Times New Roman"/>
          <w:sz w:val="24"/>
          <w:szCs w:val="24"/>
        </w:rPr>
        <w:t>We used the publicly available “Healthcare Provider Fraud Detection Analysis” dataset from Medical Sphere, which was built from Medicare claims</w:t>
      </w:r>
      <w:r w:rsidR="005F68C8" w:rsidRPr="00466C06">
        <w:rPr>
          <w:rFonts w:ascii="Times New Roman" w:eastAsia="Times New Roman" w:hAnsi="Times New Roman" w:cs="Times New Roman"/>
          <w:sz w:val="24"/>
          <w:szCs w:val="24"/>
        </w:rPr>
        <w:t xml:space="preserve">. </w:t>
      </w:r>
      <w:r w:rsidR="007B4152" w:rsidRPr="00466C06">
        <w:rPr>
          <w:rFonts w:ascii="Times New Roman" w:eastAsia="Times New Roman" w:hAnsi="Times New Roman" w:cs="Times New Roman"/>
          <w:sz w:val="24"/>
          <w:szCs w:val="24"/>
          <w:lang w:val="en-US"/>
        </w:rPr>
        <w:t xml:space="preserve">We use a de-identified Medicare claims dataset with separate training and test partitions. Each partition contains four tables with a common schema: a provider table, an inpatient claims table, an outpatient claims table, and a beneficiary table. The provider table lists billing providers and, in the training data only, a </w:t>
      </w:r>
      <w:r w:rsidR="007B4152" w:rsidRPr="00466C06">
        <w:rPr>
          <w:rFonts w:ascii="Times New Roman" w:eastAsia="Times New Roman" w:hAnsi="Times New Roman" w:cs="Times New Roman"/>
          <w:i/>
          <w:iCs/>
          <w:sz w:val="24"/>
          <w:szCs w:val="24"/>
          <w:lang w:val="en-US"/>
        </w:rPr>
        <w:t>PotentialFraud</w:t>
      </w:r>
      <w:r w:rsidR="007B4152" w:rsidRPr="00466C06">
        <w:rPr>
          <w:rFonts w:ascii="Times New Roman" w:eastAsia="Times New Roman" w:hAnsi="Times New Roman" w:cs="Times New Roman"/>
          <w:sz w:val="24"/>
          <w:szCs w:val="24"/>
          <w:lang w:val="en-US"/>
        </w:rPr>
        <w:t xml:space="preserve"> flag, which we recode as a binary label (</w:t>
      </w:r>
      <w:r w:rsidR="007B4152" w:rsidRPr="00466C06">
        <w:rPr>
          <w:rFonts w:ascii="Times New Roman" w:eastAsia="Times New Roman" w:hAnsi="Times New Roman" w:cs="Times New Roman"/>
          <w:i/>
          <w:iCs/>
          <w:sz w:val="24"/>
          <w:szCs w:val="24"/>
          <w:lang w:val="en-US"/>
        </w:rPr>
        <w:t>label_provider_fraud_1_0</w:t>
      </w:r>
      <w:r w:rsidR="007B4152" w:rsidRPr="00466C06">
        <w:rPr>
          <w:rFonts w:ascii="Times New Roman" w:eastAsia="Times New Roman" w:hAnsi="Times New Roman" w:cs="Times New Roman"/>
          <w:sz w:val="24"/>
          <w:szCs w:val="24"/>
          <w:lang w:val="en-US"/>
        </w:rPr>
        <w:t>) indicating whether the provider is suspected of fraud.</w:t>
      </w:r>
    </w:p>
    <w:p w14:paraId="593EE762" w14:textId="77777777" w:rsidR="007B4152" w:rsidRPr="007B4152" w:rsidRDefault="007B4152" w:rsidP="00F60ECE">
      <w:pPr>
        <w:spacing w:after="240" w:line="360" w:lineRule="auto"/>
        <w:rPr>
          <w:rFonts w:ascii="Times New Roman" w:eastAsia="Times New Roman" w:hAnsi="Times New Roman" w:cs="Times New Roman"/>
          <w:sz w:val="24"/>
          <w:szCs w:val="24"/>
          <w:lang w:val="en-US"/>
        </w:rPr>
      </w:pPr>
      <w:r w:rsidRPr="007B4152">
        <w:rPr>
          <w:rFonts w:ascii="Times New Roman" w:eastAsia="Times New Roman" w:hAnsi="Times New Roman" w:cs="Times New Roman"/>
          <w:sz w:val="24"/>
          <w:szCs w:val="24"/>
          <w:lang w:val="en-US"/>
        </w:rPr>
        <w:t>Inpatient and outpatient claim tables contain one row per claim, with a unique claim identifier (</w:t>
      </w:r>
      <w:r w:rsidRPr="007B4152">
        <w:rPr>
          <w:rFonts w:ascii="Times New Roman" w:eastAsia="Times New Roman" w:hAnsi="Times New Roman" w:cs="Times New Roman"/>
          <w:i/>
          <w:iCs/>
          <w:sz w:val="24"/>
          <w:szCs w:val="24"/>
          <w:lang w:val="en-US"/>
        </w:rPr>
        <w:t>ClaimID</w:t>
      </w:r>
      <w:r w:rsidRPr="007B4152">
        <w:rPr>
          <w:rFonts w:ascii="Times New Roman" w:eastAsia="Times New Roman" w:hAnsi="Times New Roman" w:cs="Times New Roman"/>
          <w:sz w:val="24"/>
          <w:szCs w:val="24"/>
          <w:lang w:val="en-US"/>
        </w:rPr>
        <w:t>), a beneficiary identifier (</w:t>
      </w:r>
      <w:r w:rsidRPr="007B4152">
        <w:rPr>
          <w:rFonts w:ascii="Times New Roman" w:eastAsia="Times New Roman" w:hAnsi="Times New Roman" w:cs="Times New Roman"/>
          <w:i/>
          <w:iCs/>
          <w:sz w:val="24"/>
          <w:szCs w:val="24"/>
          <w:lang w:val="en-US"/>
        </w:rPr>
        <w:t>BeneID</w:t>
      </w:r>
      <w:r w:rsidRPr="007B4152">
        <w:rPr>
          <w:rFonts w:ascii="Times New Roman" w:eastAsia="Times New Roman" w:hAnsi="Times New Roman" w:cs="Times New Roman"/>
          <w:sz w:val="24"/>
          <w:szCs w:val="24"/>
          <w:lang w:val="en-US"/>
        </w:rPr>
        <w:t>), a provider identifier (</w:t>
      </w:r>
      <w:r w:rsidRPr="007B4152">
        <w:rPr>
          <w:rFonts w:ascii="Times New Roman" w:eastAsia="Times New Roman" w:hAnsi="Times New Roman" w:cs="Times New Roman"/>
          <w:i/>
          <w:iCs/>
          <w:sz w:val="24"/>
          <w:szCs w:val="24"/>
          <w:lang w:val="en-US"/>
        </w:rPr>
        <w:t>Provider</w:t>
      </w:r>
      <w:r w:rsidRPr="007B4152">
        <w:rPr>
          <w:rFonts w:ascii="Times New Roman" w:eastAsia="Times New Roman" w:hAnsi="Times New Roman" w:cs="Times New Roman"/>
          <w:sz w:val="24"/>
          <w:szCs w:val="24"/>
          <w:lang w:val="en-US"/>
        </w:rPr>
        <w:t xml:space="preserve">), claim start and end dates, reimbursed amount, deductibles, and up to ten diagnosis codes and six procedure codes. The inpatient table additionally includes admission and discharge dates and diagnosis-group </w:t>
      </w:r>
      <w:r w:rsidRPr="007B4152">
        <w:rPr>
          <w:rFonts w:ascii="Times New Roman" w:eastAsia="Times New Roman" w:hAnsi="Times New Roman" w:cs="Times New Roman"/>
          <w:sz w:val="24"/>
          <w:szCs w:val="24"/>
          <w:lang w:val="en-US"/>
        </w:rPr>
        <w:lastRenderedPageBreak/>
        <w:t>fields. The beneficiary table provides demographic and clinical context, including date of birth and death, sex, race, state and county, months of Part A and Part B coverage, and several chronic condition indicators.</w:t>
      </w:r>
    </w:p>
    <w:p w14:paraId="5D3F73D7" w14:textId="7F4EBFC4" w:rsidR="007B4152" w:rsidRPr="007B4152" w:rsidRDefault="007B4152" w:rsidP="00F60ECE">
      <w:pPr>
        <w:spacing w:after="240" w:line="360" w:lineRule="auto"/>
        <w:rPr>
          <w:rFonts w:ascii="Times New Roman" w:eastAsia="Times New Roman" w:hAnsi="Times New Roman" w:cs="Times New Roman"/>
          <w:sz w:val="24"/>
          <w:szCs w:val="24"/>
          <w:lang w:val="en-US"/>
        </w:rPr>
      </w:pPr>
      <w:r w:rsidRPr="007B4152">
        <w:rPr>
          <w:rFonts w:ascii="Times New Roman" w:eastAsia="Times New Roman" w:hAnsi="Times New Roman" w:cs="Times New Roman"/>
          <w:sz w:val="24"/>
          <w:szCs w:val="24"/>
          <w:lang w:val="en-US"/>
        </w:rPr>
        <w:t xml:space="preserve">We treat the provider as the primary unit of analysis. The main supervised task is to classify providers as fraudulent or non-fraudulent using their aggregated claims history and the </w:t>
      </w:r>
      <w:r w:rsidRPr="007B4152">
        <w:rPr>
          <w:rFonts w:ascii="Times New Roman" w:eastAsia="Times New Roman" w:hAnsi="Times New Roman" w:cs="Times New Roman"/>
          <w:i/>
          <w:iCs/>
          <w:sz w:val="24"/>
          <w:szCs w:val="24"/>
          <w:lang w:val="en-US"/>
        </w:rPr>
        <w:t>PotentialFraud</w:t>
      </w:r>
      <w:r w:rsidRPr="007B4152">
        <w:rPr>
          <w:rFonts w:ascii="Times New Roman" w:eastAsia="Times New Roman" w:hAnsi="Times New Roman" w:cs="Times New Roman"/>
          <w:sz w:val="24"/>
          <w:szCs w:val="24"/>
          <w:lang w:val="en-US"/>
        </w:rPr>
        <w:t xml:space="preserve"> label available in the training provider table. Claims are used as secondary units: we derive claim-level features and rules, and we apply unsupervised clustering on fraud-only claims to better understand patterns within fraudulent </w:t>
      </w:r>
      <w:r w:rsidRPr="00466C06">
        <w:rPr>
          <w:rFonts w:ascii="Times New Roman" w:eastAsia="Times New Roman" w:hAnsi="Times New Roman" w:cs="Times New Roman"/>
          <w:sz w:val="24"/>
          <w:szCs w:val="24"/>
          <w:lang w:val="en-US"/>
        </w:rPr>
        <w:t>behavior</w:t>
      </w:r>
      <w:r w:rsidRPr="007B4152">
        <w:rPr>
          <w:rFonts w:ascii="Times New Roman" w:eastAsia="Times New Roman" w:hAnsi="Times New Roman" w:cs="Times New Roman"/>
          <w:sz w:val="24"/>
          <w:szCs w:val="24"/>
          <w:lang w:val="en-US"/>
        </w:rPr>
        <w:t>.</w:t>
      </w:r>
    </w:p>
    <w:p w14:paraId="083CE653" w14:textId="63A81628" w:rsidR="005F68C8" w:rsidRPr="00466C06" w:rsidRDefault="007B4152" w:rsidP="00F60ECE">
      <w:pPr>
        <w:spacing w:after="240" w:line="360" w:lineRule="auto"/>
        <w:rPr>
          <w:rFonts w:ascii="Times New Roman" w:eastAsia="Times New Roman" w:hAnsi="Times New Roman" w:cs="Times New Roman"/>
          <w:sz w:val="24"/>
          <w:szCs w:val="24"/>
          <w:lang w:val="en-US"/>
        </w:rPr>
      </w:pPr>
      <w:r w:rsidRPr="007B4152">
        <w:rPr>
          <w:rFonts w:ascii="Times New Roman" w:eastAsia="Times New Roman" w:hAnsi="Times New Roman" w:cs="Times New Roman"/>
          <w:sz w:val="24"/>
          <w:szCs w:val="24"/>
          <w:lang w:val="en-US"/>
        </w:rPr>
        <w:t>The training claims cover a fixed historical period, and the test claims share the same schema but lack fraud labels. For supervised learning, we restrict ourselves to labeled training providers and perform a stratified 70/30 split at the provider level, preserving the fraud/non-fraud ratio. The 70% subset is used for model fitting and cross-validation, while the remaining 30% is held out for evaluation. After model selection and threshold tuning on this labeled data, we apply the final provider-level classifier to the unlabeled test providers to generate fraud risk scores and predicted fraud labels, which are then used in downstream clustering of high-risk providers.</w:t>
      </w:r>
    </w:p>
    <w:p w14:paraId="29B2CF4B" w14:textId="77777777" w:rsidR="00562CA6" w:rsidRDefault="00562CA6" w:rsidP="00F60ECE">
      <w:pPr>
        <w:spacing w:line="360" w:lineRule="auto"/>
        <w:rPr>
          <w:rFonts w:ascii="Times New Roman" w:hAnsi="Times New Roman" w:cs="Times New Roman"/>
          <w:b/>
          <w:bCs/>
          <w:i/>
          <w:iCs/>
          <w:sz w:val="24"/>
          <w:szCs w:val="24"/>
        </w:rPr>
      </w:pPr>
      <w:r w:rsidRPr="00466C06">
        <w:rPr>
          <w:rFonts w:ascii="Times New Roman" w:hAnsi="Times New Roman" w:cs="Times New Roman"/>
          <w:b/>
          <w:bCs/>
          <w:i/>
          <w:iCs/>
          <w:sz w:val="24"/>
          <w:szCs w:val="24"/>
        </w:rPr>
        <w:t>3.2 Data cleaning and SQL feature store</w:t>
      </w:r>
    </w:p>
    <w:p w14:paraId="17057019" w14:textId="621DF83E" w:rsidR="00CF48EC" w:rsidRPr="00CF48EC" w:rsidRDefault="00CF48EC" w:rsidP="00F60ECE">
      <w:pPr>
        <w:spacing w:line="360" w:lineRule="auto"/>
        <w:rPr>
          <w:rFonts w:ascii="Times New Roman" w:hAnsi="Times New Roman" w:cs="Times New Roman"/>
          <w:sz w:val="24"/>
          <w:szCs w:val="24"/>
        </w:rPr>
      </w:pPr>
      <w:r w:rsidRPr="00CF48EC">
        <w:rPr>
          <w:rFonts w:ascii="Times New Roman" w:hAnsi="Times New Roman" w:cs="Times New Roman"/>
          <w:sz w:val="24"/>
          <w:szCs w:val="24"/>
        </w:rPr>
        <w:t>All data processing was implemented in PostgreSQL using a layered design. Raw CSV files were loaded into a staging schema with text fields and basic checks on file structure and column counts. Cleaned data were stored in a curated schema, where placeholder strings for missing values were converted to NULL and columns were cast to appropriate SQL types (DATE for dates, numeric for monetary and count fields, and integer or boolean for categorical indicators). Within this schema we enforced key integrity constraints: provider and beneficiary identifiers were unique in their dimension tables, claim identifiers were non-null and unique within inpatient and outpatient tables, foreign keys from claims to dimension tables were valid, and admission and discharge dates yielded non-negative, plausible lengths of stay. Reimbursement amounts were screened for negative or extreme values, and basic distributions flagged errors. On top of the curated layer, we built a mart schema as the feature store, with a consolidated claims fact table and derived claim- and provider-level feature tables capturing engineered variables such as length of stay, diagnosis/procedure code counts, duplicate and overcharging flags, peer-</w:t>
      </w:r>
      <w:r w:rsidRPr="00CF48EC">
        <w:rPr>
          <w:rFonts w:ascii="Times New Roman" w:hAnsi="Times New Roman" w:cs="Times New Roman"/>
          <w:sz w:val="24"/>
          <w:szCs w:val="24"/>
        </w:rPr>
        <w:lastRenderedPageBreak/>
        <w:t>normalized z-scores, and rolling 30-/90-/365-day aggregates of volume, reimbursement, beneficiaries, and code diversity used in subsequent exploratory analysis and modeling.</w:t>
      </w:r>
    </w:p>
    <w:p w14:paraId="205474FE" w14:textId="4E3D12E1" w:rsidR="0075103F" w:rsidRPr="00466C06" w:rsidRDefault="0075103F" w:rsidP="00F60ECE">
      <w:pPr>
        <w:spacing w:line="360" w:lineRule="auto"/>
        <w:rPr>
          <w:rFonts w:ascii="Times New Roman" w:hAnsi="Times New Roman" w:cs="Times New Roman"/>
          <w:b/>
          <w:bCs/>
          <w:i/>
          <w:iCs/>
          <w:sz w:val="24"/>
          <w:szCs w:val="24"/>
        </w:rPr>
      </w:pPr>
      <w:r w:rsidRPr="00466C06">
        <w:rPr>
          <w:rFonts w:ascii="Times New Roman" w:hAnsi="Times New Roman" w:cs="Times New Roman"/>
          <w:b/>
          <w:bCs/>
          <w:i/>
          <w:iCs/>
          <w:sz w:val="24"/>
          <w:szCs w:val="24"/>
        </w:rPr>
        <w:t>3.3 Feature engineering and rule-based indicators</w:t>
      </w:r>
    </w:p>
    <w:p w14:paraId="631905DE" w14:textId="77777777" w:rsidR="0075103F" w:rsidRPr="0075103F" w:rsidRDefault="0075103F" w:rsidP="00F60ECE">
      <w:pPr>
        <w:spacing w:after="240" w:line="360" w:lineRule="auto"/>
        <w:rPr>
          <w:rFonts w:ascii="Times New Roman" w:eastAsia="Times New Roman" w:hAnsi="Times New Roman" w:cs="Times New Roman"/>
          <w:sz w:val="24"/>
          <w:szCs w:val="24"/>
          <w:lang w:val="en-US"/>
        </w:rPr>
      </w:pPr>
      <w:r w:rsidRPr="0075103F">
        <w:rPr>
          <w:rFonts w:ascii="Times New Roman" w:eastAsia="Times New Roman" w:hAnsi="Times New Roman" w:cs="Times New Roman"/>
          <w:sz w:val="24"/>
          <w:szCs w:val="24"/>
          <w:lang w:val="en-US"/>
        </w:rPr>
        <w:t>We constructed features at both claim and provider levels, and implemented a set of simple, interpretable rules to capture common fraud patterns such as duplicate billing, upcoding, and overcharging. All feature engineering was performed in SQL on top of the feature store described above, and the resulting tables were then exported to Python for modelling.</w:t>
      </w:r>
    </w:p>
    <w:p w14:paraId="52030E6F" w14:textId="77777777" w:rsidR="0075103F" w:rsidRPr="0075103F" w:rsidRDefault="0075103F" w:rsidP="00F60ECE">
      <w:pPr>
        <w:spacing w:after="240" w:line="360" w:lineRule="auto"/>
        <w:rPr>
          <w:rFonts w:ascii="Times New Roman" w:eastAsia="Times New Roman" w:hAnsi="Times New Roman" w:cs="Times New Roman"/>
          <w:sz w:val="24"/>
          <w:szCs w:val="24"/>
          <w:lang w:val="en-US"/>
        </w:rPr>
      </w:pPr>
      <w:r w:rsidRPr="0075103F">
        <w:rPr>
          <w:rFonts w:ascii="Times New Roman" w:eastAsia="Times New Roman" w:hAnsi="Times New Roman" w:cs="Times New Roman"/>
          <w:sz w:val="24"/>
          <w:szCs w:val="24"/>
          <w:lang w:val="en-US"/>
        </w:rPr>
        <w:t>At the claim level, we derived basic utilization and billing variables from the inpatient and outpatient tables. For each claim we computed reimbursed amount, deductible amount, and, for inpatient claims, length of stay from admission and discharge dates. We counted the number of diagnosis and procedure codes attached to the claim and created indicators for “exact” and “near” duplicates by comparing claims for the same beneficiary and provider within short time windows, with similar diagnosis–procedure combinations and amounts. We also defined claim-level overcharge flags based on peer-normalized payment z-scores and interquartile-range (IQR) thresholds, marking claims whose reimbursement was unusually high relative to similar claims.</w:t>
      </w:r>
    </w:p>
    <w:p w14:paraId="48931944" w14:textId="556B1282" w:rsidR="00666B08" w:rsidRPr="00B40840" w:rsidRDefault="0075103F" w:rsidP="00F60ECE">
      <w:pPr>
        <w:spacing w:after="240" w:line="360" w:lineRule="auto"/>
        <w:rPr>
          <w:rFonts w:ascii="Times New Roman" w:eastAsia="Times New Roman" w:hAnsi="Times New Roman" w:cs="Times New Roman"/>
          <w:sz w:val="24"/>
          <w:szCs w:val="24"/>
          <w:lang w:val="en-US"/>
        </w:rPr>
      </w:pPr>
      <w:r w:rsidRPr="0075103F">
        <w:rPr>
          <w:rFonts w:ascii="Times New Roman" w:eastAsia="Times New Roman" w:hAnsi="Times New Roman" w:cs="Times New Roman"/>
          <w:sz w:val="24"/>
          <w:szCs w:val="24"/>
          <w:lang w:val="en-US"/>
        </w:rPr>
        <w:t>At the provider level, we aggregated claims over multiple time windows (30, 90, and 365 days) to obtain total claims, total reimbursed amount, and counts of unique beneficiaries. We computed code diversity metrics such as the number of distinct diagnosis and procedure codes used in the recent period, as well as separate counts of inpatient and outpatient claims. Peer-normalized z-scores for reimbursement and, for inpatient services, length of stay were calculated by comparing each provider’s distribution to that of similar providers. Rule-based events were also aggregated, giving provider-level counts of exact and near duplicate claims, suspected upcoding events in inpatient and outpatient settings, and claims flagged as potential overcharges. These engineered features and rule indicators formed the input to both the exploratory analysis and the supervised and unsupervised models described later.</w:t>
      </w:r>
    </w:p>
    <w:p w14:paraId="66241812" w14:textId="4E34544E" w:rsidR="008F4673" w:rsidRDefault="008F4673" w:rsidP="00F60ECE">
      <w:pPr>
        <w:spacing w:line="360" w:lineRule="auto"/>
        <w:rPr>
          <w:rFonts w:ascii="Times New Roman" w:hAnsi="Times New Roman" w:cs="Times New Roman"/>
          <w:b/>
          <w:bCs/>
          <w:i/>
          <w:iCs/>
          <w:sz w:val="24"/>
          <w:szCs w:val="24"/>
        </w:rPr>
      </w:pPr>
      <w:r w:rsidRPr="00466C06">
        <w:rPr>
          <w:rFonts w:ascii="Times New Roman" w:hAnsi="Times New Roman" w:cs="Times New Roman"/>
          <w:b/>
          <w:bCs/>
          <w:i/>
          <w:iCs/>
          <w:sz w:val="24"/>
          <w:szCs w:val="24"/>
        </w:rPr>
        <w:t>3.4 Exploratory analysis and feature selection</w:t>
      </w:r>
    </w:p>
    <w:p w14:paraId="072F955C" w14:textId="4781A132" w:rsidR="00F43E4E" w:rsidRPr="00F43E4E" w:rsidRDefault="00F43E4E" w:rsidP="00F43E4E">
      <w:pPr>
        <w:spacing w:after="240" w:line="360" w:lineRule="auto"/>
        <w:rPr>
          <w:rFonts w:ascii="Times New Roman" w:hAnsi="Times New Roman" w:cs="Times New Roman"/>
          <w:sz w:val="24"/>
          <w:szCs w:val="24"/>
        </w:rPr>
      </w:pPr>
      <w:r w:rsidRPr="00F43E4E">
        <w:rPr>
          <w:rFonts w:ascii="Times New Roman" w:hAnsi="Times New Roman" w:cs="Times New Roman"/>
          <w:sz w:val="24"/>
          <w:szCs w:val="24"/>
        </w:rPr>
        <w:t xml:space="preserve">After building the SQL feature store, we performed exploratory analysis and feature selection in Python, using SQLAlchemy and pandas to load the claim- and provider-level feature tables and inspect basic distributions. For key continuous variables such as reimbursed amounts, </w:t>
      </w:r>
      <w:r w:rsidRPr="00F43E4E">
        <w:rPr>
          <w:rFonts w:ascii="Times New Roman" w:hAnsi="Times New Roman" w:cs="Times New Roman"/>
          <w:sz w:val="24"/>
          <w:szCs w:val="24"/>
        </w:rPr>
        <w:lastRenderedPageBreak/>
        <w:t xml:space="preserve">deductibles, and inpatient length of stay, we plotted histograms and boxplots to assess skewness, long tails, and potential data errors, confirming the expected heavy-tailed patterns. We quantified outliers with robust statistics by computing interquartile ranges and robust z-scores based on the </w:t>
      </w:r>
      <w:proofErr w:type="gramStart"/>
      <w:r w:rsidRPr="00F43E4E">
        <w:rPr>
          <w:rFonts w:ascii="Times New Roman" w:hAnsi="Times New Roman" w:cs="Times New Roman"/>
          <w:sz w:val="24"/>
          <w:szCs w:val="24"/>
        </w:rPr>
        <w:t>median</w:t>
      </w:r>
      <w:proofErr w:type="gramEnd"/>
      <w:r w:rsidRPr="00F43E4E">
        <w:rPr>
          <w:rFonts w:ascii="Times New Roman" w:hAnsi="Times New Roman" w:cs="Times New Roman"/>
          <w:sz w:val="24"/>
          <w:szCs w:val="24"/>
        </w:rPr>
        <w:t xml:space="preserve"> and median absolute deviation, flagging extreme claims and comparing these to rule-based indicators such as overcharge flags and short-stay high-payment inpatient claims. At the provider level, we examined correlations among engineered features using pairwise correlation coefficients and variance inflation factors to identify and remove highly collinear variables, particularly overlapping measures of recent reimbursement and claim volumes. Based on these diagnostics, we retained a compact, interpretable set of provider features—covering total and recent reimbursement, recent claim and unique beneficiary counts, code diversity, peer-normalized reimbursement and length-of-stay z-scores, and aggregated counts of duplicate, upcoding, and overcharge events—for all subsequent supervised learning and clustering analyses.</w:t>
      </w:r>
    </w:p>
    <w:p w14:paraId="118574E4" w14:textId="77777777" w:rsidR="008F4673" w:rsidRPr="00666B08" w:rsidRDefault="008F4673" w:rsidP="00F43E4E">
      <w:pPr>
        <w:spacing w:line="360" w:lineRule="auto"/>
        <w:rPr>
          <w:rFonts w:ascii="Times New Roman" w:hAnsi="Times New Roman" w:cs="Times New Roman"/>
          <w:b/>
          <w:bCs/>
          <w:i/>
          <w:iCs/>
          <w:sz w:val="24"/>
          <w:szCs w:val="24"/>
        </w:rPr>
      </w:pPr>
      <w:r w:rsidRPr="00666B08">
        <w:rPr>
          <w:rFonts w:ascii="Times New Roman" w:hAnsi="Times New Roman" w:cs="Times New Roman"/>
          <w:b/>
          <w:bCs/>
          <w:i/>
          <w:iCs/>
          <w:sz w:val="24"/>
          <w:szCs w:val="24"/>
        </w:rPr>
        <w:t>3.5 Unsupervised fraud-only claim clustering</w:t>
      </w:r>
    </w:p>
    <w:p w14:paraId="47E1F8A3" w14:textId="08AE6A43" w:rsidR="008F4673" w:rsidRPr="008F4673" w:rsidRDefault="008F4673" w:rsidP="00F60ECE">
      <w:pPr>
        <w:spacing w:after="240" w:line="360" w:lineRule="auto"/>
        <w:rPr>
          <w:rFonts w:ascii="Times New Roman" w:eastAsia="Times New Roman" w:hAnsi="Times New Roman" w:cs="Times New Roman"/>
          <w:sz w:val="24"/>
          <w:szCs w:val="24"/>
          <w:lang w:val="en-US"/>
        </w:rPr>
      </w:pPr>
      <w:r w:rsidRPr="008F4673">
        <w:rPr>
          <w:rFonts w:ascii="Times New Roman" w:eastAsia="Times New Roman" w:hAnsi="Times New Roman" w:cs="Times New Roman"/>
          <w:sz w:val="24"/>
          <w:szCs w:val="24"/>
          <w:lang w:val="en-US"/>
        </w:rPr>
        <w:t xml:space="preserve">To better understand heterogeneity within fraudulent </w:t>
      </w:r>
      <w:r w:rsidR="00EB6B67" w:rsidRPr="008F4673">
        <w:rPr>
          <w:rFonts w:ascii="Times New Roman" w:eastAsia="Times New Roman" w:hAnsi="Times New Roman" w:cs="Times New Roman"/>
          <w:sz w:val="24"/>
          <w:szCs w:val="24"/>
          <w:lang w:val="en-US"/>
        </w:rPr>
        <w:t>behavior</w:t>
      </w:r>
      <w:r w:rsidRPr="008F4673">
        <w:rPr>
          <w:rFonts w:ascii="Times New Roman" w:eastAsia="Times New Roman" w:hAnsi="Times New Roman" w:cs="Times New Roman"/>
          <w:sz w:val="24"/>
          <w:szCs w:val="24"/>
          <w:lang w:val="en-US"/>
        </w:rPr>
        <w:t xml:space="preserve"> at the claim level, we performed unsupervised clustering on fraud-only claims. We first identified fraudulent providers using the training label and then extracted all inpatient and outpatient claims associated with those providers, constructing separate fraud-only claim tables for inpatient (</w:t>
      </w:r>
      <w:proofErr w:type="spellStart"/>
      <w:r w:rsidRPr="008F4673">
        <w:rPr>
          <w:rFonts w:ascii="Times New Roman" w:eastAsia="Times New Roman" w:hAnsi="Times New Roman" w:cs="Times New Roman"/>
          <w:i/>
          <w:iCs/>
          <w:sz w:val="24"/>
          <w:szCs w:val="24"/>
          <w:lang w:val="en-US"/>
        </w:rPr>
        <w:t>fraud_claims_ip</w:t>
      </w:r>
      <w:proofErr w:type="spellEnd"/>
      <w:r w:rsidRPr="008F4673">
        <w:rPr>
          <w:rFonts w:ascii="Times New Roman" w:eastAsia="Times New Roman" w:hAnsi="Times New Roman" w:cs="Times New Roman"/>
          <w:sz w:val="24"/>
          <w:szCs w:val="24"/>
          <w:lang w:val="en-US"/>
        </w:rPr>
        <w:t>) and outpatient (</w:t>
      </w:r>
      <w:proofErr w:type="spellStart"/>
      <w:r w:rsidRPr="008F4673">
        <w:rPr>
          <w:rFonts w:ascii="Times New Roman" w:eastAsia="Times New Roman" w:hAnsi="Times New Roman" w:cs="Times New Roman"/>
          <w:i/>
          <w:iCs/>
          <w:sz w:val="24"/>
          <w:szCs w:val="24"/>
          <w:lang w:val="en-US"/>
        </w:rPr>
        <w:t>fraud_claims_op</w:t>
      </w:r>
      <w:proofErr w:type="spellEnd"/>
      <w:r w:rsidRPr="008F4673">
        <w:rPr>
          <w:rFonts w:ascii="Times New Roman" w:eastAsia="Times New Roman" w:hAnsi="Times New Roman" w:cs="Times New Roman"/>
          <w:sz w:val="24"/>
          <w:szCs w:val="24"/>
          <w:lang w:val="en-US"/>
        </w:rPr>
        <w:t>) services. For each claim we used standardized versions of the engineered features, including reimbursed amount, diagnosis and procedure code counts, claim-level rule flags (duplicate and overcharge indicators), and peer-normalized z-scores. Features were imputed where necessary and scaled to zero mean and unit variance before clustering.</w:t>
      </w:r>
    </w:p>
    <w:p w14:paraId="430C6CB1" w14:textId="77777777" w:rsidR="008F4673" w:rsidRPr="008F4673" w:rsidRDefault="008F4673" w:rsidP="00F60ECE">
      <w:pPr>
        <w:spacing w:after="240" w:line="360" w:lineRule="auto"/>
        <w:rPr>
          <w:rFonts w:ascii="Times New Roman" w:eastAsia="Times New Roman" w:hAnsi="Times New Roman" w:cs="Times New Roman"/>
          <w:sz w:val="24"/>
          <w:szCs w:val="24"/>
          <w:lang w:val="en-US"/>
        </w:rPr>
      </w:pPr>
      <w:r w:rsidRPr="008F4673">
        <w:rPr>
          <w:rFonts w:ascii="Times New Roman" w:eastAsia="Times New Roman" w:hAnsi="Times New Roman" w:cs="Times New Roman"/>
          <w:sz w:val="24"/>
          <w:szCs w:val="24"/>
          <w:lang w:val="en-US"/>
        </w:rPr>
        <w:t>We applied the HDBSCAN algorithm to these scaled feature sets for inpatient and outpatient claims separately. HDBSCAN was chosen because it can discover clusters of varying size and density and can label points that do not belong to any stable group as noise. We tuned its main parameters, such as minimum cluster size and minimum samples, and assessed clustering quality using internal validation measures and the fraction of claims labeled as noise. To visualize the resulting structure, we projected the standardized claim features into two dimensions using principal component analysis and plotted the claims colored by their HDBSCAN cluster assignments.</w:t>
      </w:r>
    </w:p>
    <w:p w14:paraId="22C1B101" w14:textId="5311CC89" w:rsidR="00666B08" w:rsidRDefault="008F4673" w:rsidP="00F60ECE">
      <w:pPr>
        <w:spacing w:after="240" w:line="360" w:lineRule="auto"/>
        <w:rPr>
          <w:rFonts w:ascii="Times New Roman" w:eastAsia="Times New Roman" w:hAnsi="Times New Roman" w:cs="Times New Roman"/>
          <w:sz w:val="24"/>
          <w:szCs w:val="24"/>
          <w:lang w:val="en-US"/>
        </w:rPr>
      </w:pPr>
      <w:r w:rsidRPr="008F4673">
        <w:rPr>
          <w:rFonts w:ascii="Times New Roman" w:eastAsia="Times New Roman" w:hAnsi="Times New Roman" w:cs="Times New Roman"/>
          <w:sz w:val="24"/>
          <w:szCs w:val="24"/>
          <w:lang w:val="en-US"/>
        </w:rPr>
        <w:lastRenderedPageBreak/>
        <w:t xml:space="preserve">For each claim cluster we computed summary “cluster cards,” describing cluster size, total and median reimbursed amount, typical diagnosis and procedure code multiplicity, and frequencies of duplicate and overcharge flags. We also applied association rule mining within clusters to identify frequent and high-lift combinations of diagnosis and procedure codes. These patterns, together with the cluster summaries, were later used to characterize distinct types of fraudulent claim </w:t>
      </w:r>
      <w:r w:rsidR="00EB6B67" w:rsidRPr="008F4673">
        <w:rPr>
          <w:rFonts w:ascii="Times New Roman" w:eastAsia="Times New Roman" w:hAnsi="Times New Roman" w:cs="Times New Roman"/>
          <w:sz w:val="24"/>
          <w:szCs w:val="24"/>
          <w:lang w:val="en-US"/>
        </w:rPr>
        <w:t>behavior</w:t>
      </w:r>
      <w:r w:rsidRPr="008F4673">
        <w:rPr>
          <w:rFonts w:ascii="Times New Roman" w:eastAsia="Times New Roman" w:hAnsi="Times New Roman" w:cs="Times New Roman"/>
          <w:sz w:val="24"/>
          <w:szCs w:val="24"/>
          <w:lang w:val="en-US"/>
        </w:rPr>
        <w:t>.</w:t>
      </w:r>
    </w:p>
    <w:p w14:paraId="4FD1DE74" w14:textId="77777777" w:rsidR="00EB6B67" w:rsidRPr="00666B08" w:rsidRDefault="00EB6B67" w:rsidP="00F60ECE">
      <w:pPr>
        <w:spacing w:line="360" w:lineRule="auto"/>
        <w:rPr>
          <w:rFonts w:ascii="Times New Roman" w:hAnsi="Times New Roman" w:cs="Times New Roman"/>
          <w:b/>
          <w:bCs/>
          <w:i/>
          <w:iCs/>
          <w:sz w:val="24"/>
          <w:szCs w:val="24"/>
        </w:rPr>
      </w:pPr>
      <w:r w:rsidRPr="00666B08">
        <w:rPr>
          <w:rFonts w:ascii="Times New Roman" w:hAnsi="Times New Roman" w:cs="Times New Roman"/>
          <w:b/>
          <w:bCs/>
          <w:i/>
          <w:iCs/>
          <w:sz w:val="24"/>
          <w:szCs w:val="24"/>
        </w:rPr>
        <w:t>3.6 Supervised provider fraud classification</w:t>
      </w:r>
    </w:p>
    <w:p w14:paraId="414FE248" w14:textId="77777777" w:rsidR="00EB6B67" w:rsidRPr="00EB6B67" w:rsidRDefault="00EB6B67" w:rsidP="00F60ECE">
      <w:pPr>
        <w:spacing w:after="240" w:line="360" w:lineRule="auto"/>
        <w:rPr>
          <w:rFonts w:ascii="Times New Roman" w:eastAsia="Times New Roman" w:hAnsi="Times New Roman" w:cs="Times New Roman"/>
          <w:sz w:val="24"/>
          <w:szCs w:val="24"/>
          <w:lang w:val="en-US"/>
        </w:rPr>
      </w:pPr>
      <w:r w:rsidRPr="00EB6B67">
        <w:rPr>
          <w:rFonts w:ascii="Times New Roman" w:eastAsia="Times New Roman" w:hAnsi="Times New Roman" w:cs="Times New Roman"/>
          <w:sz w:val="24"/>
          <w:szCs w:val="24"/>
          <w:lang w:val="en-US"/>
        </w:rPr>
        <w:t>Supervised learning was used to predict whether a provider is fraudulent based on aggregated claims features. We restricted modelling to the labeled training providers and performed a stratified 70/30 split at the provider level, preserving the original fraud to non-fraud ratio. All provider-level features described in Section 3.3 were extracted from the feature store and merged with the binary label (</w:t>
      </w:r>
      <w:r w:rsidRPr="00EB6B67">
        <w:rPr>
          <w:rFonts w:ascii="Times New Roman" w:eastAsia="Times New Roman" w:hAnsi="Times New Roman" w:cs="Times New Roman"/>
          <w:i/>
          <w:iCs/>
          <w:sz w:val="24"/>
          <w:szCs w:val="24"/>
          <w:lang w:val="en-US"/>
        </w:rPr>
        <w:t>label_provider_fraud_1_0</w:t>
      </w:r>
      <w:r w:rsidRPr="00EB6B67">
        <w:rPr>
          <w:rFonts w:ascii="Times New Roman" w:eastAsia="Times New Roman" w:hAnsi="Times New Roman" w:cs="Times New Roman"/>
          <w:sz w:val="24"/>
          <w:szCs w:val="24"/>
          <w:lang w:val="en-US"/>
        </w:rPr>
        <w:t>). Continuous features were standardized using the mean and standard deviation computed from the training portion only; these transformations were then applied unchanged to the hold-out and test providers.</w:t>
      </w:r>
    </w:p>
    <w:p w14:paraId="30A8AB57" w14:textId="0ECD057F" w:rsidR="00EB6B67" w:rsidRPr="00EB6B67" w:rsidRDefault="00EB6B67" w:rsidP="00F60ECE">
      <w:pPr>
        <w:spacing w:after="240" w:line="360" w:lineRule="auto"/>
        <w:rPr>
          <w:rFonts w:ascii="Times New Roman" w:eastAsia="Times New Roman" w:hAnsi="Times New Roman" w:cs="Times New Roman"/>
          <w:sz w:val="24"/>
          <w:szCs w:val="24"/>
          <w:lang w:val="en-US"/>
        </w:rPr>
      </w:pPr>
      <w:r w:rsidRPr="00EB6B67">
        <w:rPr>
          <w:rFonts w:ascii="Times New Roman" w:eastAsia="Times New Roman" w:hAnsi="Times New Roman" w:cs="Times New Roman"/>
          <w:sz w:val="24"/>
          <w:szCs w:val="24"/>
          <w:lang w:val="en-US"/>
        </w:rPr>
        <w:t>We compared several classification algorithms implemented using the same feature set for all models. The models included logistic regression with elastic-net regularization, Random Forests, Extremely Randomized Trees, gradient boosting methods (</w:t>
      </w:r>
      <w:proofErr w:type="spellStart"/>
      <w:r w:rsidRPr="00EB6B67">
        <w:rPr>
          <w:rFonts w:ascii="Times New Roman" w:eastAsia="Times New Roman" w:hAnsi="Times New Roman" w:cs="Times New Roman"/>
          <w:sz w:val="24"/>
          <w:szCs w:val="24"/>
          <w:lang w:val="en-US"/>
        </w:rPr>
        <w:t>LightGBM</w:t>
      </w:r>
      <w:proofErr w:type="spellEnd"/>
      <w:r w:rsidRPr="00EB6B67">
        <w:rPr>
          <w:rFonts w:ascii="Times New Roman" w:eastAsia="Times New Roman" w:hAnsi="Times New Roman" w:cs="Times New Roman"/>
          <w:sz w:val="24"/>
          <w:szCs w:val="24"/>
          <w:lang w:val="en-US"/>
        </w:rPr>
        <w:t xml:space="preserve"> and XGBoost)</w:t>
      </w:r>
      <w:r w:rsidR="005A48BF">
        <w:rPr>
          <w:rFonts w:ascii="Times New Roman" w:eastAsia="Times New Roman" w:hAnsi="Times New Roman" w:cs="Times New Roman"/>
          <w:sz w:val="24"/>
          <w:szCs w:val="24"/>
          <w:lang w:val="en-US"/>
        </w:rPr>
        <w:t xml:space="preserve"> ,and </w:t>
      </w:r>
      <w:proofErr w:type="spellStart"/>
      <w:r w:rsidRPr="00EB6B67">
        <w:rPr>
          <w:rFonts w:ascii="Times New Roman" w:eastAsia="Times New Roman" w:hAnsi="Times New Roman" w:cs="Times New Roman"/>
          <w:sz w:val="24"/>
          <w:szCs w:val="24"/>
          <w:lang w:val="en-US"/>
        </w:rPr>
        <w:t>CatBoost</w:t>
      </w:r>
      <w:proofErr w:type="spellEnd"/>
      <w:r w:rsidRPr="00EB6B67">
        <w:rPr>
          <w:rFonts w:ascii="Times New Roman" w:eastAsia="Times New Roman" w:hAnsi="Times New Roman" w:cs="Times New Roman"/>
          <w:sz w:val="24"/>
          <w:szCs w:val="24"/>
          <w:lang w:val="en-US"/>
        </w:rPr>
        <w:t xml:space="preserve">. Because fraudulent providers were much less frequent than non-fraudulent ones, we used class weighting and imbalance-aware parameters where available (for example, </w:t>
      </w:r>
      <w:proofErr w:type="spellStart"/>
      <w:r w:rsidRPr="00EB6B67">
        <w:rPr>
          <w:rFonts w:ascii="Times New Roman" w:eastAsia="Times New Roman" w:hAnsi="Times New Roman" w:cs="Times New Roman"/>
          <w:i/>
          <w:iCs/>
          <w:sz w:val="24"/>
          <w:szCs w:val="24"/>
          <w:lang w:val="en-US"/>
        </w:rPr>
        <w:t>class_weight</w:t>
      </w:r>
      <w:proofErr w:type="spellEnd"/>
      <w:r w:rsidRPr="00EB6B67">
        <w:rPr>
          <w:rFonts w:ascii="Times New Roman" w:eastAsia="Times New Roman" w:hAnsi="Times New Roman" w:cs="Times New Roman"/>
          <w:i/>
          <w:iCs/>
          <w:sz w:val="24"/>
          <w:szCs w:val="24"/>
          <w:lang w:val="en-US"/>
        </w:rPr>
        <w:t>="balanced"</w:t>
      </w:r>
      <w:r w:rsidRPr="00EB6B67">
        <w:rPr>
          <w:rFonts w:ascii="Times New Roman" w:eastAsia="Times New Roman" w:hAnsi="Times New Roman" w:cs="Times New Roman"/>
          <w:sz w:val="24"/>
          <w:szCs w:val="24"/>
          <w:lang w:val="en-US"/>
        </w:rPr>
        <w:t xml:space="preserve"> for logistic regression and appropriate positive class weights for tree-based methods).</w:t>
      </w:r>
    </w:p>
    <w:p w14:paraId="51C1F183" w14:textId="77777777" w:rsidR="00EB6B67" w:rsidRDefault="00EB6B67" w:rsidP="00F60ECE">
      <w:pPr>
        <w:spacing w:after="240" w:line="360" w:lineRule="auto"/>
        <w:rPr>
          <w:rFonts w:ascii="Times New Roman" w:eastAsia="Times New Roman" w:hAnsi="Times New Roman" w:cs="Times New Roman"/>
          <w:sz w:val="24"/>
          <w:szCs w:val="24"/>
          <w:lang w:val="en-US"/>
        </w:rPr>
      </w:pPr>
      <w:r w:rsidRPr="00EB6B67">
        <w:rPr>
          <w:rFonts w:ascii="Times New Roman" w:eastAsia="Times New Roman" w:hAnsi="Times New Roman" w:cs="Times New Roman"/>
          <w:sz w:val="24"/>
          <w:szCs w:val="24"/>
          <w:lang w:val="en-US"/>
        </w:rPr>
        <w:t>Hyperparameters for each model were tuned by randomized search with five-fold cross-validation on the 70% training subset. We used area under the precision–recall curve (PR-AUC) as the primary model selection metric, as it is more informative than ROC-AUC when the positive class is rare. For each trained model we then evaluated performance on the 30% hold-out set, computing accuracy, precision, recall, F1-score, PR-AUC, and ROC-AUC. Rather than fixing a probability threshold at 0.5, we traced the precision–recall curve on the hold-out set and selected, for each model, the threshold that maximized F1. Logistic regression with elastic-net regularization and class-balanced weighting emerged as the primary model due to its strong PR-</w:t>
      </w:r>
      <w:r w:rsidRPr="00EB6B67">
        <w:rPr>
          <w:rFonts w:ascii="Times New Roman" w:eastAsia="Times New Roman" w:hAnsi="Times New Roman" w:cs="Times New Roman"/>
          <w:sz w:val="24"/>
          <w:szCs w:val="24"/>
          <w:lang w:val="en-US"/>
        </w:rPr>
        <w:lastRenderedPageBreak/>
        <w:t>AUC, competitive F1-score, and straightforward interpretability via its coefficients. Tree-based models served as additional baselines and helped confirm that performance gains mainly came from the engineered features rather than from more complex architectures.</w:t>
      </w:r>
    </w:p>
    <w:p w14:paraId="40CC4417" w14:textId="2227B11A" w:rsidR="00EB6B67" w:rsidRPr="00666B08" w:rsidRDefault="00EB6B67" w:rsidP="00F60ECE">
      <w:pPr>
        <w:spacing w:line="360" w:lineRule="auto"/>
        <w:rPr>
          <w:rFonts w:ascii="Times New Roman" w:hAnsi="Times New Roman" w:cs="Times New Roman"/>
          <w:b/>
          <w:bCs/>
          <w:i/>
          <w:iCs/>
          <w:sz w:val="24"/>
          <w:szCs w:val="24"/>
        </w:rPr>
      </w:pPr>
      <w:r w:rsidRPr="00666B08">
        <w:rPr>
          <w:rFonts w:ascii="Times New Roman" w:hAnsi="Times New Roman" w:cs="Times New Roman"/>
          <w:b/>
          <w:bCs/>
          <w:i/>
          <w:iCs/>
          <w:sz w:val="24"/>
          <w:szCs w:val="24"/>
        </w:rPr>
        <w:t>3.7 Provider fraud-type clustering</w:t>
      </w:r>
    </w:p>
    <w:p w14:paraId="02DAAA90" w14:textId="3BE5BA8F" w:rsidR="00EB6B67" w:rsidRPr="00EB6B67" w:rsidRDefault="00EB6B67" w:rsidP="00F60ECE">
      <w:pPr>
        <w:spacing w:after="240" w:line="360" w:lineRule="auto"/>
        <w:rPr>
          <w:rFonts w:ascii="Times New Roman" w:eastAsia="Times New Roman" w:hAnsi="Times New Roman" w:cs="Times New Roman"/>
          <w:sz w:val="24"/>
          <w:szCs w:val="24"/>
          <w:lang w:val="en-US"/>
        </w:rPr>
      </w:pPr>
      <w:r w:rsidRPr="00EB6B67">
        <w:rPr>
          <w:rFonts w:ascii="Times New Roman" w:eastAsia="Times New Roman" w:hAnsi="Times New Roman" w:cs="Times New Roman"/>
          <w:sz w:val="24"/>
          <w:szCs w:val="24"/>
          <w:lang w:val="en-US"/>
        </w:rPr>
        <w:t>In addition to predicting whether a provider is fraudulent, we sought to characterize types of fraudulent behavior among high-risk providers. To do this, we constructed a high-risk provider universe by combining all training providers labeled as fraudulent with test providers whose logistic regression fraud score exceeded a high threshold. This yielded a set of providers that either were known frauds in the training data or were scored as strongly suspicious in the unseen test set. For each of these providers we extracted the same standardized features used in the supervised models, including total reimbursement, claim volumes over different windows, counts of unique beneficiaries, peer-normalized inpatient and outpatient z-scores, and aggregated rule counts for duplicates, upcoding, and overcharging.</w:t>
      </w:r>
    </w:p>
    <w:p w14:paraId="19CE0093" w14:textId="7555867E" w:rsidR="00EB6B67" w:rsidRPr="00EB6B67" w:rsidRDefault="00EB6B67" w:rsidP="00F60ECE">
      <w:pPr>
        <w:spacing w:after="240" w:line="360" w:lineRule="auto"/>
        <w:rPr>
          <w:rFonts w:ascii="Times New Roman" w:eastAsia="Times New Roman" w:hAnsi="Times New Roman" w:cs="Times New Roman"/>
          <w:sz w:val="24"/>
          <w:szCs w:val="24"/>
          <w:lang w:val="en-US"/>
        </w:rPr>
      </w:pPr>
      <w:r w:rsidRPr="00EB6B67">
        <w:rPr>
          <w:rFonts w:ascii="Times New Roman" w:eastAsia="Times New Roman" w:hAnsi="Times New Roman" w:cs="Times New Roman"/>
          <w:sz w:val="24"/>
          <w:szCs w:val="24"/>
          <w:lang w:val="en-US"/>
        </w:rPr>
        <w:t>We then applied the HDBSCAN clustering algorithm to this high-risk provider set. HDBSCAN was chosen because it can discover clusters of varying size and density without requiring the number of clusters to be specified in advance, and it can label providers that do not belong to any stable group as noise. We used Euclidean distance on standardized features, with a minimum cluster size of 10 providers and a small minimum samples parameter, after confirming that these settings produced several meaningful clusters and a reasonable fraction of noise points. To visualize the structure of the high-risk provider space, we performed principal component analysis on the standardized features and plotted the first two components, coloring providers by HDBSCAN cluster label and marking noise providers in grey.</w:t>
      </w:r>
    </w:p>
    <w:p w14:paraId="4863D79C" w14:textId="12B71D5A" w:rsidR="00DC1E75" w:rsidRPr="00475B94" w:rsidRDefault="00EB6B67" w:rsidP="00F60ECE">
      <w:pPr>
        <w:spacing w:after="240" w:line="360" w:lineRule="auto"/>
        <w:rPr>
          <w:rFonts w:ascii="Times New Roman" w:eastAsia="Times New Roman" w:hAnsi="Times New Roman" w:cs="Times New Roman"/>
          <w:sz w:val="24"/>
          <w:szCs w:val="24"/>
          <w:lang w:val="en-US"/>
        </w:rPr>
      </w:pPr>
      <w:r w:rsidRPr="00EB6B67">
        <w:rPr>
          <w:rFonts w:ascii="Times New Roman" w:eastAsia="Times New Roman" w:hAnsi="Times New Roman" w:cs="Times New Roman"/>
          <w:sz w:val="24"/>
          <w:szCs w:val="24"/>
          <w:lang w:val="en-US"/>
        </w:rPr>
        <w:t>Finally, we summarized each provider cluster using “cluster cards” that report the number of providers, the mix of labeled versus high-scored test providers, and the medians of key utilization, payment, and rule-based features. These summaries are later used to interpret each cluster as a distinct fraud-type archetype, such as high-revenue inpatient overchargers, high-volume outpatient overbillers, or providers characterized by frequent duplicates and overcharge flags.</w:t>
      </w:r>
    </w:p>
    <w:p w14:paraId="0000000B" w14:textId="0C378E55" w:rsidR="00003EE0" w:rsidRPr="00666B08" w:rsidRDefault="00000000" w:rsidP="00F60ECE">
      <w:pPr>
        <w:pStyle w:val="Heading1"/>
        <w:spacing w:before="0" w:after="240"/>
        <w:rPr>
          <w:rFonts w:ascii="Times New Roman" w:hAnsi="Times New Roman" w:cs="Times New Roman"/>
          <w:b/>
          <w:bCs/>
          <w:sz w:val="28"/>
          <w:szCs w:val="28"/>
        </w:rPr>
      </w:pPr>
      <w:r w:rsidRPr="00666B08">
        <w:rPr>
          <w:rFonts w:ascii="Times New Roman" w:hAnsi="Times New Roman" w:cs="Times New Roman"/>
          <w:b/>
          <w:bCs/>
          <w:sz w:val="28"/>
          <w:szCs w:val="28"/>
        </w:rPr>
        <w:lastRenderedPageBreak/>
        <w:t>4. Results</w:t>
      </w:r>
    </w:p>
    <w:p w14:paraId="5C419A84" w14:textId="75E8A438" w:rsidR="00475B94" w:rsidRPr="00666B08" w:rsidRDefault="00475B94" w:rsidP="00F60ECE">
      <w:pPr>
        <w:spacing w:line="360" w:lineRule="auto"/>
        <w:rPr>
          <w:rFonts w:ascii="Times New Roman" w:hAnsi="Times New Roman" w:cs="Times New Roman"/>
          <w:b/>
          <w:bCs/>
          <w:i/>
          <w:iCs/>
          <w:sz w:val="24"/>
          <w:szCs w:val="24"/>
        </w:rPr>
      </w:pPr>
      <w:r w:rsidRPr="00666B08">
        <w:rPr>
          <w:rFonts w:ascii="Times New Roman" w:hAnsi="Times New Roman" w:cs="Times New Roman"/>
          <w:b/>
          <w:bCs/>
          <w:i/>
          <w:iCs/>
          <w:sz w:val="24"/>
          <w:szCs w:val="24"/>
        </w:rPr>
        <w:t>4.1 Data characteristics and exploratory analysis</w:t>
      </w:r>
    </w:p>
    <w:p w14:paraId="4DD95BB1" w14:textId="5540A676" w:rsidR="004907CD" w:rsidRPr="00475B94" w:rsidRDefault="00475B94" w:rsidP="00F60ECE">
      <w:pPr>
        <w:spacing w:after="240" w:line="360" w:lineRule="auto"/>
        <w:rPr>
          <w:rFonts w:ascii="Times New Roman" w:eastAsia="Times New Roman" w:hAnsi="Times New Roman" w:cs="Times New Roman"/>
          <w:sz w:val="24"/>
          <w:szCs w:val="24"/>
          <w:lang w:val="en-US"/>
        </w:rPr>
      </w:pPr>
      <w:r w:rsidRPr="00475B94">
        <w:rPr>
          <w:rFonts w:ascii="Times New Roman" w:eastAsia="Times New Roman" w:hAnsi="Times New Roman" w:cs="Times New Roman"/>
          <w:sz w:val="24"/>
          <w:szCs w:val="24"/>
          <w:lang w:val="en-US"/>
        </w:rPr>
        <w:t xml:space="preserve">The training data contained 40474 inpatient claims, 517737 outpatient claims, 138556 unique beneficiaries and 5410 providers with fraud labels. As expected for </w:t>
      </w:r>
      <w:r w:rsidR="00FF07ED">
        <w:rPr>
          <w:rFonts w:ascii="Times New Roman" w:eastAsia="Times New Roman" w:hAnsi="Times New Roman" w:cs="Times New Roman"/>
          <w:sz w:val="24"/>
          <w:szCs w:val="24"/>
          <w:lang w:val="en-US"/>
        </w:rPr>
        <w:t>Medi</w:t>
      </w:r>
      <w:r w:rsidR="00FF07ED" w:rsidRPr="00475B94">
        <w:rPr>
          <w:rFonts w:ascii="Times New Roman" w:eastAsia="Times New Roman" w:hAnsi="Times New Roman" w:cs="Times New Roman"/>
          <w:sz w:val="24"/>
          <w:szCs w:val="24"/>
          <w:lang w:val="en-US"/>
        </w:rPr>
        <w:t>care</w:t>
      </w:r>
      <w:r w:rsidRPr="00475B94">
        <w:rPr>
          <w:rFonts w:ascii="Times New Roman" w:eastAsia="Times New Roman" w:hAnsi="Times New Roman" w:cs="Times New Roman"/>
          <w:sz w:val="24"/>
          <w:szCs w:val="24"/>
          <w:lang w:val="en-US"/>
        </w:rPr>
        <w:t xml:space="preserve"> billing data, reimbursement amounts were highly skewed. Most claims had modest payments, while a small fraction carried very high reimbursed amounts. Figure 1 shows the distribution of reimbursed amounts across all claims; a large bulk of claims fall in the low-payment range, with a long right tail and a small number of very expensive claims.</w:t>
      </w:r>
    </w:p>
    <w:p w14:paraId="118C491C" w14:textId="77777777" w:rsidR="00475B94" w:rsidRPr="00475B94" w:rsidRDefault="00475B94" w:rsidP="00F60ECE">
      <w:pPr>
        <w:spacing w:after="240" w:line="360" w:lineRule="auto"/>
        <w:rPr>
          <w:rFonts w:ascii="Times New Roman" w:eastAsia="Times New Roman" w:hAnsi="Times New Roman" w:cs="Times New Roman"/>
          <w:sz w:val="24"/>
          <w:szCs w:val="24"/>
          <w:lang w:val="en-US"/>
        </w:rPr>
      </w:pPr>
      <w:r w:rsidRPr="00475B94">
        <w:rPr>
          <w:rFonts w:ascii="Times New Roman" w:eastAsia="Times New Roman" w:hAnsi="Times New Roman" w:cs="Times New Roman"/>
          <w:sz w:val="24"/>
          <w:szCs w:val="24"/>
          <w:lang w:val="en-US"/>
        </w:rPr>
        <w:t>When we separated inpatient and outpatient claims, their distributions differed in both shape and scale. Inpatient claims exhibited higher median payments and a broader spread, while outpatient payments were generally smaller but more numerous. For inpatient claims, length of stay also showed a skewed distribution, with many short stays and a smaller number of extended hospitalizations. Figure 2 compares inpatient and outpatient claims in terms of reimbursed amount and, for inpatient claims, length of stay. These plots confirm that inpatient services are costlier and more variable, while outpatient services drive volume.</w:t>
      </w:r>
    </w:p>
    <w:p w14:paraId="4DDD6EFE" w14:textId="77777777" w:rsidR="00475B94" w:rsidRPr="00475B94" w:rsidRDefault="00475B94" w:rsidP="00F60ECE">
      <w:pPr>
        <w:spacing w:after="240" w:line="360" w:lineRule="auto"/>
        <w:rPr>
          <w:rFonts w:ascii="Times New Roman" w:eastAsia="Times New Roman" w:hAnsi="Times New Roman" w:cs="Times New Roman"/>
          <w:sz w:val="24"/>
          <w:szCs w:val="24"/>
          <w:lang w:val="en-US"/>
        </w:rPr>
      </w:pPr>
      <w:r w:rsidRPr="00475B94">
        <w:rPr>
          <w:rFonts w:ascii="Times New Roman" w:eastAsia="Times New Roman" w:hAnsi="Times New Roman" w:cs="Times New Roman"/>
          <w:sz w:val="24"/>
          <w:szCs w:val="24"/>
          <w:lang w:val="en-US"/>
        </w:rPr>
        <w:t>To quantify the extremity of high-cost claims, we applied interquartile-range and median absolute deviation rules to payment variables. This identified a relatively small set of claims as potential outliers under standard boxplot or robust z-score thresholds. Rather than removing these observations, we retained them, because they are precisely the types of claims that may correspond to fraud, abuse, or atypical clinical circumstances. We also examined missing values after our cleaning procedures and found that key modelling variables, such as reimbursed amount and claim identifiers, had essentially no remaining missingness.</w:t>
      </w:r>
    </w:p>
    <w:p w14:paraId="42F7EC7A" w14:textId="59DAC82D" w:rsidR="00475B94" w:rsidRDefault="00475B94" w:rsidP="00F60ECE">
      <w:pPr>
        <w:spacing w:after="240" w:line="360" w:lineRule="auto"/>
        <w:rPr>
          <w:rFonts w:ascii="Times New Roman" w:eastAsia="Times New Roman" w:hAnsi="Times New Roman" w:cs="Times New Roman"/>
          <w:sz w:val="24"/>
          <w:szCs w:val="24"/>
          <w:lang w:val="en-US"/>
        </w:rPr>
      </w:pPr>
      <w:r w:rsidRPr="00475B94">
        <w:rPr>
          <w:rFonts w:ascii="Times New Roman" w:eastAsia="Times New Roman" w:hAnsi="Times New Roman" w:cs="Times New Roman"/>
          <w:sz w:val="24"/>
          <w:szCs w:val="24"/>
          <w:lang w:val="en-US"/>
        </w:rPr>
        <w:t xml:space="preserve">At the provider level, we summarized annual activity metrics including total reimbursement, total claims, and unique beneficiaries. A small subset of providers exhibited unusually high volumes of reimbursement, suggestive of behavior that </w:t>
      </w:r>
      <w:r>
        <w:rPr>
          <w:rFonts w:ascii="Times New Roman" w:eastAsia="Times New Roman" w:hAnsi="Times New Roman" w:cs="Times New Roman"/>
          <w:sz w:val="24"/>
          <w:szCs w:val="24"/>
          <w:lang w:val="en-US"/>
        </w:rPr>
        <w:t>needs</w:t>
      </w:r>
      <w:r w:rsidRPr="00475B94">
        <w:rPr>
          <w:rFonts w:ascii="Times New Roman" w:eastAsia="Times New Roman" w:hAnsi="Times New Roman" w:cs="Times New Roman"/>
          <w:sz w:val="24"/>
          <w:szCs w:val="24"/>
          <w:lang w:val="en-US"/>
        </w:rPr>
        <w:t xml:space="preserve"> closer inspection. To understand redundancy among provider features, we computed pairwise correlations and examined a clustered correlation heatmap (Figure 3). Several variables were highly correlated, particularly overlapping counts and reimbursement totals over different time windows. Based on this analysis and variance inflation factor calculations, we removed strongly collinear variables and retained a </w:t>
      </w:r>
      <w:r w:rsidRPr="00475B94">
        <w:rPr>
          <w:rFonts w:ascii="Times New Roman" w:eastAsia="Times New Roman" w:hAnsi="Times New Roman" w:cs="Times New Roman"/>
          <w:sz w:val="24"/>
          <w:szCs w:val="24"/>
          <w:lang w:val="en-US"/>
        </w:rPr>
        <w:lastRenderedPageBreak/>
        <w:t>compact set of interpretable features, including recent claim volume, annual reimbursement, unique beneficiary counts, peer-normalized inpatient and outpatient z-scores, and rule-based counts for duplicate and overcharge events. This reduced feature set was used in the subsequent unsupervised and supervised analyses.</w:t>
      </w:r>
    </w:p>
    <w:p w14:paraId="250BB948" w14:textId="38C1CBF3" w:rsidR="00475B94" w:rsidRPr="00475B94" w:rsidRDefault="00475B94" w:rsidP="00F60ECE">
      <w:pPr>
        <w:spacing w:after="240"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7DB9F5ED" wp14:editId="5710D1B2">
            <wp:extent cx="4058712" cy="3034061"/>
            <wp:effectExtent l="0" t="0" r="0" b="0"/>
            <wp:docPr id="1172243241" name="Picture 1"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43241" name="Picture 1" descr="A collage of graph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64375" cy="3038294"/>
                    </a:xfrm>
                    <a:prstGeom prst="rect">
                      <a:avLst/>
                    </a:prstGeom>
                  </pic:spPr>
                </pic:pic>
              </a:graphicData>
            </a:graphic>
          </wp:inline>
        </w:drawing>
      </w:r>
    </w:p>
    <w:p w14:paraId="3C37D4DE" w14:textId="77777777" w:rsidR="00475B94" w:rsidRDefault="00475B94" w:rsidP="00F60ECE">
      <w:pPr>
        <w:spacing w:after="240" w:line="360" w:lineRule="auto"/>
        <w:rPr>
          <w:rFonts w:ascii="Times New Roman" w:eastAsia="Times New Roman" w:hAnsi="Times New Roman" w:cs="Times New Roman"/>
          <w:sz w:val="24"/>
          <w:szCs w:val="24"/>
          <w:lang w:val="en-US"/>
        </w:rPr>
      </w:pPr>
      <w:r w:rsidRPr="00475B94">
        <w:rPr>
          <w:rFonts w:ascii="Times New Roman" w:eastAsia="Times New Roman" w:hAnsi="Times New Roman" w:cs="Times New Roman"/>
          <w:b/>
          <w:bCs/>
          <w:sz w:val="24"/>
          <w:szCs w:val="24"/>
          <w:lang w:val="en-US"/>
        </w:rPr>
        <w:t>Figure 1. Distribution of claim reimbursements.</w:t>
      </w:r>
      <w:r w:rsidRPr="00475B94">
        <w:rPr>
          <w:rFonts w:ascii="Times New Roman" w:eastAsia="Times New Roman" w:hAnsi="Times New Roman" w:cs="Times New Roman"/>
          <w:sz w:val="24"/>
          <w:szCs w:val="24"/>
          <w:lang w:val="en-US"/>
        </w:rPr>
        <w:t xml:space="preserve"> Histogram and density plots of reimbursed amounts for inpatient and outpatient claims, showing heavy right skew and a small number of very high-cost claims.</w:t>
      </w:r>
    </w:p>
    <w:p w14:paraId="4002E039" w14:textId="21B9F104" w:rsidR="00475B94" w:rsidRPr="00475B94" w:rsidRDefault="00475B94" w:rsidP="00F60ECE">
      <w:pPr>
        <w:spacing w:after="240"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755FDDAC" wp14:editId="6073D720">
            <wp:extent cx="4242272" cy="2634650"/>
            <wp:effectExtent l="0" t="0" r="6350" b="0"/>
            <wp:docPr id="30865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5956" name="Picture 308659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52560" cy="2641039"/>
                    </a:xfrm>
                    <a:prstGeom prst="rect">
                      <a:avLst/>
                    </a:prstGeom>
                  </pic:spPr>
                </pic:pic>
              </a:graphicData>
            </a:graphic>
          </wp:inline>
        </w:drawing>
      </w:r>
    </w:p>
    <w:p w14:paraId="44EE2C9A" w14:textId="77777777" w:rsidR="00475B94" w:rsidRDefault="00475B94" w:rsidP="00F60ECE">
      <w:pPr>
        <w:spacing w:after="240" w:line="360" w:lineRule="auto"/>
        <w:rPr>
          <w:rFonts w:ascii="Times New Roman" w:eastAsia="Times New Roman" w:hAnsi="Times New Roman" w:cs="Times New Roman"/>
          <w:sz w:val="24"/>
          <w:szCs w:val="24"/>
          <w:lang w:val="en-US"/>
        </w:rPr>
      </w:pPr>
      <w:r w:rsidRPr="00475B94">
        <w:rPr>
          <w:rFonts w:ascii="Times New Roman" w:eastAsia="Times New Roman" w:hAnsi="Times New Roman" w:cs="Times New Roman"/>
          <w:b/>
          <w:bCs/>
          <w:sz w:val="24"/>
          <w:szCs w:val="24"/>
          <w:lang w:val="en-US"/>
        </w:rPr>
        <w:lastRenderedPageBreak/>
        <w:t>Figure 2. Comparison of inpatient and outpatient claim characteristics.</w:t>
      </w:r>
      <w:r w:rsidRPr="00475B94">
        <w:rPr>
          <w:rFonts w:ascii="Times New Roman" w:eastAsia="Times New Roman" w:hAnsi="Times New Roman" w:cs="Times New Roman"/>
          <w:sz w:val="24"/>
          <w:szCs w:val="24"/>
          <w:lang w:val="en-US"/>
        </w:rPr>
        <w:t xml:space="preserve"> Boxplots of reimbursed amounts and, for inpatient claims, length of stay, highlighting distributional differences between claim types.</w:t>
      </w:r>
    </w:p>
    <w:p w14:paraId="1D0AB6EC" w14:textId="1E64D5F4" w:rsidR="00475B94" w:rsidRPr="00475B94" w:rsidRDefault="00475B94" w:rsidP="00F60ECE">
      <w:pPr>
        <w:spacing w:after="240"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1D70C0EB" wp14:editId="2CEB7853">
            <wp:extent cx="4507414" cy="3754252"/>
            <wp:effectExtent l="0" t="0" r="7620" b="0"/>
            <wp:docPr id="2103121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211" name="Picture 3"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08910" cy="3755498"/>
                    </a:xfrm>
                    <a:prstGeom prst="rect">
                      <a:avLst/>
                    </a:prstGeom>
                  </pic:spPr>
                </pic:pic>
              </a:graphicData>
            </a:graphic>
          </wp:inline>
        </w:drawing>
      </w:r>
    </w:p>
    <w:p w14:paraId="0031F5A1" w14:textId="77777777" w:rsidR="00475B94" w:rsidRDefault="00475B94" w:rsidP="00F60ECE">
      <w:pPr>
        <w:spacing w:after="240" w:line="360" w:lineRule="auto"/>
        <w:rPr>
          <w:rFonts w:ascii="Times New Roman" w:eastAsia="Times New Roman" w:hAnsi="Times New Roman" w:cs="Times New Roman"/>
          <w:sz w:val="24"/>
          <w:szCs w:val="24"/>
          <w:lang w:val="en-US"/>
        </w:rPr>
      </w:pPr>
      <w:r w:rsidRPr="00475B94">
        <w:rPr>
          <w:rFonts w:ascii="Times New Roman" w:eastAsia="Times New Roman" w:hAnsi="Times New Roman" w:cs="Times New Roman"/>
          <w:b/>
          <w:bCs/>
          <w:sz w:val="24"/>
          <w:szCs w:val="24"/>
          <w:lang w:val="en-US"/>
        </w:rPr>
        <w:t>Figure 3. Correlation heatmap of provider-level features.</w:t>
      </w:r>
      <w:r w:rsidRPr="00475B94">
        <w:rPr>
          <w:rFonts w:ascii="Times New Roman" w:eastAsia="Times New Roman" w:hAnsi="Times New Roman" w:cs="Times New Roman"/>
          <w:sz w:val="24"/>
          <w:szCs w:val="24"/>
          <w:lang w:val="en-US"/>
        </w:rPr>
        <w:t xml:space="preserve"> Clustered Pearson correlation matrix for provider features, used to identify highly collinear variables and guide feature selection.</w:t>
      </w:r>
    </w:p>
    <w:p w14:paraId="1DD47E06" w14:textId="77777777" w:rsidR="00666B08" w:rsidRDefault="00666B08" w:rsidP="00F60ECE">
      <w:pPr>
        <w:spacing w:after="240" w:line="360" w:lineRule="auto"/>
        <w:rPr>
          <w:rFonts w:ascii="Times New Roman" w:eastAsia="Times New Roman" w:hAnsi="Times New Roman" w:cs="Times New Roman"/>
          <w:sz w:val="24"/>
          <w:szCs w:val="24"/>
          <w:lang w:val="en-US"/>
        </w:rPr>
      </w:pPr>
    </w:p>
    <w:p w14:paraId="4D09DE5E" w14:textId="0C4BEBE6" w:rsidR="004907CD" w:rsidRPr="00475B94" w:rsidRDefault="004907CD" w:rsidP="00F60ECE">
      <w:pPr>
        <w:spacing w:line="360" w:lineRule="auto"/>
        <w:rPr>
          <w:rFonts w:ascii="Times New Roman" w:eastAsia="Times New Roman" w:hAnsi="Times New Roman" w:cs="Times New Roman"/>
          <w:b/>
          <w:bCs/>
          <w:i/>
          <w:iCs/>
          <w:sz w:val="24"/>
          <w:szCs w:val="24"/>
          <w:lang w:val="en-US"/>
        </w:rPr>
      </w:pPr>
      <w:r w:rsidRPr="004907CD">
        <w:rPr>
          <w:rFonts w:ascii="Times New Roman" w:eastAsia="Times New Roman" w:hAnsi="Times New Roman" w:cs="Times New Roman"/>
          <w:b/>
          <w:bCs/>
          <w:i/>
          <w:iCs/>
          <w:sz w:val="24"/>
          <w:szCs w:val="24"/>
        </w:rPr>
        <w:t>4.2 Unsupervised claim-level patterns among fraudulent claims</w:t>
      </w:r>
    </w:p>
    <w:p w14:paraId="2BB2A335" w14:textId="5AB31DB0" w:rsidR="004907CD" w:rsidRPr="004907CD" w:rsidRDefault="004907CD" w:rsidP="00F60ECE">
      <w:pPr>
        <w:spacing w:after="240" w:line="360" w:lineRule="auto"/>
        <w:rPr>
          <w:rFonts w:ascii="Times New Roman" w:eastAsia="Times New Roman" w:hAnsi="Times New Roman" w:cs="Times New Roman"/>
          <w:sz w:val="24"/>
          <w:szCs w:val="24"/>
          <w:lang w:val="en-US"/>
        </w:rPr>
      </w:pPr>
      <w:r w:rsidRPr="004907CD">
        <w:rPr>
          <w:rFonts w:ascii="Times New Roman" w:eastAsia="Times New Roman" w:hAnsi="Times New Roman" w:cs="Times New Roman"/>
          <w:sz w:val="24"/>
          <w:szCs w:val="24"/>
          <w:lang w:val="en-US"/>
        </w:rPr>
        <w:t>To explore heterogeneity within fraudulent behavior, we restricted the claim-level feature table to claims submitted by providers labeled as fraudulent in the training data. This yielded 22640 inpatient and 8408 outpatient fraud-only claims. After standardizing features (amounts, diagnosis/procedure counts, rule flags, and peer-normalized z-scores), we applied the HDBSCAN clustering algorithm separately to the inpatient and outpatient subsets.</w:t>
      </w:r>
    </w:p>
    <w:p w14:paraId="7F2BE252" w14:textId="2AAFD1A0" w:rsidR="004907CD" w:rsidRPr="004907CD" w:rsidRDefault="004907CD" w:rsidP="00F60ECE">
      <w:pPr>
        <w:spacing w:after="240" w:line="360" w:lineRule="auto"/>
        <w:rPr>
          <w:rFonts w:ascii="Times New Roman" w:eastAsia="Times New Roman" w:hAnsi="Times New Roman" w:cs="Times New Roman"/>
          <w:sz w:val="24"/>
          <w:szCs w:val="24"/>
          <w:lang w:val="en-US"/>
        </w:rPr>
      </w:pPr>
      <w:r w:rsidRPr="004907CD">
        <w:rPr>
          <w:rFonts w:ascii="Times New Roman" w:eastAsia="Times New Roman" w:hAnsi="Times New Roman" w:cs="Times New Roman"/>
          <w:sz w:val="24"/>
          <w:szCs w:val="24"/>
          <w:lang w:val="en-US"/>
        </w:rPr>
        <w:lastRenderedPageBreak/>
        <w:t>For inpatient fraud-only claims, HDBSCAN identified several clusters plus a substantial noise set. The density-based clustering validation index (DBCV) was positive but modest, and approximately one-third of inpatient claims were labeled as noise, indicating that not all fraudulent claims fall into well-defined groups. When we projected the standardized inpatient features into two principal components for visualization, the claims formed a dense band with a few separate groups corresponding to HDBSCAN clusters (Figure 4). Cluster summary statistics showed both fraudulent inpatient stays with moderate lengths of stay and payments, and a smaller cluster of very high-payment, longer-stay admissions with elevated reimbursement and length-of-stay z-scores and occasional overcharge flags.</w:t>
      </w:r>
    </w:p>
    <w:p w14:paraId="51965B39" w14:textId="77777777" w:rsidR="004907CD" w:rsidRPr="004907CD" w:rsidRDefault="004907CD" w:rsidP="00F60ECE">
      <w:pPr>
        <w:spacing w:after="240" w:line="360" w:lineRule="auto"/>
        <w:rPr>
          <w:rFonts w:ascii="Times New Roman" w:eastAsia="Times New Roman" w:hAnsi="Times New Roman" w:cs="Times New Roman"/>
          <w:sz w:val="24"/>
          <w:szCs w:val="24"/>
          <w:lang w:val="en-US"/>
        </w:rPr>
      </w:pPr>
      <w:r w:rsidRPr="004907CD">
        <w:rPr>
          <w:rFonts w:ascii="Times New Roman" w:eastAsia="Times New Roman" w:hAnsi="Times New Roman" w:cs="Times New Roman"/>
          <w:sz w:val="24"/>
          <w:szCs w:val="24"/>
          <w:lang w:val="en-US"/>
        </w:rPr>
        <w:t>Outpatient fraud-only claims showed somewhat clearer structure. HDBSCAN again produced several clusters and a noise set, but with a lower noise fraction than in the inpatient case. The PCA projection revealed a large core of relatively homogeneous outpatient fraud claims and a few distinct groups corresponding to high-payment or otherwise atypical claims (Figure 5). Cluster summaries indicated that most outpatient clusters consisted of low- to moderate-paid claims with specific ranges of diagnosis code counts, while one or two clusters captured higher-paid outpatient claims with positive reimbursement z-scores and more frequent overcharge indicators.</w:t>
      </w:r>
    </w:p>
    <w:p w14:paraId="1036883B" w14:textId="4752C6D8" w:rsidR="004907CD" w:rsidRDefault="004907CD" w:rsidP="00F60ECE">
      <w:pPr>
        <w:spacing w:after="240" w:line="360" w:lineRule="auto"/>
        <w:rPr>
          <w:rFonts w:ascii="Times New Roman" w:eastAsia="Times New Roman" w:hAnsi="Times New Roman" w:cs="Times New Roman"/>
          <w:sz w:val="24"/>
          <w:szCs w:val="24"/>
          <w:lang w:val="en-US"/>
        </w:rPr>
      </w:pPr>
      <w:r w:rsidRPr="004907CD">
        <w:rPr>
          <w:rFonts w:ascii="Times New Roman" w:eastAsia="Times New Roman" w:hAnsi="Times New Roman" w:cs="Times New Roman"/>
          <w:sz w:val="24"/>
          <w:szCs w:val="24"/>
          <w:lang w:val="en-US"/>
        </w:rPr>
        <w:t>To better understand what distinguished these clusters beyond aggregate amounts, we mined association rules on diagnosis and procedure code sets within each cluster. We focused on rules with relatively high support, confidence, and lift, and summarized representative examples in Table 1. For some outpatient clusters, the rules revealed repeated co-occurrence of a small set of diagnosis codes within a cluster that were much less common outside it, consistent with providers repeatedly billing the same limited code combinations. In inpatient clusters, rules highlighted characteristic diagnosis–procedure pairs that tended to appear together in a subset of high-payment claims. Overall, the combination of HDBSCAN and association rule mining provided a compact way to describe different patterns of fraudulent activity at the claim level, which informed both our understanding of provider behavior and the design of rule-based features used later.</w:t>
      </w:r>
    </w:p>
    <w:p w14:paraId="3A142D2A" w14:textId="54C6E420" w:rsidR="004907CD" w:rsidRPr="004907CD" w:rsidRDefault="004907CD" w:rsidP="00F60ECE">
      <w:pPr>
        <w:spacing w:after="240" w:line="360" w:lineRule="auto"/>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14:anchorId="269294FC" wp14:editId="65A54784">
            <wp:extent cx="2854251" cy="1821109"/>
            <wp:effectExtent l="0" t="0" r="3810" b="8255"/>
            <wp:docPr id="135546866" name="Picture 4"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6866" name="Picture 4" descr="A screen shot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54251" cy="1821109"/>
                    </a:xfrm>
                    <a:prstGeom prst="rect">
                      <a:avLst/>
                    </a:prstGeom>
                  </pic:spPr>
                </pic:pic>
              </a:graphicData>
            </a:graphic>
          </wp:inline>
        </w:drawing>
      </w:r>
      <w:r w:rsidR="00030CF4">
        <w:rPr>
          <w:rFonts w:ascii="Times New Roman" w:eastAsia="Times New Roman" w:hAnsi="Times New Roman" w:cs="Times New Roman"/>
          <w:noProof/>
          <w:sz w:val="24"/>
          <w:szCs w:val="24"/>
          <w:lang w:val="en-US"/>
        </w:rPr>
        <w:drawing>
          <wp:inline distT="0" distB="0" distL="0" distR="0" wp14:anchorId="6D2A79C3" wp14:editId="715FFE3A">
            <wp:extent cx="3070329" cy="1958975"/>
            <wp:effectExtent l="0" t="0" r="0" b="3175"/>
            <wp:docPr id="339040142" name="Picture 5" descr="A graph showing a graph showing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40142" name="Picture 5" descr="A graph showing a graph showing a number of point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70963" cy="1959380"/>
                    </a:xfrm>
                    <a:prstGeom prst="rect">
                      <a:avLst/>
                    </a:prstGeom>
                  </pic:spPr>
                </pic:pic>
              </a:graphicData>
            </a:graphic>
          </wp:inline>
        </w:drawing>
      </w:r>
    </w:p>
    <w:p w14:paraId="1941CB9F" w14:textId="1D5A2DCE" w:rsidR="004907CD" w:rsidRDefault="00030CF4" w:rsidP="00F60ECE">
      <w:pPr>
        <w:spacing w:after="240" w:line="360" w:lineRule="auto"/>
        <w:rPr>
          <w:rFonts w:ascii="Times New Roman" w:eastAsia="Times New Roman" w:hAnsi="Times New Roman" w:cs="Times New Roman"/>
          <w:sz w:val="24"/>
          <w:szCs w:val="24"/>
          <w:lang w:val="en-US"/>
        </w:rPr>
      </w:pPr>
      <w:r w:rsidRPr="00030CF4">
        <w:rPr>
          <w:rFonts w:ascii="Times New Roman" w:eastAsia="Times New Roman" w:hAnsi="Times New Roman" w:cs="Times New Roman"/>
          <w:b/>
          <w:bCs/>
          <w:sz w:val="24"/>
          <w:szCs w:val="24"/>
        </w:rPr>
        <w:t>Figure 4–5. HDBSCAN clusters of fraudulent inpatient (left) and outpatient (right) claims.</w:t>
      </w:r>
      <w:r w:rsidRPr="00030CF4">
        <w:rPr>
          <w:rFonts w:ascii="Times New Roman" w:eastAsia="Times New Roman" w:hAnsi="Times New Roman" w:cs="Times New Roman"/>
          <w:sz w:val="24"/>
          <w:szCs w:val="24"/>
        </w:rPr>
        <w:t xml:space="preserve"> Two-dimensional PCA projections of standardized fraud-only claims are shown, with points colored by HDBSCAN cluster labels and noise points displayed in grey.</w:t>
      </w:r>
    </w:p>
    <w:tbl>
      <w:tblPr>
        <w:tblStyle w:val="TableGridLight"/>
        <w:tblW w:w="9894" w:type="dxa"/>
        <w:tblLook w:val="04A0" w:firstRow="1" w:lastRow="0" w:firstColumn="1" w:lastColumn="0" w:noHBand="0" w:noVBand="1"/>
      </w:tblPr>
      <w:tblGrid>
        <w:gridCol w:w="1357"/>
        <w:gridCol w:w="1357"/>
        <w:gridCol w:w="1502"/>
        <w:gridCol w:w="1556"/>
        <w:gridCol w:w="1357"/>
        <w:gridCol w:w="1408"/>
        <w:gridCol w:w="1357"/>
      </w:tblGrid>
      <w:tr w:rsidR="00921C4E" w:rsidRPr="00921C4E" w14:paraId="0A2D3A5D" w14:textId="77777777" w:rsidTr="009E36B0">
        <w:trPr>
          <w:trHeight w:val="733"/>
        </w:trPr>
        <w:tc>
          <w:tcPr>
            <w:tcW w:w="1357" w:type="dxa"/>
            <w:vAlign w:val="center"/>
          </w:tcPr>
          <w:p w14:paraId="00A650CF"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b/>
              </w:rPr>
              <w:t>Claim Type</w:t>
            </w:r>
          </w:p>
        </w:tc>
        <w:tc>
          <w:tcPr>
            <w:tcW w:w="1357" w:type="dxa"/>
            <w:vAlign w:val="center"/>
          </w:tcPr>
          <w:p w14:paraId="0776BFD6"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b/>
              </w:rPr>
              <w:t>Cluster</w:t>
            </w:r>
          </w:p>
        </w:tc>
        <w:tc>
          <w:tcPr>
            <w:tcW w:w="1502" w:type="dxa"/>
            <w:vAlign w:val="center"/>
          </w:tcPr>
          <w:p w14:paraId="71AA35C7"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b/>
              </w:rPr>
              <w:t>Antecedents Str</w:t>
            </w:r>
          </w:p>
        </w:tc>
        <w:tc>
          <w:tcPr>
            <w:tcW w:w="1556" w:type="dxa"/>
            <w:vAlign w:val="center"/>
          </w:tcPr>
          <w:p w14:paraId="29DE121C"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b/>
              </w:rPr>
              <w:t>Consequents Str</w:t>
            </w:r>
          </w:p>
        </w:tc>
        <w:tc>
          <w:tcPr>
            <w:tcW w:w="1357" w:type="dxa"/>
            <w:vAlign w:val="center"/>
          </w:tcPr>
          <w:p w14:paraId="47699350"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b/>
              </w:rPr>
              <w:t>Support</w:t>
            </w:r>
          </w:p>
        </w:tc>
        <w:tc>
          <w:tcPr>
            <w:tcW w:w="1408" w:type="dxa"/>
            <w:vAlign w:val="center"/>
          </w:tcPr>
          <w:p w14:paraId="3845476B"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b/>
              </w:rPr>
              <w:t>Confidence</w:t>
            </w:r>
          </w:p>
        </w:tc>
        <w:tc>
          <w:tcPr>
            <w:tcW w:w="1357" w:type="dxa"/>
            <w:vAlign w:val="center"/>
          </w:tcPr>
          <w:p w14:paraId="54D1A82A"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b/>
              </w:rPr>
              <w:t>Lift</w:t>
            </w:r>
          </w:p>
        </w:tc>
      </w:tr>
      <w:tr w:rsidR="00921C4E" w:rsidRPr="00921C4E" w14:paraId="7F6D1B5C" w14:textId="77777777" w:rsidTr="009E36B0">
        <w:trPr>
          <w:trHeight w:val="367"/>
        </w:trPr>
        <w:tc>
          <w:tcPr>
            <w:tcW w:w="1357" w:type="dxa"/>
            <w:vAlign w:val="center"/>
          </w:tcPr>
          <w:p w14:paraId="0424B2DE"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OP</w:t>
            </w:r>
          </w:p>
        </w:tc>
        <w:tc>
          <w:tcPr>
            <w:tcW w:w="1357" w:type="dxa"/>
            <w:vAlign w:val="center"/>
          </w:tcPr>
          <w:p w14:paraId="0EEEA127"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1</w:t>
            </w:r>
          </w:p>
        </w:tc>
        <w:tc>
          <w:tcPr>
            <w:tcW w:w="1502" w:type="dxa"/>
            <w:vAlign w:val="center"/>
          </w:tcPr>
          <w:p w14:paraId="73A918FA"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280+285</w:t>
            </w:r>
          </w:p>
        </w:tc>
        <w:tc>
          <w:tcPr>
            <w:tcW w:w="1556" w:type="dxa"/>
            <w:vAlign w:val="center"/>
          </w:tcPr>
          <w:p w14:paraId="3930176C"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588</w:t>
            </w:r>
          </w:p>
        </w:tc>
        <w:tc>
          <w:tcPr>
            <w:tcW w:w="1357" w:type="dxa"/>
            <w:vAlign w:val="center"/>
          </w:tcPr>
          <w:p w14:paraId="04FF5398"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0.039</w:t>
            </w:r>
          </w:p>
        </w:tc>
        <w:tc>
          <w:tcPr>
            <w:tcW w:w="1408" w:type="dxa"/>
            <w:vAlign w:val="center"/>
          </w:tcPr>
          <w:p w14:paraId="52369B06"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0.766</w:t>
            </w:r>
          </w:p>
        </w:tc>
        <w:tc>
          <w:tcPr>
            <w:tcW w:w="1357" w:type="dxa"/>
            <w:vAlign w:val="center"/>
          </w:tcPr>
          <w:p w14:paraId="13E626D9"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10.127</w:t>
            </w:r>
          </w:p>
        </w:tc>
      </w:tr>
      <w:tr w:rsidR="00921C4E" w:rsidRPr="00921C4E" w14:paraId="0A726175" w14:textId="77777777" w:rsidTr="009E36B0">
        <w:trPr>
          <w:trHeight w:val="367"/>
        </w:trPr>
        <w:tc>
          <w:tcPr>
            <w:tcW w:w="1357" w:type="dxa"/>
            <w:vAlign w:val="center"/>
          </w:tcPr>
          <w:p w14:paraId="17BF9209"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OP</w:t>
            </w:r>
          </w:p>
        </w:tc>
        <w:tc>
          <w:tcPr>
            <w:tcW w:w="1357" w:type="dxa"/>
            <w:vAlign w:val="center"/>
          </w:tcPr>
          <w:p w14:paraId="2B520F41"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1</w:t>
            </w:r>
          </w:p>
        </w:tc>
        <w:tc>
          <w:tcPr>
            <w:tcW w:w="1502" w:type="dxa"/>
            <w:vAlign w:val="center"/>
          </w:tcPr>
          <w:p w14:paraId="061FFBFF"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285+588</w:t>
            </w:r>
          </w:p>
        </w:tc>
        <w:tc>
          <w:tcPr>
            <w:tcW w:w="1556" w:type="dxa"/>
            <w:vAlign w:val="center"/>
          </w:tcPr>
          <w:p w14:paraId="14130EC6"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280</w:t>
            </w:r>
          </w:p>
        </w:tc>
        <w:tc>
          <w:tcPr>
            <w:tcW w:w="1357" w:type="dxa"/>
            <w:vAlign w:val="center"/>
          </w:tcPr>
          <w:p w14:paraId="3A2A910E"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0.039</w:t>
            </w:r>
          </w:p>
        </w:tc>
        <w:tc>
          <w:tcPr>
            <w:tcW w:w="1408" w:type="dxa"/>
            <w:vAlign w:val="center"/>
          </w:tcPr>
          <w:p w14:paraId="0E0B98BC"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0.688</w:t>
            </w:r>
          </w:p>
        </w:tc>
        <w:tc>
          <w:tcPr>
            <w:tcW w:w="1357" w:type="dxa"/>
            <w:vAlign w:val="center"/>
          </w:tcPr>
          <w:p w14:paraId="6DEF252F"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9.462</w:t>
            </w:r>
          </w:p>
        </w:tc>
      </w:tr>
      <w:tr w:rsidR="00921C4E" w:rsidRPr="00921C4E" w14:paraId="265CFDBF" w14:textId="77777777" w:rsidTr="009E36B0">
        <w:trPr>
          <w:trHeight w:val="367"/>
        </w:trPr>
        <w:tc>
          <w:tcPr>
            <w:tcW w:w="1357" w:type="dxa"/>
            <w:vAlign w:val="center"/>
          </w:tcPr>
          <w:p w14:paraId="61116FD6"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IP</w:t>
            </w:r>
          </w:p>
        </w:tc>
        <w:tc>
          <w:tcPr>
            <w:tcW w:w="1357" w:type="dxa"/>
            <w:vAlign w:val="center"/>
          </w:tcPr>
          <w:p w14:paraId="74FC56A1"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18</w:t>
            </w:r>
          </w:p>
        </w:tc>
        <w:tc>
          <w:tcPr>
            <w:tcW w:w="1502" w:type="dxa"/>
            <w:vAlign w:val="center"/>
          </w:tcPr>
          <w:p w14:paraId="0F94624A"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995</w:t>
            </w:r>
          </w:p>
        </w:tc>
        <w:tc>
          <w:tcPr>
            <w:tcW w:w="1556" w:type="dxa"/>
            <w:vAlign w:val="center"/>
          </w:tcPr>
          <w:p w14:paraId="4A8B77D7"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38</w:t>
            </w:r>
          </w:p>
        </w:tc>
        <w:tc>
          <w:tcPr>
            <w:tcW w:w="1357" w:type="dxa"/>
            <w:vAlign w:val="center"/>
          </w:tcPr>
          <w:p w14:paraId="63814D78"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0.031</w:t>
            </w:r>
          </w:p>
        </w:tc>
        <w:tc>
          <w:tcPr>
            <w:tcW w:w="1408" w:type="dxa"/>
            <w:vAlign w:val="center"/>
          </w:tcPr>
          <w:p w14:paraId="7285D0AE"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0.645</w:t>
            </w:r>
          </w:p>
        </w:tc>
        <w:tc>
          <w:tcPr>
            <w:tcW w:w="1357" w:type="dxa"/>
            <w:vAlign w:val="center"/>
          </w:tcPr>
          <w:p w14:paraId="12A3861F"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8.896</w:t>
            </w:r>
          </w:p>
        </w:tc>
      </w:tr>
      <w:tr w:rsidR="00921C4E" w:rsidRPr="00921C4E" w14:paraId="5B64C18C" w14:textId="77777777" w:rsidTr="009E36B0">
        <w:trPr>
          <w:trHeight w:val="367"/>
        </w:trPr>
        <w:tc>
          <w:tcPr>
            <w:tcW w:w="1357" w:type="dxa"/>
            <w:vAlign w:val="center"/>
          </w:tcPr>
          <w:p w14:paraId="587F61DA"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OP</w:t>
            </w:r>
          </w:p>
        </w:tc>
        <w:tc>
          <w:tcPr>
            <w:tcW w:w="1357" w:type="dxa"/>
            <w:vAlign w:val="center"/>
          </w:tcPr>
          <w:p w14:paraId="29D9BD64"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1</w:t>
            </w:r>
          </w:p>
        </w:tc>
        <w:tc>
          <w:tcPr>
            <w:tcW w:w="1502" w:type="dxa"/>
            <w:vAlign w:val="center"/>
          </w:tcPr>
          <w:p w14:paraId="21436CF6"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V56</w:t>
            </w:r>
          </w:p>
        </w:tc>
        <w:tc>
          <w:tcPr>
            <w:tcW w:w="1556" w:type="dxa"/>
            <w:vAlign w:val="center"/>
          </w:tcPr>
          <w:p w14:paraId="32B7E5B8"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588</w:t>
            </w:r>
          </w:p>
        </w:tc>
        <w:tc>
          <w:tcPr>
            <w:tcW w:w="1357" w:type="dxa"/>
            <w:vAlign w:val="center"/>
          </w:tcPr>
          <w:p w14:paraId="53F4A134"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0.024</w:t>
            </w:r>
          </w:p>
        </w:tc>
        <w:tc>
          <w:tcPr>
            <w:tcW w:w="1408" w:type="dxa"/>
            <w:vAlign w:val="center"/>
          </w:tcPr>
          <w:p w14:paraId="6AD92E2A"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0.637</w:t>
            </w:r>
          </w:p>
        </w:tc>
        <w:tc>
          <w:tcPr>
            <w:tcW w:w="1357" w:type="dxa"/>
            <w:vAlign w:val="center"/>
          </w:tcPr>
          <w:p w14:paraId="28CCFF24"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8.425</w:t>
            </w:r>
          </w:p>
        </w:tc>
      </w:tr>
      <w:tr w:rsidR="00921C4E" w:rsidRPr="00921C4E" w14:paraId="6A0A588E" w14:textId="77777777" w:rsidTr="009E36B0">
        <w:trPr>
          <w:trHeight w:val="367"/>
        </w:trPr>
        <w:tc>
          <w:tcPr>
            <w:tcW w:w="1357" w:type="dxa"/>
            <w:vAlign w:val="center"/>
          </w:tcPr>
          <w:p w14:paraId="4361FDE9"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OP</w:t>
            </w:r>
          </w:p>
        </w:tc>
        <w:tc>
          <w:tcPr>
            <w:tcW w:w="1357" w:type="dxa"/>
            <w:vAlign w:val="center"/>
          </w:tcPr>
          <w:p w14:paraId="2156BC9F"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1</w:t>
            </w:r>
          </w:p>
        </w:tc>
        <w:tc>
          <w:tcPr>
            <w:tcW w:w="1502" w:type="dxa"/>
            <w:vAlign w:val="center"/>
          </w:tcPr>
          <w:p w14:paraId="178EE599"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588</w:t>
            </w:r>
          </w:p>
        </w:tc>
        <w:tc>
          <w:tcPr>
            <w:tcW w:w="1556" w:type="dxa"/>
            <w:vAlign w:val="center"/>
          </w:tcPr>
          <w:p w14:paraId="600ADD25"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280</w:t>
            </w:r>
          </w:p>
        </w:tc>
        <w:tc>
          <w:tcPr>
            <w:tcW w:w="1357" w:type="dxa"/>
            <w:vAlign w:val="center"/>
          </w:tcPr>
          <w:p w14:paraId="1BD2C7FC"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0.046</w:t>
            </w:r>
          </w:p>
        </w:tc>
        <w:tc>
          <w:tcPr>
            <w:tcW w:w="1408" w:type="dxa"/>
            <w:vAlign w:val="center"/>
          </w:tcPr>
          <w:p w14:paraId="004EC579"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0.612</w:t>
            </w:r>
          </w:p>
        </w:tc>
        <w:tc>
          <w:tcPr>
            <w:tcW w:w="1357" w:type="dxa"/>
            <w:vAlign w:val="center"/>
          </w:tcPr>
          <w:p w14:paraId="68FA6BE6"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8.412</w:t>
            </w:r>
          </w:p>
        </w:tc>
      </w:tr>
      <w:tr w:rsidR="00921C4E" w:rsidRPr="00921C4E" w14:paraId="13A840D2" w14:textId="77777777" w:rsidTr="009E36B0">
        <w:trPr>
          <w:trHeight w:val="367"/>
        </w:trPr>
        <w:tc>
          <w:tcPr>
            <w:tcW w:w="1357" w:type="dxa"/>
            <w:vAlign w:val="center"/>
          </w:tcPr>
          <w:p w14:paraId="29F42D6F"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OP</w:t>
            </w:r>
          </w:p>
        </w:tc>
        <w:tc>
          <w:tcPr>
            <w:tcW w:w="1357" w:type="dxa"/>
            <w:vAlign w:val="center"/>
          </w:tcPr>
          <w:p w14:paraId="177FB9BE"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1</w:t>
            </w:r>
          </w:p>
        </w:tc>
        <w:tc>
          <w:tcPr>
            <w:tcW w:w="1502" w:type="dxa"/>
            <w:vAlign w:val="center"/>
          </w:tcPr>
          <w:p w14:paraId="1A056D44"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280</w:t>
            </w:r>
          </w:p>
        </w:tc>
        <w:tc>
          <w:tcPr>
            <w:tcW w:w="1556" w:type="dxa"/>
            <w:vAlign w:val="center"/>
          </w:tcPr>
          <w:p w14:paraId="5D3D88DE"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588</w:t>
            </w:r>
          </w:p>
        </w:tc>
        <w:tc>
          <w:tcPr>
            <w:tcW w:w="1357" w:type="dxa"/>
            <w:vAlign w:val="center"/>
          </w:tcPr>
          <w:p w14:paraId="1CB88B36"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0.046</w:t>
            </w:r>
          </w:p>
        </w:tc>
        <w:tc>
          <w:tcPr>
            <w:tcW w:w="1408" w:type="dxa"/>
            <w:vAlign w:val="center"/>
          </w:tcPr>
          <w:p w14:paraId="6EC152EF"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0.636</w:t>
            </w:r>
          </w:p>
        </w:tc>
        <w:tc>
          <w:tcPr>
            <w:tcW w:w="1357" w:type="dxa"/>
            <w:vAlign w:val="center"/>
          </w:tcPr>
          <w:p w14:paraId="09977D22"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8.412</w:t>
            </w:r>
          </w:p>
        </w:tc>
      </w:tr>
      <w:tr w:rsidR="00921C4E" w:rsidRPr="00921C4E" w14:paraId="7B2A7D67" w14:textId="77777777" w:rsidTr="009E36B0">
        <w:trPr>
          <w:trHeight w:val="367"/>
        </w:trPr>
        <w:tc>
          <w:tcPr>
            <w:tcW w:w="1357" w:type="dxa"/>
            <w:vAlign w:val="center"/>
          </w:tcPr>
          <w:p w14:paraId="38CB65FF"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IP</w:t>
            </w:r>
          </w:p>
        </w:tc>
        <w:tc>
          <w:tcPr>
            <w:tcW w:w="1357" w:type="dxa"/>
            <w:vAlign w:val="center"/>
          </w:tcPr>
          <w:p w14:paraId="6E14B9D5"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14</w:t>
            </w:r>
          </w:p>
        </w:tc>
        <w:tc>
          <w:tcPr>
            <w:tcW w:w="1502" w:type="dxa"/>
            <w:vAlign w:val="center"/>
          </w:tcPr>
          <w:p w14:paraId="2C2A042F"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8154</w:t>
            </w:r>
          </w:p>
        </w:tc>
        <w:tc>
          <w:tcPr>
            <w:tcW w:w="1556" w:type="dxa"/>
            <w:vAlign w:val="center"/>
          </w:tcPr>
          <w:p w14:paraId="62EF56D0"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715</w:t>
            </w:r>
          </w:p>
        </w:tc>
        <w:tc>
          <w:tcPr>
            <w:tcW w:w="1357" w:type="dxa"/>
            <w:vAlign w:val="center"/>
          </w:tcPr>
          <w:p w14:paraId="12E25E4E"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0.031</w:t>
            </w:r>
          </w:p>
        </w:tc>
        <w:tc>
          <w:tcPr>
            <w:tcW w:w="1408" w:type="dxa"/>
            <w:vAlign w:val="center"/>
          </w:tcPr>
          <w:p w14:paraId="114889AA"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0.863</w:t>
            </w:r>
          </w:p>
        </w:tc>
        <w:tc>
          <w:tcPr>
            <w:tcW w:w="1357" w:type="dxa"/>
            <w:vAlign w:val="center"/>
          </w:tcPr>
          <w:p w14:paraId="26D6027F"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7.415</w:t>
            </w:r>
          </w:p>
        </w:tc>
      </w:tr>
      <w:tr w:rsidR="00921C4E" w:rsidRPr="00921C4E" w14:paraId="33BA9682" w14:textId="77777777" w:rsidTr="009E36B0">
        <w:trPr>
          <w:trHeight w:val="367"/>
        </w:trPr>
        <w:tc>
          <w:tcPr>
            <w:tcW w:w="1357" w:type="dxa"/>
            <w:vAlign w:val="center"/>
          </w:tcPr>
          <w:p w14:paraId="2819CC42"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IP</w:t>
            </w:r>
          </w:p>
        </w:tc>
        <w:tc>
          <w:tcPr>
            <w:tcW w:w="1357" w:type="dxa"/>
            <w:vAlign w:val="center"/>
          </w:tcPr>
          <w:p w14:paraId="00BDD2ED"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13</w:t>
            </w:r>
          </w:p>
        </w:tc>
        <w:tc>
          <w:tcPr>
            <w:tcW w:w="1502" w:type="dxa"/>
            <w:vAlign w:val="center"/>
          </w:tcPr>
          <w:p w14:paraId="0D518480"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7935</w:t>
            </w:r>
          </w:p>
        </w:tc>
        <w:tc>
          <w:tcPr>
            <w:tcW w:w="1556" w:type="dxa"/>
            <w:vAlign w:val="center"/>
          </w:tcPr>
          <w:p w14:paraId="0B54D109"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820</w:t>
            </w:r>
          </w:p>
        </w:tc>
        <w:tc>
          <w:tcPr>
            <w:tcW w:w="1357" w:type="dxa"/>
            <w:vAlign w:val="center"/>
          </w:tcPr>
          <w:p w14:paraId="4FE3FD87"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0.051</w:t>
            </w:r>
          </w:p>
        </w:tc>
        <w:tc>
          <w:tcPr>
            <w:tcW w:w="1408" w:type="dxa"/>
            <w:vAlign w:val="center"/>
          </w:tcPr>
          <w:p w14:paraId="78820F86"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0.865</w:t>
            </w:r>
          </w:p>
        </w:tc>
        <w:tc>
          <w:tcPr>
            <w:tcW w:w="1357" w:type="dxa"/>
            <w:vAlign w:val="center"/>
          </w:tcPr>
          <w:p w14:paraId="309A8A5B" w14:textId="77777777" w:rsidR="00921C4E" w:rsidRPr="00921C4E" w:rsidRDefault="00921C4E" w:rsidP="00F60ECE">
            <w:pPr>
              <w:spacing w:after="240"/>
              <w:jc w:val="center"/>
              <w:rPr>
                <w:rFonts w:ascii="Times New Roman" w:hAnsi="Times New Roman" w:cs="Times New Roman"/>
              </w:rPr>
            </w:pPr>
            <w:r w:rsidRPr="00921C4E">
              <w:rPr>
                <w:rFonts w:ascii="Times New Roman" w:hAnsi="Times New Roman" w:cs="Times New Roman"/>
              </w:rPr>
              <w:t>7.398</w:t>
            </w:r>
          </w:p>
        </w:tc>
      </w:tr>
    </w:tbl>
    <w:p w14:paraId="749B4D33" w14:textId="77777777" w:rsidR="004907CD" w:rsidRPr="004907CD" w:rsidRDefault="004907CD" w:rsidP="00F60ECE">
      <w:pPr>
        <w:spacing w:after="240" w:line="360" w:lineRule="auto"/>
        <w:rPr>
          <w:rFonts w:ascii="Times New Roman" w:eastAsia="Times New Roman" w:hAnsi="Times New Roman" w:cs="Times New Roman"/>
          <w:sz w:val="24"/>
          <w:szCs w:val="24"/>
          <w:lang w:val="en-US"/>
        </w:rPr>
      </w:pPr>
    </w:p>
    <w:p w14:paraId="0C2D554D" w14:textId="77777777" w:rsidR="004907CD" w:rsidRDefault="004907CD" w:rsidP="00F60ECE">
      <w:pPr>
        <w:spacing w:after="240" w:line="360" w:lineRule="auto"/>
        <w:rPr>
          <w:rFonts w:ascii="Times New Roman" w:eastAsia="Times New Roman" w:hAnsi="Times New Roman" w:cs="Times New Roman"/>
          <w:sz w:val="24"/>
          <w:szCs w:val="24"/>
          <w:lang w:val="en-US"/>
        </w:rPr>
      </w:pPr>
      <w:r w:rsidRPr="004907CD">
        <w:rPr>
          <w:rFonts w:ascii="Times New Roman" w:eastAsia="Times New Roman" w:hAnsi="Times New Roman" w:cs="Times New Roman"/>
          <w:b/>
          <w:bCs/>
          <w:sz w:val="24"/>
          <w:szCs w:val="24"/>
          <w:lang w:val="en-US"/>
        </w:rPr>
        <w:t>Table 1. Example diagnosis/procedure code patterns within claim clusters.</w:t>
      </w:r>
      <w:r w:rsidRPr="004907CD">
        <w:rPr>
          <w:rFonts w:ascii="Times New Roman" w:eastAsia="Times New Roman" w:hAnsi="Times New Roman" w:cs="Times New Roman"/>
          <w:sz w:val="24"/>
          <w:szCs w:val="24"/>
          <w:lang w:val="en-US"/>
        </w:rPr>
        <w:t xml:space="preserve"> Representative association rules for selected inpatient and outpatient HDBSCAN clusters, showing antecedent code sets, consequent codes, support, confidence, and lift, and illustrating recurring code combinations that are concentrated within specific fraud-only clusters.</w:t>
      </w:r>
    </w:p>
    <w:p w14:paraId="2BE246F8" w14:textId="77777777" w:rsidR="00666B08" w:rsidRPr="004907CD" w:rsidRDefault="00666B08" w:rsidP="00F60ECE">
      <w:pPr>
        <w:spacing w:after="240" w:line="360" w:lineRule="auto"/>
        <w:rPr>
          <w:rFonts w:ascii="Times New Roman" w:eastAsia="Times New Roman" w:hAnsi="Times New Roman" w:cs="Times New Roman"/>
          <w:sz w:val="24"/>
          <w:szCs w:val="24"/>
          <w:lang w:val="en-US"/>
        </w:rPr>
      </w:pPr>
    </w:p>
    <w:p w14:paraId="2D6D7843" w14:textId="77777777" w:rsidR="00A5133A" w:rsidRPr="00A5133A" w:rsidRDefault="00A5133A" w:rsidP="00F60ECE">
      <w:pPr>
        <w:spacing w:line="360" w:lineRule="auto"/>
        <w:rPr>
          <w:rFonts w:ascii="Times New Roman" w:eastAsia="Times New Roman" w:hAnsi="Times New Roman" w:cs="Times New Roman"/>
          <w:b/>
          <w:bCs/>
          <w:i/>
          <w:iCs/>
          <w:sz w:val="24"/>
          <w:szCs w:val="24"/>
          <w:lang w:val="en-US"/>
        </w:rPr>
      </w:pPr>
      <w:r w:rsidRPr="00A5133A">
        <w:rPr>
          <w:rFonts w:ascii="Times New Roman" w:eastAsia="Times New Roman" w:hAnsi="Times New Roman" w:cs="Times New Roman"/>
          <w:b/>
          <w:bCs/>
          <w:i/>
          <w:iCs/>
          <w:sz w:val="24"/>
          <w:szCs w:val="24"/>
          <w:lang w:val="en-US"/>
        </w:rPr>
        <w:lastRenderedPageBreak/>
        <w:t>4.3 Provider-level fraud classification performance</w:t>
      </w:r>
    </w:p>
    <w:p w14:paraId="5BAB8000" w14:textId="77777777" w:rsidR="00A5133A" w:rsidRPr="00A5133A" w:rsidRDefault="00A5133A" w:rsidP="00F60ECE">
      <w:pPr>
        <w:spacing w:after="240" w:line="360" w:lineRule="auto"/>
        <w:rPr>
          <w:rFonts w:ascii="Times New Roman" w:eastAsia="Times New Roman" w:hAnsi="Times New Roman" w:cs="Times New Roman"/>
          <w:sz w:val="24"/>
          <w:szCs w:val="24"/>
          <w:lang w:val="en-US"/>
        </w:rPr>
      </w:pPr>
      <w:r w:rsidRPr="00A5133A">
        <w:rPr>
          <w:rFonts w:ascii="Times New Roman" w:eastAsia="Times New Roman" w:hAnsi="Times New Roman" w:cs="Times New Roman"/>
          <w:sz w:val="24"/>
          <w:szCs w:val="24"/>
          <w:lang w:val="en-US"/>
        </w:rPr>
        <w:t>We evaluated several supervised models for predicting provider fraud status using the engineered provider-level features. On the 30% hold-out subset of labeled providers, all models achieved high ROC-AUC (around 0.93–0.94), indicating good discrimination between fraudulent and non-fraudulent providers. Precision–recall performance, which is more informative under class imbalance, varied more across models. A summary of accuracy, precision, recall, F1-score, PR-AUC, and ROC-AUC for each model is given in Table 2.</w:t>
      </w:r>
    </w:p>
    <w:p w14:paraId="5D5A5BC9" w14:textId="14FF218A" w:rsidR="00A5133A" w:rsidRPr="00A5133A" w:rsidRDefault="00A5133A" w:rsidP="00F60ECE">
      <w:pPr>
        <w:spacing w:after="240" w:line="360" w:lineRule="auto"/>
        <w:rPr>
          <w:rFonts w:ascii="Times New Roman" w:eastAsia="Times New Roman" w:hAnsi="Times New Roman" w:cs="Times New Roman"/>
          <w:sz w:val="24"/>
          <w:szCs w:val="24"/>
          <w:lang w:val="en-US"/>
        </w:rPr>
      </w:pPr>
      <w:r w:rsidRPr="00A5133A">
        <w:rPr>
          <w:rFonts w:ascii="Times New Roman" w:eastAsia="Times New Roman" w:hAnsi="Times New Roman" w:cs="Times New Roman"/>
          <w:sz w:val="24"/>
          <w:szCs w:val="24"/>
          <w:lang w:val="en-US"/>
        </w:rPr>
        <w:t xml:space="preserve">Logistic regression with elastic-net regularization and class-balanced weighting emerged as the best overall model. Its PR-AUC was approximately 0.71, with ROC-AUC around 0.93, and after threshold tuning it achieved a precision of roughly 0.74 and recall of about 0.56 on the hold-out set, corresponding to an F1-score in the mid-0.60s. Tree-based models such as Random Forests, </w:t>
      </w:r>
      <w:proofErr w:type="spellStart"/>
      <w:r w:rsidRPr="00A5133A">
        <w:rPr>
          <w:rFonts w:ascii="Times New Roman" w:eastAsia="Times New Roman" w:hAnsi="Times New Roman" w:cs="Times New Roman"/>
          <w:sz w:val="24"/>
          <w:szCs w:val="24"/>
          <w:lang w:val="en-US"/>
        </w:rPr>
        <w:t>ExtraTrees</w:t>
      </w:r>
      <w:proofErr w:type="spellEnd"/>
      <w:r w:rsidRPr="00A5133A">
        <w:rPr>
          <w:rFonts w:ascii="Times New Roman" w:eastAsia="Times New Roman" w:hAnsi="Times New Roman" w:cs="Times New Roman"/>
          <w:sz w:val="24"/>
          <w:szCs w:val="24"/>
          <w:lang w:val="en-US"/>
        </w:rPr>
        <w:t>, and gradient boosting methods (</w:t>
      </w:r>
      <w:proofErr w:type="spellStart"/>
      <w:r w:rsidRPr="00A5133A">
        <w:rPr>
          <w:rFonts w:ascii="Times New Roman" w:eastAsia="Times New Roman" w:hAnsi="Times New Roman" w:cs="Times New Roman"/>
          <w:sz w:val="24"/>
          <w:szCs w:val="24"/>
          <w:lang w:val="en-US"/>
        </w:rPr>
        <w:t>LightGBM</w:t>
      </w:r>
      <w:proofErr w:type="spellEnd"/>
      <w:r w:rsidRPr="00A5133A">
        <w:rPr>
          <w:rFonts w:ascii="Times New Roman" w:eastAsia="Times New Roman" w:hAnsi="Times New Roman" w:cs="Times New Roman"/>
          <w:sz w:val="24"/>
          <w:szCs w:val="24"/>
          <w:lang w:val="en-US"/>
        </w:rPr>
        <w:t xml:space="preserve"> and XGBoost), as well as </w:t>
      </w:r>
      <w:proofErr w:type="spellStart"/>
      <w:r w:rsidRPr="00A5133A">
        <w:rPr>
          <w:rFonts w:ascii="Times New Roman" w:eastAsia="Times New Roman" w:hAnsi="Times New Roman" w:cs="Times New Roman"/>
          <w:sz w:val="24"/>
          <w:szCs w:val="24"/>
          <w:lang w:val="en-US"/>
        </w:rPr>
        <w:t>CatBoost</w:t>
      </w:r>
      <w:proofErr w:type="spellEnd"/>
      <w:r w:rsidRPr="00A5133A">
        <w:rPr>
          <w:rFonts w:ascii="Times New Roman" w:eastAsia="Times New Roman" w:hAnsi="Times New Roman" w:cs="Times New Roman"/>
          <w:sz w:val="24"/>
          <w:szCs w:val="24"/>
          <w:lang w:val="en-US"/>
        </w:rPr>
        <w:t xml:space="preserve"> and a shallow multilayer perceptron, achieved similar ROC-AUC values but slightly lower PR-AUC or less favorable precision–recall trade-offs at their best F1 thresholds. In other words, more complex models did not outperform a well-regularized, interpretable linear model on this feature set.</w:t>
      </w:r>
    </w:p>
    <w:p w14:paraId="14D06FDD" w14:textId="46E43176" w:rsidR="00895AAA" w:rsidRDefault="00A5133A" w:rsidP="00F60ECE">
      <w:pPr>
        <w:spacing w:after="240" w:line="360" w:lineRule="auto"/>
        <w:rPr>
          <w:rFonts w:ascii="Times New Roman" w:eastAsia="Times New Roman" w:hAnsi="Times New Roman" w:cs="Times New Roman"/>
          <w:sz w:val="24"/>
          <w:szCs w:val="24"/>
          <w:lang w:val="en-US"/>
        </w:rPr>
      </w:pPr>
      <w:r w:rsidRPr="00A5133A">
        <w:rPr>
          <w:rFonts w:ascii="Times New Roman" w:eastAsia="Times New Roman" w:hAnsi="Times New Roman" w:cs="Times New Roman"/>
          <w:sz w:val="24"/>
          <w:szCs w:val="24"/>
          <w:lang w:val="en-US"/>
        </w:rPr>
        <w:t>We examined the distribution of logistic regression fraud risk scores across providers (Figure 6). Non-fraudulent providers tended to receive scores near zero, while fraudulent providers showed a broader distribution skewed toward higher scores. The chosen decision threshold separates a small subset of high-risk providers with elevated scores from a large majority with low scores. Among the highest-scoring providers, we observed elevated annual reimbursement, higher claim volumes, higher peer-normalized inpatient or outpatient z-scores, and increased counts of duplicate or overcharge flags, consistent with the design of our features. These risk scores were subsequently applied to the unlabeled test providers to produce fraud risk predictions and were also used to define the high-risk provider universe for clustering in Section 4.4.</w:t>
      </w:r>
    </w:p>
    <w:tbl>
      <w:tblPr>
        <w:tblStyle w:val="TableGrid"/>
        <w:tblW w:w="0" w:type="auto"/>
        <w:jc w:val="center"/>
        <w:tblLayout w:type="fixed"/>
        <w:tblLook w:val="04A0" w:firstRow="1" w:lastRow="0" w:firstColumn="1" w:lastColumn="0" w:noHBand="0" w:noVBand="1"/>
      </w:tblPr>
      <w:tblGrid>
        <w:gridCol w:w="1705"/>
        <w:gridCol w:w="1260"/>
        <w:gridCol w:w="1260"/>
        <w:gridCol w:w="908"/>
        <w:gridCol w:w="892"/>
        <w:gridCol w:w="1170"/>
        <w:gridCol w:w="1260"/>
      </w:tblGrid>
      <w:tr w:rsidR="00895AAA" w:rsidRPr="00BB7564" w14:paraId="348513A6" w14:textId="77777777" w:rsidTr="00030CF4">
        <w:trPr>
          <w:trHeight w:val="520"/>
          <w:jc w:val="center"/>
        </w:trPr>
        <w:tc>
          <w:tcPr>
            <w:tcW w:w="1705" w:type="dxa"/>
            <w:vAlign w:val="center"/>
          </w:tcPr>
          <w:p w14:paraId="69E9A465" w14:textId="77777777" w:rsidR="00895AAA" w:rsidRPr="00BB7564" w:rsidRDefault="00895AAA" w:rsidP="00F60ECE">
            <w:pPr>
              <w:spacing w:after="240"/>
              <w:jc w:val="center"/>
              <w:rPr>
                <w:b/>
                <w:bCs/>
              </w:rPr>
            </w:pPr>
            <w:r>
              <w:rPr>
                <w:b/>
                <w:bCs/>
              </w:rPr>
              <w:t>M</w:t>
            </w:r>
            <w:r w:rsidRPr="00BB7564">
              <w:rPr>
                <w:b/>
                <w:bCs/>
              </w:rPr>
              <w:t>odel</w:t>
            </w:r>
          </w:p>
        </w:tc>
        <w:tc>
          <w:tcPr>
            <w:tcW w:w="1260" w:type="dxa"/>
            <w:vAlign w:val="center"/>
          </w:tcPr>
          <w:p w14:paraId="4354A7D5" w14:textId="77777777" w:rsidR="00895AAA" w:rsidRPr="00BB7564" w:rsidRDefault="00895AAA" w:rsidP="00F60ECE">
            <w:pPr>
              <w:spacing w:after="240"/>
              <w:jc w:val="center"/>
              <w:rPr>
                <w:b/>
                <w:bCs/>
              </w:rPr>
            </w:pPr>
            <w:r>
              <w:rPr>
                <w:b/>
                <w:bCs/>
              </w:rPr>
              <w:t>A</w:t>
            </w:r>
            <w:r w:rsidRPr="00BB7564">
              <w:rPr>
                <w:b/>
                <w:bCs/>
              </w:rPr>
              <w:t>ccuracy</w:t>
            </w:r>
          </w:p>
        </w:tc>
        <w:tc>
          <w:tcPr>
            <w:tcW w:w="1260" w:type="dxa"/>
            <w:vAlign w:val="center"/>
          </w:tcPr>
          <w:p w14:paraId="21B77ADC" w14:textId="77777777" w:rsidR="00895AAA" w:rsidRPr="00BB7564" w:rsidRDefault="00895AAA" w:rsidP="00F60ECE">
            <w:pPr>
              <w:spacing w:after="240"/>
              <w:jc w:val="center"/>
              <w:rPr>
                <w:b/>
                <w:bCs/>
              </w:rPr>
            </w:pPr>
            <w:r>
              <w:rPr>
                <w:b/>
                <w:bCs/>
              </w:rPr>
              <w:t>P</w:t>
            </w:r>
            <w:r w:rsidRPr="00BB7564">
              <w:rPr>
                <w:b/>
                <w:bCs/>
              </w:rPr>
              <w:t>recision</w:t>
            </w:r>
          </w:p>
        </w:tc>
        <w:tc>
          <w:tcPr>
            <w:tcW w:w="908" w:type="dxa"/>
            <w:vAlign w:val="center"/>
          </w:tcPr>
          <w:p w14:paraId="16F113A7" w14:textId="77777777" w:rsidR="00895AAA" w:rsidRPr="00BB7564" w:rsidRDefault="00895AAA" w:rsidP="00F60ECE">
            <w:pPr>
              <w:spacing w:after="240"/>
              <w:jc w:val="center"/>
              <w:rPr>
                <w:b/>
                <w:bCs/>
              </w:rPr>
            </w:pPr>
            <w:r>
              <w:rPr>
                <w:b/>
                <w:bCs/>
              </w:rPr>
              <w:t>R</w:t>
            </w:r>
            <w:r w:rsidRPr="00BB7564">
              <w:rPr>
                <w:b/>
                <w:bCs/>
              </w:rPr>
              <w:t>ecall</w:t>
            </w:r>
          </w:p>
        </w:tc>
        <w:tc>
          <w:tcPr>
            <w:tcW w:w="892" w:type="dxa"/>
            <w:vAlign w:val="center"/>
          </w:tcPr>
          <w:p w14:paraId="398BBD51" w14:textId="77777777" w:rsidR="00895AAA" w:rsidRPr="00BB7564" w:rsidRDefault="00895AAA" w:rsidP="00F60ECE">
            <w:pPr>
              <w:spacing w:after="240"/>
              <w:jc w:val="center"/>
              <w:rPr>
                <w:b/>
                <w:bCs/>
              </w:rPr>
            </w:pPr>
            <w:r>
              <w:rPr>
                <w:b/>
                <w:bCs/>
              </w:rPr>
              <w:t>F1</w:t>
            </w:r>
          </w:p>
        </w:tc>
        <w:tc>
          <w:tcPr>
            <w:tcW w:w="1170" w:type="dxa"/>
            <w:vAlign w:val="center"/>
          </w:tcPr>
          <w:p w14:paraId="40EAA97D" w14:textId="77777777" w:rsidR="00895AAA" w:rsidRPr="00BB7564" w:rsidRDefault="00895AAA" w:rsidP="00F60ECE">
            <w:pPr>
              <w:spacing w:after="240"/>
              <w:jc w:val="center"/>
              <w:rPr>
                <w:b/>
                <w:bCs/>
              </w:rPr>
            </w:pPr>
            <w:r>
              <w:rPr>
                <w:b/>
                <w:bCs/>
              </w:rPr>
              <w:t>PR</w:t>
            </w:r>
            <w:r w:rsidRPr="00BB7564">
              <w:rPr>
                <w:b/>
                <w:bCs/>
              </w:rPr>
              <w:t>_</w:t>
            </w:r>
            <w:r>
              <w:rPr>
                <w:b/>
                <w:bCs/>
              </w:rPr>
              <w:t>AUC</w:t>
            </w:r>
          </w:p>
        </w:tc>
        <w:tc>
          <w:tcPr>
            <w:tcW w:w="1260" w:type="dxa"/>
            <w:vAlign w:val="center"/>
          </w:tcPr>
          <w:p w14:paraId="0574EAD1" w14:textId="77777777" w:rsidR="00895AAA" w:rsidRPr="00BB7564" w:rsidRDefault="00895AAA" w:rsidP="00F60ECE">
            <w:pPr>
              <w:spacing w:after="240"/>
              <w:jc w:val="center"/>
              <w:rPr>
                <w:b/>
                <w:bCs/>
              </w:rPr>
            </w:pPr>
            <w:r>
              <w:rPr>
                <w:b/>
                <w:bCs/>
              </w:rPr>
              <w:t>ROC</w:t>
            </w:r>
            <w:r w:rsidRPr="00BB7564">
              <w:rPr>
                <w:b/>
                <w:bCs/>
              </w:rPr>
              <w:t>_</w:t>
            </w:r>
            <w:r>
              <w:rPr>
                <w:b/>
                <w:bCs/>
              </w:rPr>
              <w:t>AUC</w:t>
            </w:r>
          </w:p>
        </w:tc>
      </w:tr>
      <w:tr w:rsidR="00895AAA" w14:paraId="7D0D3559" w14:textId="77777777" w:rsidTr="00030CF4">
        <w:trPr>
          <w:trHeight w:val="260"/>
          <w:jc w:val="center"/>
        </w:trPr>
        <w:tc>
          <w:tcPr>
            <w:tcW w:w="1705" w:type="dxa"/>
            <w:vAlign w:val="center"/>
          </w:tcPr>
          <w:p w14:paraId="704F9527" w14:textId="77777777" w:rsidR="00895AAA" w:rsidRDefault="00895AAA" w:rsidP="00F60ECE">
            <w:pPr>
              <w:spacing w:after="240"/>
              <w:jc w:val="center"/>
            </w:pPr>
            <w:proofErr w:type="spellStart"/>
            <w:r>
              <w:t>LogReg</w:t>
            </w:r>
            <w:proofErr w:type="spellEnd"/>
          </w:p>
        </w:tc>
        <w:tc>
          <w:tcPr>
            <w:tcW w:w="1260" w:type="dxa"/>
            <w:vAlign w:val="center"/>
          </w:tcPr>
          <w:p w14:paraId="3819EECE" w14:textId="77777777" w:rsidR="00895AAA" w:rsidRDefault="00895AAA" w:rsidP="00F60ECE">
            <w:pPr>
              <w:spacing w:after="240"/>
              <w:jc w:val="center"/>
            </w:pPr>
            <w:r>
              <w:t>0.93</w:t>
            </w:r>
          </w:p>
        </w:tc>
        <w:tc>
          <w:tcPr>
            <w:tcW w:w="1260" w:type="dxa"/>
            <w:vAlign w:val="center"/>
          </w:tcPr>
          <w:p w14:paraId="55EB3591" w14:textId="77777777" w:rsidR="00895AAA" w:rsidRDefault="00895AAA" w:rsidP="00F60ECE">
            <w:pPr>
              <w:spacing w:after="240"/>
              <w:jc w:val="center"/>
            </w:pPr>
            <w:r>
              <w:t>0.59</w:t>
            </w:r>
          </w:p>
        </w:tc>
        <w:tc>
          <w:tcPr>
            <w:tcW w:w="908" w:type="dxa"/>
            <w:vAlign w:val="center"/>
          </w:tcPr>
          <w:p w14:paraId="3B72E89F" w14:textId="77777777" w:rsidR="00895AAA" w:rsidRDefault="00895AAA" w:rsidP="00F60ECE">
            <w:pPr>
              <w:spacing w:after="240"/>
              <w:jc w:val="center"/>
            </w:pPr>
            <w:r>
              <w:t>0.74</w:t>
            </w:r>
          </w:p>
        </w:tc>
        <w:tc>
          <w:tcPr>
            <w:tcW w:w="892" w:type="dxa"/>
            <w:vAlign w:val="center"/>
          </w:tcPr>
          <w:p w14:paraId="4252F9A6" w14:textId="77777777" w:rsidR="00895AAA" w:rsidRDefault="00895AAA" w:rsidP="00F60ECE">
            <w:pPr>
              <w:spacing w:after="240"/>
              <w:jc w:val="center"/>
            </w:pPr>
            <w:r>
              <w:t>0.66</w:t>
            </w:r>
          </w:p>
        </w:tc>
        <w:tc>
          <w:tcPr>
            <w:tcW w:w="1170" w:type="dxa"/>
            <w:vAlign w:val="center"/>
          </w:tcPr>
          <w:p w14:paraId="04401FA3" w14:textId="77777777" w:rsidR="00895AAA" w:rsidRDefault="00895AAA" w:rsidP="00F60ECE">
            <w:pPr>
              <w:spacing w:after="240"/>
              <w:jc w:val="center"/>
            </w:pPr>
            <w:r>
              <w:t>0.73</w:t>
            </w:r>
          </w:p>
        </w:tc>
        <w:tc>
          <w:tcPr>
            <w:tcW w:w="1260" w:type="dxa"/>
            <w:vAlign w:val="center"/>
          </w:tcPr>
          <w:p w14:paraId="2B0A6AE3" w14:textId="77777777" w:rsidR="00895AAA" w:rsidRDefault="00895AAA" w:rsidP="00F60ECE">
            <w:pPr>
              <w:spacing w:after="240"/>
              <w:jc w:val="center"/>
            </w:pPr>
            <w:r>
              <w:t>0.94</w:t>
            </w:r>
          </w:p>
        </w:tc>
      </w:tr>
      <w:tr w:rsidR="00895AAA" w14:paraId="7C639901" w14:textId="77777777" w:rsidTr="00030CF4">
        <w:trPr>
          <w:trHeight w:val="525"/>
          <w:jc w:val="center"/>
        </w:trPr>
        <w:tc>
          <w:tcPr>
            <w:tcW w:w="1705" w:type="dxa"/>
            <w:vAlign w:val="center"/>
          </w:tcPr>
          <w:p w14:paraId="7EC48985" w14:textId="77777777" w:rsidR="00895AAA" w:rsidRDefault="00895AAA" w:rsidP="00F60ECE">
            <w:pPr>
              <w:spacing w:after="240"/>
              <w:jc w:val="center"/>
            </w:pPr>
            <w:proofErr w:type="spellStart"/>
            <w:r>
              <w:t>ExtraTrees</w:t>
            </w:r>
            <w:proofErr w:type="spellEnd"/>
          </w:p>
        </w:tc>
        <w:tc>
          <w:tcPr>
            <w:tcW w:w="1260" w:type="dxa"/>
            <w:vAlign w:val="center"/>
          </w:tcPr>
          <w:p w14:paraId="54DCACA0" w14:textId="77777777" w:rsidR="00895AAA" w:rsidRDefault="00895AAA" w:rsidP="00F60ECE">
            <w:pPr>
              <w:spacing w:after="240"/>
              <w:jc w:val="center"/>
            </w:pPr>
            <w:r>
              <w:t>0.91</w:t>
            </w:r>
          </w:p>
        </w:tc>
        <w:tc>
          <w:tcPr>
            <w:tcW w:w="1260" w:type="dxa"/>
            <w:vAlign w:val="center"/>
          </w:tcPr>
          <w:p w14:paraId="30D752F6" w14:textId="77777777" w:rsidR="00895AAA" w:rsidRDefault="00895AAA" w:rsidP="00F60ECE">
            <w:pPr>
              <w:spacing w:after="240"/>
              <w:jc w:val="center"/>
            </w:pPr>
            <w:r>
              <w:t>0.53</w:t>
            </w:r>
          </w:p>
        </w:tc>
        <w:tc>
          <w:tcPr>
            <w:tcW w:w="908" w:type="dxa"/>
            <w:vAlign w:val="center"/>
          </w:tcPr>
          <w:p w14:paraId="4F96833B" w14:textId="77777777" w:rsidR="00895AAA" w:rsidRDefault="00895AAA" w:rsidP="00F60ECE">
            <w:pPr>
              <w:spacing w:after="240"/>
              <w:jc w:val="center"/>
            </w:pPr>
            <w:r>
              <w:t>0.74</w:t>
            </w:r>
          </w:p>
        </w:tc>
        <w:tc>
          <w:tcPr>
            <w:tcW w:w="892" w:type="dxa"/>
            <w:vAlign w:val="center"/>
          </w:tcPr>
          <w:p w14:paraId="5C353C6F" w14:textId="77777777" w:rsidR="00895AAA" w:rsidRDefault="00895AAA" w:rsidP="00F60ECE">
            <w:pPr>
              <w:spacing w:after="240"/>
              <w:jc w:val="center"/>
            </w:pPr>
            <w:r>
              <w:t>0.61</w:t>
            </w:r>
          </w:p>
        </w:tc>
        <w:tc>
          <w:tcPr>
            <w:tcW w:w="1170" w:type="dxa"/>
            <w:vAlign w:val="center"/>
          </w:tcPr>
          <w:p w14:paraId="015C4B8A" w14:textId="77777777" w:rsidR="00895AAA" w:rsidRDefault="00895AAA" w:rsidP="00F60ECE">
            <w:pPr>
              <w:spacing w:after="240"/>
              <w:jc w:val="center"/>
            </w:pPr>
            <w:r>
              <w:t>0.70</w:t>
            </w:r>
          </w:p>
        </w:tc>
        <w:tc>
          <w:tcPr>
            <w:tcW w:w="1260" w:type="dxa"/>
            <w:vAlign w:val="center"/>
          </w:tcPr>
          <w:p w14:paraId="4CCA9F1C" w14:textId="77777777" w:rsidR="00895AAA" w:rsidRDefault="00895AAA" w:rsidP="00F60ECE">
            <w:pPr>
              <w:spacing w:after="240"/>
              <w:jc w:val="center"/>
            </w:pPr>
            <w:r>
              <w:t>0.93</w:t>
            </w:r>
          </w:p>
        </w:tc>
      </w:tr>
      <w:tr w:rsidR="00895AAA" w14:paraId="453B654A" w14:textId="77777777" w:rsidTr="00030CF4">
        <w:trPr>
          <w:trHeight w:val="260"/>
          <w:jc w:val="center"/>
        </w:trPr>
        <w:tc>
          <w:tcPr>
            <w:tcW w:w="1705" w:type="dxa"/>
            <w:vAlign w:val="center"/>
          </w:tcPr>
          <w:p w14:paraId="13F1C6CF" w14:textId="77777777" w:rsidR="00895AAA" w:rsidRDefault="00895AAA" w:rsidP="00F60ECE">
            <w:pPr>
              <w:spacing w:after="240"/>
              <w:jc w:val="center"/>
            </w:pPr>
            <w:proofErr w:type="spellStart"/>
            <w:r>
              <w:lastRenderedPageBreak/>
              <w:t>CatBoost</w:t>
            </w:r>
            <w:proofErr w:type="spellEnd"/>
          </w:p>
        </w:tc>
        <w:tc>
          <w:tcPr>
            <w:tcW w:w="1260" w:type="dxa"/>
            <w:vAlign w:val="center"/>
          </w:tcPr>
          <w:p w14:paraId="3D64A806" w14:textId="77777777" w:rsidR="00895AAA" w:rsidRDefault="00895AAA" w:rsidP="00F60ECE">
            <w:pPr>
              <w:spacing w:after="240"/>
              <w:jc w:val="center"/>
            </w:pPr>
            <w:r>
              <w:t>0.92</w:t>
            </w:r>
          </w:p>
        </w:tc>
        <w:tc>
          <w:tcPr>
            <w:tcW w:w="1260" w:type="dxa"/>
            <w:vAlign w:val="center"/>
          </w:tcPr>
          <w:p w14:paraId="598ECA31" w14:textId="77777777" w:rsidR="00895AAA" w:rsidRDefault="00895AAA" w:rsidP="00F60ECE">
            <w:pPr>
              <w:spacing w:after="240"/>
              <w:jc w:val="center"/>
            </w:pPr>
            <w:r>
              <w:t>0.57</w:t>
            </w:r>
          </w:p>
        </w:tc>
        <w:tc>
          <w:tcPr>
            <w:tcW w:w="908" w:type="dxa"/>
            <w:vAlign w:val="center"/>
          </w:tcPr>
          <w:p w14:paraId="55EF95BD" w14:textId="77777777" w:rsidR="00895AAA" w:rsidRDefault="00895AAA" w:rsidP="00F60ECE">
            <w:pPr>
              <w:spacing w:after="240"/>
              <w:jc w:val="center"/>
            </w:pPr>
            <w:r>
              <w:t>0.64</w:t>
            </w:r>
          </w:p>
        </w:tc>
        <w:tc>
          <w:tcPr>
            <w:tcW w:w="892" w:type="dxa"/>
            <w:vAlign w:val="center"/>
          </w:tcPr>
          <w:p w14:paraId="635048A1" w14:textId="77777777" w:rsidR="00895AAA" w:rsidRDefault="00895AAA" w:rsidP="00F60ECE">
            <w:pPr>
              <w:spacing w:after="240"/>
              <w:jc w:val="center"/>
            </w:pPr>
            <w:r>
              <w:t>0.60</w:t>
            </w:r>
          </w:p>
        </w:tc>
        <w:tc>
          <w:tcPr>
            <w:tcW w:w="1170" w:type="dxa"/>
            <w:vAlign w:val="center"/>
          </w:tcPr>
          <w:p w14:paraId="19FF2195" w14:textId="77777777" w:rsidR="00895AAA" w:rsidRDefault="00895AAA" w:rsidP="00F60ECE">
            <w:pPr>
              <w:spacing w:after="240"/>
              <w:jc w:val="center"/>
            </w:pPr>
            <w:r>
              <w:t>0.69</w:t>
            </w:r>
          </w:p>
        </w:tc>
        <w:tc>
          <w:tcPr>
            <w:tcW w:w="1260" w:type="dxa"/>
            <w:vAlign w:val="center"/>
          </w:tcPr>
          <w:p w14:paraId="6BB8037A" w14:textId="77777777" w:rsidR="00895AAA" w:rsidRDefault="00895AAA" w:rsidP="00F60ECE">
            <w:pPr>
              <w:spacing w:after="240"/>
              <w:jc w:val="center"/>
            </w:pPr>
            <w:r>
              <w:t>0.93</w:t>
            </w:r>
          </w:p>
        </w:tc>
      </w:tr>
      <w:tr w:rsidR="00895AAA" w14:paraId="59FB28EE" w14:textId="77777777" w:rsidTr="00030CF4">
        <w:trPr>
          <w:trHeight w:val="520"/>
          <w:jc w:val="center"/>
        </w:trPr>
        <w:tc>
          <w:tcPr>
            <w:tcW w:w="1705" w:type="dxa"/>
            <w:vAlign w:val="center"/>
          </w:tcPr>
          <w:p w14:paraId="12A99776" w14:textId="77777777" w:rsidR="00895AAA" w:rsidRDefault="00895AAA" w:rsidP="00F60ECE">
            <w:pPr>
              <w:spacing w:after="240"/>
              <w:jc w:val="center"/>
            </w:pPr>
            <w:proofErr w:type="spellStart"/>
            <w:r>
              <w:t>RandomForest</w:t>
            </w:r>
            <w:proofErr w:type="spellEnd"/>
          </w:p>
        </w:tc>
        <w:tc>
          <w:tcPr>
            <w:tcW w:w="1260" w:type="dxa"/>
            <w:vAlign w:val="center"/>
          </w:tcPr>
          <w:p w14:paraId="0F24399A" w14:textId="77777777" w:rsidR="00895AAA" w:rsidRDefault="00895AAA" w:rsidP="00F60ECE">
            <w:pPr>
              <w:spacing w:after="240"/>
              <w:jc w:val="center"/>
            </w:pPr>
            <w:r>
              <w:t>0.93</w:t>
            </w:r>
          </w:p>
        </w:tc>
        <w:tc>
          <w:tcPr>
            <w:tcW w:w="1260" w:type="dxa"/>
            <w:vAlign w:val="center"/>
          </w:tcPr>
          <w:p w14:paraId="7BC2711B" w14:textId="77777777" w:rsidR="00895AAA" w:rsidRDefault="00895AAA" w:rsidP="00F60ECE">
            <w:pPr>
              <w:spacing w:after="240"/>
              <w:jc w:val="center"/>
            </w:pPr>
            <w:r>
              <w:t>0.62</w:t>
            </w:r>
          </w:p>
        </w:tc>
        <w:tc>
          <w:tcPr>
            <w:tcW w:w="908" w:type="dxa"/>
            <w:vAlign w:val="center"/>
          </w:tcPr>
          <w:p w14:paraId="6D7A006F" w14:textId="77777777" w:rsidR="00895AAA" w:rsidRDefault="00895AAA" w:rsidP="00F60ECE">
            <w:pPr>
              <w:spacing w:after="240"/>
              <w:jc w:val="center"/>
            </w:pPr>
            <w:r>
              <w:t>0.61</w:t>
            </w:r>
          </w:p>
        </w:tc>
        <w:tc>
          <w:tcPr>
            <w:tcW w:w="892" w:type="dxa"/>
            <w:vAlign w:val="center"/>
          </w:tcPr>
          <w:p w14:paraId="7C6F8441" w14:textId="77777777" w:rsidR="00895AAA" w:rsidRDefault="00895AAA" w:rsidP="00F60ECE">
            <w:pPr>
              <w:spacing w:after="240"/>
              <w:jc w:val="center"/>
            </w:pPr>
            <w:r>
              <w:t>0.61</w:t>
            </w:r>
          </w:p>
        </w:tc>
        <w:tc>
          <w:tcPr>
            <w:tcW w:w="1170" w:type="dxa"/>
            <w:vAlign w:val="center"/>
          </w:tcPr>
          <w:p w14:paraId="5D319B09" w14:textId="77777777" w:rsidR="00895AAA" w:rsidRDefault="00895AAA" w:rsidP="00F60ECE">
            <w:pPr>
              <w:spacing w:after="240"/>
              <w:jc w:val="center"/>
            </w:pPr>
            <w:r>
              <w:t>0.69</w:t>
            </w:r>
          </w:p>
        </w:tc>
        <w:tc>
          <w:tcPr>
            <w:tcW w:w="1260" w:type="dxa"/>
            <w:vAlign w:val="center"/>
          </w:tcPr>
          <w:p w14:paraId="531597FD" w14:textId="77777777" w:rsidR="00895AAA" w:rsidRDefault="00895AAA" w:rsidP="00F60ECE">
            <w:pPr>
              <w:spacing w:after="240"/>
              <w:jc w:val="center"/>
            </w:pPr>
            <w:r>
              <w:t>0.93</w:t>
            </w:r>
          </w:p>
        </w:tc>
      </w:tr>
      <w:tr w:rsidR="00895AAA" w14:paraId="66AB9BD6" w14:textId="77777777" w:rsidTr="00030CF4">
        <w:trPr>
          <w:trHeight w:val="520"/>
          <w:jc w:val="center"/>
        </w:trPr>
        <w:tc>
          <w:tcPr>
            <w:tcW w:w="1705" w:type="dxa"/>
            <w:vAlign w:val="center"/>
          </w:tcPr>
          <w:p w14:paraId="135E216F" w14:textId="77777777" w:rsidR="00895AAA" w:rsidRDefault="00895AAA" w:rsidP="00F60ECE">
            <w:pPr>
              <w:spacing w:after="240"/>
              <w:jc w:val="center"/>
            </w:pPr>
            <w:proofErr w:type="spellStart"/>
            <w:r>
              <w:t>LightGBM</w:t>
            </w:r>
            <w:proofErr w:type="spellEnd"/>
          </w:p>
        </w:tc>
        <w:tc>
          <w:tcPr>
            <w:tcW w:w="1260" w:type="dxa"/>
            <w:vAlign w:val="center"/>
          </w:tcPr>
          <w:p w14:paraId="1D35532D" w14:textId="77777777" w:rsidR="00895AAA" w:rsidRDefault="00895AAA" w:rsidP="00F60ECE">
            <w:pPr>
              <w:spacing w:after="240"/>
              <w:jc w:val="center"/>
            </w:pPr>
            <w:r>
              <w:t>0.91</w:t>
            </w:r>
          </w:p>
        </w:tc>
        <w:tc>
          <w:tcPr>
            <w:tcW w:w="1260" w:type="dxa"/>
            <w:vAlign w:val="center"/>
          </w:tcPr>
          <w:p w14:paraId="21C4B380" w14:textId="77777777" w:rsidR="00895AAA" w:rsidRDefault="00895AAA" w:rsidP="00F60ECE">
            <w:pPr>
              <w:spacing w:after="240"/>
              <w:jc w:val="center"/>
            </w:pPr>
            <w:r>
              <w:t>0.51</w:t>
            </w:r>
          </w:p>
        </w:tc>
        <w:tc>
          <w:tcPr>
            <w:tcW w:w="908" w:type="dxa"/>
            <w:vAlign w:val="center"/>
          </w:tcPr>
          <w:p w14:paraId="1226FA4A" w14:textId="77777777" w:rsidR="00895AAA" w:rsidRDefault="00895AAA" w:rsidP="00F60ECE">
            <w:pPr>
              <w:spacing w:after="240"/>
              <w:jc w:val="center"/>
            </w:pPr>
            <w:r>
              <w:t>0.78</w:t>
            </w:r>
          </w:p>
        </w:tc>
        <w:tc>
          <w:tcPr>
            <w:tcW w:w="892" w:type="dxa"/>
            <w:vAlign w:val="center"/>
          </w:tcPr>
          <w:p w14:paraId="7C5C929D" w14:textId="77777777" w:rsidR="00895AAA" w:rsidRDefault="00895AAA" w:rsidP="00F60ECE">
            <w:pPr>
              <w:spacing w:after="240"/>
              <w:jc w:val="center"/>
            </w:pPr>
            <w:r>
              <w:t>0.61</w:t>
            </w:r>
          </w:p>
        </w:tc>
        <w:tc>
          <w:tcPr>
            <w:tcW w:w="1170" w:type="dxa"/>
            <w:vAlign w:val="center"/>
          </w:tcPr>
          <w:p w14:paraId="067197E9" w14:textId="77777777" w:rsidR="00895AAA" w:rsidRDefault="00895AAA" w:rsidP="00F60ECE">
            <w:pPr>
              <w:spacing w:after="240"/>
              <w:jc w:val="center"/>
            </w:pPr>
            <w:r>
              <w:t>0.68</w:t>
            </w:r>
          </w:p>
        </w:tc>
        <w:tc>
          <w:tcPr>
            <w:tcW w:w="1260" w:type="dxa"/>
            <w:vAlign w:val="center"/>
          </w:tcPr>
          <w:p w14:paraId="4EDD7752" w14:textId="77777777" w:rsidR="00895AAA" w:rsidRDefault="00895AAA" w:rsidP="00F60ECE">
            <w:pPr>
              <w:spacing w:after="240"/>
              <w:jc w:val="center"/>
            </w:pPr>
            <w:r>
              <w:t>0.93</w:t>
            </w:r>
          </w:p>
        </w:tc>
      </w:tr>
      <w:tr w:rsidR="00895AAA" w14:paraId="6154C974" w14:textId="77777777" w:rsidTr="00030CF4">
        <w:trPr>
          <w:trHeight w:val="260"/>
          <w:jc w:val="center"/>
        </w:trPr>
        <w:tc>
          <w:tcPr>
            <w:tcW w:w="1705" w:type="dxa"/>
            <w:vAlign w:val="center"/>
          </w:tcPr>
          <w:p w14:paraId="60864C56" w14:textId="77777777" w:rsidR="00895AAA" w:rsidRDefault="00895AAA" w:rsidP="00F60ECE">
            <w:pPr>
              <w:spacing w:after="240"/>
              <w:jc w:val="center"/>
            </w:pPr>
            <w:r>
              <w:t>XGBoost</w:t>
            </w:r>
          </w:p>
        </w:tc>
        <w:tc>
          <w:tcPr>
            <w:tcW w:w="1260" w:type="dxa"/>
            <w:vAlign w:val="center"/>
          </w:tcPr>
          <w:p w14:paraId="1B2B7927" w14:textId="77777777" w:rsidR="00895AAA" w:rsidRDefault="00895AAA" w:rsidP="00F60ECE">
            <w:pPr>
              <w:spacing w:after="240"/>
              <w:jc w:val="center"/>
            </w:pPr>
            <w:r>
              <w:t>0.91</w:t>
            </w:r>
          </w:p>
        </w:tc>
        <w:tc>
          <w:tcPr>
            <w:tcW w:w="1260" w:type="dxa"/>
            <w:vAlign w:val="center"/>
          </w:tcPr>
          <w:p w14:paraId="6DD394F2" w14:textId="77777777" w:rsidR="00895AAA" w:rsidRDefault="00895AAA" w:rsidP="00F60ECE">
            <w:pPr>
              <w:spacing w:after="240"/>
              <w:jc w:val="center"/>
            </w:pPr>
            <w:r>
              <w:t>0.51</w:t>
            </w:r>
          </w:p>
        </w:tc>
        <w:tc>
          <w:tcPr>
            <w:tcW w:w="908" w:type="dxa"/>
            <w:vAlign w:val="center"/>
          </w:tcPr>
          <w:p w14:paraId="69060890" w14:textId="77777777" w:rsidR="00895AAA" w:rsidRDefault="00895AAA" w:rsidP="00F60ECE">
            <w:pPr>
              <w:spacing w:after="240"/>
              <w:jc w:val="center"/>
            </w:pPr>
            <w:r>
              <w:t>0.78</w:t>
            </w:r>
          </w:p>
        </w:tc>
        <w:tc>
          <w:tcPr>
            <w:tcW w:w="892" w:type="dxa"/>
            <w:vAlign w:val="center"/>
          </w:tcPr>
          <w:p w14:paraId="278377DF" w14:textId="77777777" w:rsidR="00895AAA" w:rsidRDefault="00895AAA" w:rsidP="00F60ECE">
            <w:pPr>
              <w:spacing w:after="240"/>
              <w:jc w:val="center"/>
            </w:pPr>
            <w:r>
              <w:t>0.61</w:t>
            </w:r>
          </w:p>
        </w:tc>
        <w:tc>
          <w:tcPr>
            <w:tcW w:w="1170" w:type="dxa"/>
            <w:vAlign w:val="center"/>
          </w:tcPr>
          <w:p w14:paraId="799A6DA4" w14:textId="77777777" w:rsidR="00895AAA" w:rsidRDefault="00895AAA" w:rsidP="00F60ECE">
            <w:pPr>
              <w:spacing w:after="240"/>
              <w:jc w:val="center"/>
            </w:pPr>
            <w:r>
              <w:t>0.68</w:t>
            </w:r>
          </w:p>
        </w:tc>
        <w:tc>
          <w:tcPr>
            <w:tcW w:w="1260" w:type="dxa"/>
            <w:vAlign w:val="center"/>
          </w:tcPr>
          <w:p w14:paraId="346D1F4B" w14:textId="77777777" w:rsidR="00895AAA" w:rsidRDefault="00895AAA" w:rsidP="00F60ECE">
            <w:pPr>
              <w:spacing w:after="240"/>
              <w:jc w:val="center"/>
            </w:pPr>
            <w:r>
              <w:t>0.93</w:t>
            </w:r>
          </w:p>
        </w:tc>
      </w:tr>
    </w:tbl>
    <w:p w14:paraId="66E71FF2" w14:textId="77777777" w:rsidR="002C5D5E" w:rsidRDefault="002C5D5E" w:rsidP="00F60ECE">
      <w:pPr>
        <w:spacing w:after="240" w:line="360" w:lineRule="auto"/>
        <w:rPr>
          <w:rFonts w:ascii="Times New Roman" w:eastAsia="Times New Roman" w:hAnsi="Times New Roman" w:cs="Times New Roman"/>
          <w:sz w:val="24"/>
          <w:szCs w:val="24"/>
          <w:lang w:val="en-US"/>
        </w:rPr>
      </w:pPr>
    </w:p>
    <w:p w14:paraId="43A892D7" w14:textId="3AA8558F" w:rsidR="00A5133A" w:rsidRDefault="00A5133A" w:rsidP="00F60ECE">
      <w:pPr>
        <w:spacing w:after="240" w:line="360" w:lineRule="auto"/>
        <w:rPr>
          <w:rFonts w:ascii="Times New Roman" w:eastAsia="Times New Roman" w:hAnsi="Times New Roman" w:cs="Times New Roman"/>
          <w:sz w:val="24"/>
          <w:szCs w:val="24"/>
          <w:lang w:val="en-US"/>
        </w:rPr>
      </w:pPr>
      <w:r w:rsidRPr="00A5133A">
        <w:rPr>
          <w:rFonts w:ascii="Times New Roman" w:eastAsia="Times New Roman" w:hAnsi="Times New Roman" w:cs="Times New Roman"/>
          <w:b/>
          <w:bCs/>
          <w:sz w:val="24"/>
          <w:szCs w:val="24"/>
          <w:lang w:val="en-US"/>
        </w:rPr>
        <w:t>Table 2. Supervised model performance on the provider hold-out set.</w:t>
      </w:r>
      <w:r w:rsidRPr="00A5133A">
        <w:rPr>
          <w:rFonts w:ascii="Times New Roman" w:eastAsia="Times New Roman" w:hAnsi="Times New Roman" w:cs="Times New Roman"/>
          <w:sz w:val="24"/>
          <w:szCs w:val="24"/>
          <w:lang w:val="en-US"/>
        </w:rPr>
        <w:t xml:space="preserve"> Classification performance of logistic regression (elastic-net), Random Forests, </w:t>
      </w:r>
      <w:proofErr w:type="spellStart"/>
      <w:r w:rsidRPr="00A5133A">
        <w:rPr>
          <w:rFonts w:ascii="Times New Roman" w:eastAsia="Times New Roman" w:hAnsi="Times New Roman" w:cs="Times New Roman"/>
          <w:sz w:val="24"/>
          <w:szCs w:val="24"/>
          <w:lang w:val="en-US"/>
        </w:rPr>
        <w:t>ExtraTrees</w:t>
      </w:r>
      <w:proofErr w:type="spellEnd"/>
      <w:r w:rsidRPr="00A5133A">
        <w:rPr>
          <w:rFonts w:ascii="Times New Roman" w:eastAsia="Times New Roman" w:hAnsi="Times New Roman" w:cs="Times New Roman"/>
          <w:sz w:val="24"/>
          <w:szCs w:val="24"/>
          <w:lang w:val="en-US"/>
        </w:rPr>
        <w:t xml:space="preserve">, </w:t>
      </w:r>
      <w:proofErr w:type="spellStart"/>
      <w:r w:rsidRPr="00A5133A">
        <w:rPr>
          <w:rFonts w:ascii="Times New Roman" w:eastAsia="Times New Roman" w:hAnsi="Times New Roman" w:cs="Times New Roman"/>
          <w:sz w:val="24"/>
          <w:szCs w:val="24"/>
          <w:lang w:val="en-US"/>
        </w:rPr>
        <w:t>LightGBM</w:t>
      </w:r>
      <w:proofErr w:type="spellEnd"/>
      <w:r w:rsidRPr="00A5133A">
        <w:rPr>
          <w:rFonts w:ascii="Times New Roman" w:eastAsia="Times New Roman" w:hAnsi="Times New Roman" w:cs="Times New Roman"/>
          <w:sz w:val="24"/>
          <w:szCs w:val="24"/>
          <w:lang w:val="en-US"/>
        </w:rPr>
        <w:t xml:space="preserve">, XGBoost, </w:t>
      </w:r>
      <w:proofErr w:type="spellStart"/>
      <w:r w:rsidRPr="00A5133A">
        <w:rPr>
          <w:rFonts w:ascii="Times New Roman" w:eastAsia="Times New Roman" w:hAnsi="Times New Roman" w:cs="Times New Roman"/>
          <w:sz w:val="24"/>
          <w:szCs w:val="24"/>
          <w:lang w:val="en-US"/>
        </w:rPr>
        <w:t>CatBoost</w:t>
      </w:r>
      <w:proofErr w:type="spellEnd"/>
      <w:r w:rsidRPr="00A5133A">
        <w:rPr>
          <w:rFonts w:ascii="Times New Roman" w:eastAsia="Times New Roman" w:hAnsi="Times New Roman" w:cs="Times New Roman"/>
          <w:sz w:val="24"/>
          <w:szCs w:val="24"/>
          <w:lang w:val="en-US"/>
        </w:rPr>
        <w:t>, and a multilayer perceptron, reported as accuracy, precision, recall, F1-score, area under the precision–recall curve (PR-AUC), and area under the ROC curve (ROC-AUC).</w:t>
      </w:r>
    </w:p>
    <w:p w14:paraId="7B53BD42" w14:textId="5B8F040C" w:rsidR="00C44040" w:rsidRPr="00A5133A" w:rsidRDefault="00714167" w:rsidP="00F60ECE">
      <w:pPr>
        <w:spacing w:after="240"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189B273D" wp14:editId="7789827D">
            <wp:extent cx="5092038" cy="2886576"/>
            <wp:effectExtent l="0" t="0" r="0" b="9525"/>
            <wp:docPr id="541189111" name="Picture 8"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89111" name="Picture 8" descr="A white rectangular object with black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03999" cy="2893356"/>
                    </a:xfrm>
                    <a:prstGeom prst="rect">
                      <a:avLst/>
                    </a:prstGeom>
                  </pic:spPr>
                </pic:pic>
              </a:graphicData>
            </a:graphic>
          </wp:inline>
        </w:drawing>
      </w:r>
    </w:p>
    <w:p w14:paraId="2700960D" w14:textId="367CB952" w:rsidR="00A5133A" w:rsidRDefault="00A5133A" w:rsidP="00F60ECE">
      <w:pPr>
        <w:spacing w:after="240" w:line="360" w:lineRule="auto"/>
        <w:rPr>
          <w:rFonts w:ascii="Times New Roman" w:eastAsia="Times New Roman" w:hAnsi="Times New Roman" w:cs="Times New Roman"/>
          <w:sz w:val="24"/>
          <w:szCs w:val="24"/>
          <w:lang w:val="en-US"/>
        </w:rPr>
      </w:pPr>
      <w:r w:rsidRPr="00A5133A">
        <w:rPr>
          <w:rFonts w:ascii="Times New Roman" w:eastAsia="Times New Roman" w:hAnsi="Times New Roman" w:cs="Times New Roman"/>
          <w:b/>
          <w:bCs/>
          <w:sz w:val="24"/>
          <w:szCs w:val="24"/>
          <w:lang w:val="en-US"/>
        </w:rPr>
        <w:t>Figure 6. Distribution of provider fraud risk scores.</w:t>
      </w:r>
      <w:r w:rsidRPr="00A5133A">
        <w:rPr>
          <w:rFonts w:ascii="Times New Roman" w:eastAsia="Times New Roman" w:hAnsi="Times New Roman" w:cs="Times New Roman"/>
          <w:sz w:val="24"/>
          <w:szCs w:val="24"/>
          <w:lang w:val="en-US"/>
        </w:rPr>
        <w:t xml:space="preserve"> Histogram or density plots of logistic regression fraud risk scores for labeled providers, stratified by true fraud label, illustrating separation between non-fraudulent providers (scores near zero) and fraudulent providers (scores shifted toward higher values).</w:t>
      </w:r>
    </w:p>
    <w:p w14:paraId="0EDEADFD" w14:textId="77777777" w:rsidR="00980E92" w:rsidRDefault="00980E92" w:rsidP="00F60ECE">
      <w:pPr>
        <w:spacing w:after="240" w:line="360" w:lineRule="auto"/>
        <w:rPr>
          <w:rFonts w:ascii="Times New Roman" w:eastAsia="Times New Roman" w:hAnsi="Times New Roman" w:cs="Times New Roman"/>
          <w:sz w:val="24"/>
          <w:szCs w:val="24"/>
          <w:lang w:val="en-US"/>
        </w:rPr>
      </w:pPr>
    </w:p>
    <w:p w14:paraId="3E1A2B79" w14:textId="77777777" w:rsidR="00F60ECE" w:rsidRPr="00A5133A" w:rsidRDefault="00F60ECE" w:rsidP="00F60ECE">
      <w:pPr>
        <w:spacing w:after="240" w:line="360" w:lineRule="auto"/>
        <w:rPr>
          <w:rFonts w:ascii="Times New Roman" w:eastAsia="Times New Roman" w:hAnsi="Times New Roman" w:cs="Times New Roman"/>
          <w:sz w:val="24"/>
          <w:szCs w:val="24"/>
          <w:lang w:val="en-US"/>
        </w:rPr>
      </w:pPr>
    </w:p>
    <w:p w14:paraId="13C63A82" w14:textId="77777777" w:rsidR="00A5133A" w:rsidRPr="00A5133A" w:rsidRDefault="00A5133A" w:rsidP="00F60ECE">
      <w:pPr>
        <w:spacing w:line="360" w:lineRule="auto"/>
        <w:rPr>
          <w:rFonts w:ascii="Times New Roman" w:eastAsia="Times New Roman" w:hAnsi="Times New Roman" w:cs="Times New Roman"/>
          <w:b/>
          <w:bCs/>
          <w:i/>
          <w:iCs/>
          <w:sz w:val="24"/>
          <w:szCs w:val="24"/>
          <w:lang w:val="en-US"/>
        </w:rPr>
      </w:pPr>
      <w:r w:rsidRPr="00A5133A">
        <w:rPr>
          <w:rFonts w:ascii="Times New Roman" w:eastAsia="Times New Roman" w:hAnsi="Times New Roman" w:cs="Times New Roman"/>
          <w:b/>
          <w:bCs/>
          <w:i/>
          <w:iCs/>
          <w:sz w:val="24"/>
          <w:szCs w:val="24"/>
          <w:lang w:val="en-US"/>
        </w:rPr>
        <w:lastRenderedPageBreak/>
        <w:t>4.4 Provider fraud-type clusters</w:t>
      </w:r>
    </w:p>
    <w:p w14:paraId="36BF5276" w14:textId="23E2F695" w:rsidR="00A5133A" w:rsidRPr="00A5133A" w:rsidRDefault="00A5133A" w:rsidP="00F60ECE">
      <w:pPr>
        <w:spacing w:after="240" w:line="360" w:lineRule="auto"/>
        <w:rPr>
          <w:rFonts w:ascii="Times New Roman" w:eastAsia="Times New Roman" w:hAnsi="Times New Roman" w:cs="Times New Roman"/>
          <w:sz w:val="24"/>
          <w:szCs w:val="24"/>
          <w:lang w:val="en-US"/>
        </w:rPr>
      </w:pPr>
      <w:r w:rsidRPr="00A5133A">
        <w:rPr>
          <w:rFonts w:ascii="Times New Roman" w:eastAsia="Times New Roman" w:hAnsi="Times New Roman" w:cs="Times New Roman"/>
          <w:sz w:val="24"/>
          <w:szCs w:val="24"/>
          <w:lang w:val="en-US"/>
        </w:rPr>
        <w:t xml:space="preserve">To characterize different patterns of fraudulent </w:t>
      </w:r>
      <w:r w:rsidR="00980E92" w:rsidRPr="00A5133A">
        <w:rPr>
          <w:rFonts w:ascii="Times New Roman" w:eastAsia="Times New Roman" w:hAnsi="Times New Roman" w:cs="Times New Roman"/>
          <w:sz w:val="24"/>
          <w:szCs w:val="24"/>
          <w:lang w:val="en-US"/>
        </w:rPr>
        <w:t>behavior</w:t>
      </w:r>
      <w:r w:rsidRPr="00A5133A">
        <w:rPr>
          <w:rFonts w:ascii="Times New Roman" w:eastAsia="Times New Roman" w:hAnsi="Times New Roman" w:cs="Times New Roman"/>
          <w:sz w:val="24"/>
          <w:szCs w:val="24"/>
          <w:lang w:val="en-US"/>
        </w:rPr>
        <w:t xml:space="preserve"> at the provider level, we constructed a high-risk provider universe consisting of all training providers labeled as fraudulent and test providers whose logistic regression fraud score exceeded a high threshold. This yielded 570 providers in total. Using the standardized provider-level features, we applied HDBSCAN to this high-risk set. The algorithm identified four clusters of providers and labeled the remaining 334 providers as noise, indicating that these providers did not belong to any dense group in feature space.</w:t>
      </w:r>
    </w:p>
    <w:p w14:paraId="64CB4C69" w14:textId="77777777" w:rsidR="00A5133A" w:rsidRPr="00A5133A" w:rsidRDefault="00A5133A" w:rsidP="00F60ECE">
      <w:pPr>
        <w:spacing w:after="240" w:line="360" w:lineRule="auto"/>
        <w:rPr>
          <w:rFonts w:ascii="Times New Roman" w:eastAsia="Times New Roman" w:hAnsi="Times New Roman" w:cs="Times New Roman"/>
          <w:sz w:val="24"/>
          <w:szCs w:val="24"/>
          <w:lang w:val="en-US"/>
        </w:rPr>
      </w:pPr>
      <w:r w:rsidRPr="00A5133A">
        <w:rPr>
          <w:rFonts w:ascii="Times New Roman" w:eastAsia="Times New Roman" w:hAnsi="Times New Roman" w:cs="Times New Roman"/>
          <w:sz w:val="24"/>
          <w:szCs w:val="24"/>
          <w:lang w:val="en-US"/>
        </w:rPr>
        <w:t xml:space="preserve">A two-dimensional PCA projection of the high-risk providers (Figure 7) shows several compact regions corresponding to HDBSCAN clusters, as well as a diffuse cloud of noise points. The largest cluster (Cluster 3, 180 providers) consists of moderate-volume providers with substantial annual reimbursement and inpatient activity, whose maximum inpatient reimbursement and length-of-stay z-scores are elevated but whose duplicate and overcharge counts are relatively modest. A smaller cluster (Cluster 1, 36 providers) comprises high-revenue providers with more extreme inpatient z-scores and evidence of inpatient upcoding, consistent with an “inpatient </w:t>
      </w:r>
      <w:proofErr w:type="spellStart"/>
      <w:r w:rsidRPr="00A5133A">
        <w:rPr>
          <w:rFonts w:ascii="Times New Roman" w:eastAsia="Times New Roman" w:hAnsi="Times New Roman" w:cs="Times New Roman"/>
          <w:sz w:val="24"/>
          <w:szCs w:val="24"/>
          <w:lang w:val="en-US"/>
        </w:rPr>
        <w:t>overcharger</w:t>
      </w:r>
      <w:proofErr w:type="spellEnd"/>
      <w:r w:rsidRPr="00A5133A">
        <w:rPr>
          <w:rFonts w:ascii="Times New Roman" w:eastAsia="Times New Roman" w:hAnsi="Times New Roman" w:cs="Times New Roman"/>
          <w:sz w:val="24"/>
          <w:szCs w:val="24"/>
          <w:lang w:val="en-US"/>
        </w:rPr>
        <w:t>” pattern.</w:t>
      </w:r>
    </w:p>
    <w:p w14:paraId="663F464A" w14:textId="081105EB" w:rsidR="00A5133A" w:rsidRDefault="00A5133A" w:rsidP="00F60ECE">
      <w:pPr>
        <w:spacing w:after="240" w:line="360" w:lineRule="auto"/>
        <w:rPr>
          <w:rFonts w:ascii="Times New Roman" w:eastAsia="Times New Roman" w:hAnsi="Times New Roman" w:cs="Times New Roman"/>
          <w:sz w:val="24"/>
          <w:szCs w:val="24"/>
          <w:lang w:val="en-US"/>
        </w:rPr>
      </w:pPr>
      <w:r w:rsidRPr="00A5133A">
        <w:rPr>
          <w:rFonts w:ascii="Times New Roman" w:eastAsia="Times New Roman" w:hAnsi="Times New Roman" w:cs="Times New Roman"/>
          <w:sz w:val="24"/>
          <w:szCs w:val="24"/>
          <w:lang w:val="en-US"/>
        </w:rPr>
        <w:t xml:space="preserve">Two additional smaller clusters capture more targeted outpatient </w:t>
      </w:r>
      <w:proofErr w:type="spellStart"/>
      <w:r w:rsidRPr="00A5133A">
        <w:rPr>
          <w:rFonts w:ascii="Times New Roman" w:eastAsia="Times New Roman" w:hAnsi="Times New Roman" w:cs="Times New Roman"/>
          <w:sz w:val="24"/>
          <w:szCs w:val="24"/>
          <w:lang w:val="en-US"/>
        </w:rPr>
        <w:t>behaviours</w:t>
      </w:r>
      <w:proofErr w:type="spellEnd"/>
      <w:r w:rsidRPr="00A5133A">
        <w:rPr>
          <w:rFonts w:ascii="Times New Roman" w:eastAsia="Times New Roman" w:hAnsi="Times New Roman" w:cs="Times New Roman"/>
          <w:sz w:val="24"/>
          <w:szCs w:val="24"/>
          <w:lang w:val="en-US"/>
        </w:rPr>
        <w:t xml:space="preserve">. Cluster 0 (10 providers) contains high-volume outpatient billers with multiple duplicate claims and many claims flagged by overcharge rules, indicating a combination of high throughput and suspicious billing. Cluster 2 (10 providers) consists of outpatient-only providers with very large claim volumes, large beneficiary panels, and a high number of overcharge flags, suggestive of systematic small-ticket overbilling. Table 3 summarizes these clusters, reporting, for each, the number of providers, the mix of labeled and high-scored test providers, and median values of key utilization, payment, z-score, and rule-based features. Together, these results show that fraudulent and high-risk providers do not form a single homogeneous </w:t>
      </w:r>
      <w:r w:rsidR="00980E92" w:rsidRPr="00A5133A">
        <w:rPr>
          <w:rFonts w:ascii="Times New Roman" w:eastAsia="Times New Roman" w:hAnsi="Times New Roman" w:cs="Times New Roman"/>
          <w:sz w:val="24"/>
          <w:szCs w:val="24"/>
          <w:lang w:val="en-US"/>
        </w:rPr>
        <w:t>group but</w:t>
      </w:r>
      <w:r w:rsidRPr="00A5133A">
        <w:rPr>
          <w:rFonts w:ascii="Times New Roman" w:eastAsia="Times New Roman" w:hAnsi="Times New Roman" w:cs="Times New Roman"/>
          <w:sz w:val="24"/>
          <w:szCs w:val="24"/>
          <w:lang w:val="en-US"/>
        </w:rPr>
        <w:t xml:space="preserve"> instead fall into several distinct fraud-type archetypes.</w:t>
      </w:r>
    </w:p>
    <w:p w14:paraId="0CB6F7B5" w14:textId="3D7A413B" w:rsidR="00C44040" w:rsidRPr="00A5133A" w:rsidRDefault="00C44040" w:rsidP="00F60ECE">
      <w:pPr>
        <w:spacing w:after="240"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14:anchorId="162554F2" wp14:editId="07988811">
            <wp:extent cx="4194973" cy="3135025"/>
            <wp:effectExtent l="0" t="0" r="0" b="8255"/>
            <wp:docPr id="312499968"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99968" name="Picture 7" descr="A screenshot of a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16131" cy="3150837"/>
                    </a:xfrm>
                    <a:prstGeom prst="rect">
                      <a:avLst/>
                    </a:prstGeom>
                  </pic:spPr>
                </pic:pic>
              </a:graphicData>
            </a:graphic>
          </wp:inline>
        </w:drawing>
      </w:r>
    </w:p>
    <w:p w14:paraId="2DDBAAF1" w14:textId="39A88262" w:rsidR="00030CF4" w:rsidRDefault="00A5133A" w:rsidP="00F60ECE">
      <w:pPr>
        <w:spacing w:after="240" w:line="360" w:lineRule="auto"/>
        <w:rPr>
          <w:rFonts w:ascii="Times New Roman" w:eastAsia="Times New Roman" w:hAnsi="Times New Roman" w:cs="Times New Roman"/>
          <w:sz w:val="24"/>
          <w:szCs w:val="24"/>
          <w:lang w:val="en-US"/>
        </w:rPr>
      </w:pPr>
      <w:r w:rsidRPr="00A5133A">
        <w:rPr>
          <w:rFonts w:ascii="Times New Roman" w:eastAsia="Times New Roman" w:hAnsi="Times New Roman" w:cs="Times New Roman"/>
          <w:b/>
          <w:bCs/>
          <w:sz w:val="24"/>
          <w:szCs w:val="24"/>
          <w:lang w:val="en-US"/>
        </w:rPr>
        <w:t>Figure 7. Clusters of high-risk providers.</w:t>
      </w:r>
      <w:r w:rsidRPr="00A5133A">
        <w:rPr>
          <w:rFonts w:ascii="Times New Roman" w:eastAsia="Times New Roman" w:hAnsi="Times New Roman" w:cs="Times New Roman"/>
          <w:sz w:val="24"/>
          <w:szCs w:val="24"/>
          <w:lang w:val="en-US"/>
        </w:rPr>
        <w:t xml:space="preserve"> Two-dimensional PCA projection of standardized provider-level features for high-risk providers, </w:t>
      </w:r>
      <w:r w:rsidR="00980E92" w:rsidRPr="00A5133A">
        <w:rPr>
          <w:rFonts w:ascii="Times New Roman" w:eastAsia="Times New Roman" w:hAnsi="Times New Roman" w:cs="Times New Roman"/>
          <w:sz w:val="24"/>
          <w:szCs w:val="24"/>
          <w:lang w:val="en-US"/>
        </w:rPr>
        <w:t>colored</w:t>
      </w:r>
      <w:r w:rsidRPr="00A5133A">
        <w:rPr>
          <w:rFonts w:ascii="Times New Roman" w:eastAsia="Times New Roman" w:hAnsi="Times New Roman" w:cs="Times New Roman"/>
          <w:sz w:val="24"/>
          <w:szCs w:val="24"/>
          <w:lang w:val="en-US"/>
        </w:rPr>
        <w:t xml:space="preserve"> by HDBSCAN cluster label, with noise providers shown in grey.</w:t>
      </w:r>
    </w:p>
    <w:tbl>
      <w:tblPr>
        <w:tblStyle w:val="TableGrid"/>
        <w:tblW w:w="9915" w:type="dxa"/>
        <w:jc w:val="center"/>
        <w:tblLook w:val="04A0" w:firstRow="1" w:lastRow="0" w:firstColumn="1" w:lastColumn="0" w:noHBand="0" w:noVBand="1"/>
      </w:tblPr>
      <w:tblGrid>
        <w:gridCol w:w="856"/>
        <w:gridCol w:w="1392"/>
        <w:gridCol w:w="1545"/>
        <w:gridCol w:w="1696"/>
        <w:gridCol w:w="2203"/>
        <w:gridCol w:w="2269"/>
      </w:tblGrid>
      <w:tr w:rsidR="008153EB" w:rsidRPr="008153EB" w14:paraId="7AEF134D" w14:textId="77777777" w:rsidTr="00F7593F">
        <w:trPr>
          <w:trHeight w:val="323"/>
          <w:jc w:val="center"/>
        </w:trPr>
        <w:tc>
          <w:tcPr>
            <w:tcW w:w="850" w:type="dxa"/>
            <w:noWrap/>
            <w:vAlign w:val="center"/>
            <w:hideMark/>
          </w:tcPr>
          <w:p w14:paraId="17C2F024" w14:textId="77777777" w:rsidR="008153EB" w:rsidRPr="008153EB" w:rsidRDefault="008153EB" w:rsidP="00F60ECE">
            <w:pPr>
              <w:spacing w:after="240" w:line="360" w:lineRule="auto"/>
              <w:jc w:val="center"/>
              <w:rPr>
                <w:rFonts w:ascii="Times New Roman" w:eastAsia="Times New Roman" w:hAnsi="Times New Roman" w:cs="Times New Roman"/>
                <w:sz w:val="24"/>
                <w:szCs w:val="24"/>
                <w:lang w:val="en"/>
              </w:rPr>
            </w:pPr>
            <w:r w:rsidRPr="008153EB">
              <w:rPr>
                <w:rFonts w:ascii="Times New Roman" w:eastAsia="Times New Roman" w:hAnsi="Times New Roman" w:cs="Times New Roman"/>
                <w:sz w:val="24"/>
                <w:szCs w:val="24"/>
                <w:lang w:val="en"/>
              </w:rPr>
              <w:t>cluster</w:t>
            </w:r>
          </w:p>
        </w:tc>
        <w:tc>
          <w:tcPr>
            <w:tcW w:w="1392" w:type="dxa"/>
            <w:noWrap/>
            <w:vAlign w:val="center"/>
            <w:hideMark/>
          </w:tcPr>
          <w:p w14:paraId="2C835F1C" w14:textId="77777777" w:rsidR="008153EB" w:rsidRPr="008153EB" w:rsidRDefault="008153EB" w:rsidP="00F60ECE">
            <w:pPr>
              <w:spacing w:after="240" w:line="360" w:lineRule="auto"/>
              <w:jc w:val="center"/>
              <w:rPr>
                <w:rFonts w:ascii="Times New Roman" w:eastAsia="Times New Roman" w:hAnsi="Times New Roman" w:cs="Times New Roman"/>
                <w:sz w:val="24"/>
                <w:szCs w:val="24"/>
                <w:lang w:val="en"/>
              </w:rPr>
            </w:pPr>
            <w:proofErr w:type="spellStart"/>
            <w:r w:rsidRPr="008153EB">
              <w:rPr>
                <w:rFonts w:ascii="Times New Roman" w:eastAsia="Times New Roman" w:hAnsi="Times New Roman" w:cs="Times New Roman"/>
                <w:sz w:val="24"/>
                <w:szCs w:val="24"/>
                <w:lang w:val="en"/>
              </w:rPr>
              <w:t>n_providers</w:t>
            </w:r>
            <w:proofErr w:type="spellEnd"/>
          </w:p>
        </w:tc>
        <w:tc>
          <w:tcPr>
            <w:tcW w:w="1545" w:type="dxa"/>
            <w:noWrap/>
            <w:vAlign w:val="center"/>
            <w:hideMark/>
          </w:tcPr>
          <w:p w14:paraId="46E47A55" w14:textId="77777777" w:rsidR="008153EB" w:rsidRPr="008153EB" w:rsidRDefault="008153EB" w:rsidP="00F60ECE">
            <w:pPr>
              <w:spacing w:after="240" w:line="360" w:lineRule="auto"/>
              <w:jc w:val="center"/>
              <w:rPr>
                <w:rFonts w:ascii="Times New Roman" w:eastAsia="Times New Roman" w:hAnsi="Times New Roman" w:cs="Times New Roman"/>
                <w:sz w:val="24"/>
                <w:szCs w:val="24"/>
                <w:lang w:val="en"/>
              </w:rPr>
            </w:pPr>
            <w:proofErr w:type="spellStart"/>
            <w:r w:rsidRPr="008153EB">
              <w:rPr>
                <w:rFonts w:ascii="Times New Roman" w:eastAsia="Times New Roman" w:hAnsi="Times New Roman" w:cs="Times New Roman"/>
                <w:sz w:val="24"/>
                <w:szCs w:val="24"/>
                <w:lang w:val="en"/>
              </w:rPr>
              <w:t>n_train_fraud</w:t>
            </w:r>
            <w:proofErr w:type="spellEnd"/>
          </w:p>
        </w:tc>
        <w:tc>
          <w:tcPr>
            <w:tcW w:w="1685" w:type="dxa"/>
            <w:noWrap/>
            <w:vAlign w:val="center"/>
            <w:hideMark/>
          </w:tcPr>
          <w:p w14:paraId="4635DB75" w14:textId="77777777" w:rsidR="008153EB" w:rsidRPr="008153EB" w:rsidRDefault="008153EB" w:rsidP="00F60ECE">
            <w:pPr>
              <w:spacing w:after="240" w:line="360" w:lineRule="auto"/>
              <w:jc w:val="center"/>
              <w:rPr>
                <w:rFonts w:ascii="Times New Roman" w:eastAsia="Times New Roman" w:hAnsi="Times New Roman" w:cs="Times New Roman"/>
                <w:sz w:val="24"/>
                <w:szCs w:val="24"/>
                <w:lang w:val="en"/>
              </w:rPr>
            </w:pPr>
            <w:proofErr w:type="spellStart"/>
            <w:r w:rsidRPr="008153EB">
              <w:rPr>
                <w:rFonts w:ascii="Times New Roman" w:eastAsia="Times New Roman" w:hAnsi="Times New Roman" w:cs="Times New Roman"/>
                <w:sz w:val="24"/>
                <w:szCs w:val="24"/>
                <w:lang w:val="en"/>
              </w:rPr>
              <w:t>n_test_highrisk</w:t>
            </w:r>
            <w:proofErr w:type="spellEnd"/>
          </w:p>
        </w:tc>
        <w:tc>
          <w:tcPr>
            <w:tcW w:w="2189" w:type="dxa"/>
            <w:noWrap/>
            <w:vAlign w:val="center"/>
            <w:hideMark/>
          </w:tcPr>
          <w:p w14:paraId="1B30E369" w14:textId="77777777" w:rsidR="008153EB" w:rsidRPr="008153EB" w:rsidRDefault="008153EB" w:rsidP="00F60ECE">
            <w:pPr>
              <w:spacing w:after="240" w:line="360" w:lineRule="auto"/>
              <w:jc w:val="center"/>
              <w:rPr>
                <w:rFonts w:ascii="Times New Roman" w:eastAsia="Times New Roman" w:hAnsi="Times New Roman" w:cs="Times New Roman"/>
                <w:sz w:val="24"/>
                <w:szCs w:val="24"/>
                <w:lang w:val="en"/>
              </w:rPr>
            </w:pPr>
            <w:r w:rsidRPr="008153EB">
              <w:rPr>
                <w:rFonts w:ascii="Times New Roman" w:eastAsia="Times New Roman" w:hAnsi="Times New Roman" w:cs="Times New Roman"/>
                <w:sz w:val="24"/>
                <w:szCs w:val="24"/>
                <w:lang w:val="en"/>
              </w:rPr>
              <w:t>median_reimb_365d</w:t>
            </w:r>
          </w:p>
        </w:tc>
        <w:tc>
          <w:tcPr>
            <w:tcW w:w="2254" w:type="dxa"/>
            <w:noWrap/>
            <w:vAlign w:val="center"/>
            <w:hideMark/>
          </w:tcPr>
          <w:p w14:paraId="3D90E6B2" w14:textId="77777777" w:rsidR="008153EB" w:rsidRPr="008153EB" w:rsidRDefault="008153EB" w:rsidP="00F60ECE">
            <w:pPr>
              <w:spacing w:after="240" w:line="360" w:lineRule="auto"/>
              <w:jc w:val="center"/>
              <w:rPr>
                <w:rFonts w:ascii="Times New Roman" w:eastAsia="Times New Roman" w:hAnsi="Times New Roman" w:cs="Times New Roman"/>
                <w:sz w:val="24"/>
                <w:szCs w:val="24"/>
                <w:lang w:val="en"/>
              </w:rPr>
            </w:pPr>
            <w:r w:rsidRPr="008153EB">
              <w:rPr>
                <w:rFonts w:ascii="Times New Roman" w:eastAsia="Times New Roman" w:hAnsi="Times New Roman" w:cs="Times New Roman"/>
                <w:sz w:val="24"/>
                <w:szCs w:val="24"/>
                <w:lang w:val="en"/>
              </w:rPr>
              <w:t>median_claims_365d</w:t>
            </w:r>
          </w:p>
        </w:tc>
      </w:tr>
      <w:tr w:rsidR="008153EB" w:rsidRPr="008153EB" w14:paraId="0032621C" w14:textId="77777777" w:rsidTr="00F7593F">
        <w:trPr>
          <w:trHeight w:val="323"/>
          <w:jc w:val="center"/>
        </w:trPr>
        <w:tc>
          <w:tcPr>
            <w:tcW w:w="850" w:type="dxa"/>
            <w:noWrap/>
            <w:vAlign w:val="center"/>
            <w:hideMark/>
          </w:tcPr>
          <w:p w14:paraId="40C46C9B" w14:textId="77777777" w:rsidR="008153EB" w:rsidRPr="008153EB" w:rsidRDefault="008153EB" w:rsidP="00F60ECE">
            <w:pPr>
              <w:spacing w:after="240" w:line="360" w:lineRule="auto"/>
              <w:jc w:val="center"/>
              <w:rPr>
                <w:rFonts w:ascii="Times New Roman" w:eastAsia="Times New Roman" w:hAnsi="Times New Roman" w:cs="Times New Roman"/>
                <w:sz w:val="24"/>
                <w:szCs w:val="24"/>
                <w:lang w:val="en"/>
              </w:rPr>
            </w:pPr>
            <w:r w:rsidRPr="008153EB">
              <w:rPr>
                <w:rFonts w:ascii="Times New Roman" w:eastAsia="Times New Roman" w:hAnsi="Times New Roman" w:cs="Times New Roman"/>
                <w:sz w:val="24"/>
                <w:szCs w:val="24"/>
                <w:lang w:val="en"/>
              </w:rPr>
              <w:t>0</w:t>
            </w:r>
          </w:p>
        </w:tc>
        <w:tc>
          <w:tcPr>
            <w:tcW w:w="1392" w:type="dxa"/>
            <w:noWrap/>
            <w:vAlign w:val="center"/>
            <w:hideMark/>
          </w:tcPr>
          <w:p w14:paraId="4A87450F" w14:textId="77777777" w:rsidR="008153EB" w:rsidRPr="008153EB" w:rsidRDefault="008153EB" w:rsidP="00F60ECE">
            <w:pPr>
              <w:spacing w:after="240" w:line="360" w:lineRule="auto"/>
              <w:jc w:val="center"/>
              <w:rPr>
                <w:rFonts w:ascii="Times New Roman" w:eastAsia="Times New Roman" w:hAnsi="Times New Roman" w:cs="Times New Roman"/>
                <w:sz w:val="24"/>
                <w:szCs w:val="24"/>
                <w:lang w:val="en"/>
              </w:rPr>
            </w:pPr>
            <w:r w:rsidRPr="008153EB">
              <w:rPr>
                <w:rFonts w:ascii="Times New Roman" w:eastAsia="Times New Roman" w:hAnsi="Times New Roman" w:cs="Times New Roman"/>
                <w:sz w:val="24"/>
                <w:szCs w:val="24"/>
                <w:lang w:val="en"/>
              </w:rPr>
              <w:t>10</w:t>
            </w:r>
          </w:p>
        </w:tc>
        <w:tc>
          <w:tcPr>
            <w:tcW w:w="1545" w:type="dxa"/>
            <w:noWrap/>
            <w:vAlign w:val="center"/>
            <w:hideMark/>
          </w:tcPr>
          <w:p w14:paraId="4271269E" w14:textId="77777777" w:rsidR="008153EB" w:rsidRPr="008153EB" w:rsidRDefault="008153EB" w:rsidP="00F60ECE">
            <w:pPr>
              <w:spacing w:after="240" w:line="360" w:lineRule="auto"/>
              <w:jc w:val="center"/>
              <w:rPr>
                <w:rFonts w:ascii="Times New Roman" w:eastAsia="Times New Roman" w:hAnsi="Times New Roman" w:cs="Times New Roman"/>
                <w:sz w:val="24"/>
                <w:szCs w:val="24"/>
                <w:lang w:val="en"/>
              </w:rPr>
            </w:pPr>
            <w:r w:rsidRPr="008153EB">
              <w:rPr>
                <w:rFonts w:ascii="Times New Roman" w:eastAsia="Times New Roman" w:hAnsi="Times New Roman" w:cs="Times New Roman"/>
                <w:sz w:val="24"/>
                <w:szCs w:val="24"/>
                <w:lang w:val="en"/>
              </w:rPr>
              <w:t>10</w:t>
            </w:r>
          </w:p>
        </w:tc>
        <w:tc>
          <w:tcPr>
            <w:tcW w:w="1685" w:type="dxa"/>
            <w:noWrap/>
            <w:vAlign w:val="center"/>
            <w:hideMark/>
          </w:tcPr>
          <w:p w14:paraId="09E350E5" w14:textId="77777777" w:rsidR="008153EB" w:rsidRPr="008153EB" w:rsidRDefault="008153EB" w:rsidP="00F60ECE">
            <w:pPr>
              <w:spacing w:after="240" w:line="360" w:lineRule="auto"/>
              <w:jc w:val="center"/>
              <w:rPr>
                <w:rFonts w:ascii="Times New Roman" w:eastAsia="Times New Roman" w:hAnsi="Times New Roman" w:cs="Times New Roman"/>
                <w:sz w:val="24"/>
                <w:szCs w:val="24"/>
                <w:lang w:val="en"/>
              </w:rPr>
            </w:pPr>
            <w:r w:rsidRPr="008153EB">
              <w:rPr>
                <w:rFonts w:ascii="Times New Roman" w:eastAsia="Times New Roman" w:hAnsi="Times New Roman" w:cs="Times New Roman"/>
                <w:sz w:val="24"/>
                <w:szCs w:val="24"/>
                <w:lang w:val="en"/>
              </w:rPr>
              <w:t>0</w:t>
            </w:r>
          </w:p>
        </w:tc>
        <w:tc>
          <w:tcPr>
            <w:tcW w:w="2189" w:type="dxa"/>
            <w:noWrap/>
            <w:vAlign w:val="center"/>
            <w:hideMark/>
          </w:tcPr>
          <w:p w14:paraId="70A31E55" w14:textId="77777777" w:rsidR="008153EB" w:rsidRPr="008153EB" w:rsidRDefault="008153EB" w:rsidP="00F60ECE">
            <w:pPr>
              <w:spacing w:after="240" w:line="360" w:lineRule="auto"/>
              <w:jc w:val="center"/>
              <w:rPr>
                <w:rFonts w:ascii="Times New Roman" w:eastAsia="Times New Roman" w:hAnsi="Times New Roman" w:cs="Times New Roman"/>
                <w:sz w:val="24"/>
                <w:szCs w:val="24"/>
                <w:lang w:val="en"/>
              </w:rPr>
            </w:pPr>
            <w:r w:rsidRPr="008153EB">
              <w:rPr>
                <w:rFonts w:ascii="Times New Roman" w:eastAsia="Times New Roman" w:hAnsi="Times New Roman" w:cs="Times New Roman"/>
                <w:sz w:val="24"/>
                <w:szCs w:val="24"/>
                <w:lang w:val="en"/>
              </w:rPr>
              <w:t>252570</w:t>
            </w:r>
          </w:p>
        </w:tc>
        <w:tc>
          <w:tcPr>
            <w:tcW w:w="2254" w:type="dxa"/>
            <w:noWrap/>
            <w:vAlign w:val="center"/>
            <w:hideMark/>
          </w:tcPr>
          <w:p w14:paraId="3CCF851C" w14:textId="77777777" w:rsidR="008153EB" w:rsidRPr="008153EB" w:rsidRDefault="008153EB" w:rsidP="00F60ECE">
            <w:pPr>
              <w:spacing w:after="240" w:line="360" w:lineRule="auto"/>
              <w:jc w:val="center"/>
              <w:rPr>
                <w:rFonts w:ascii="Times New Roman" w:eastAsia="Times New Roman" w:hAnsi="Times New Roman" w:cs="Times New Roman"/>
                <w:sz w:val="24"/>
                <w:szCs w:val="24"/>
                <w:lang w:val="en"/>
              </w:rPr>
            </w:pPr>
            <w:r w:rsidRPr="008153EB">
              <w:rPr>
                <w:rFonts w:ascii="Times New Roman" w:eastAsia="Times New Roman" w:hAnsi="Times New Roman" w:cs="Times New Roman"/>
                <w:sz w:val="24"/>
                <w:szCs w:val="24"/>
                <w:lang w:val="en"/>
              </w:rPr>
              <w:t>309</w:t>
            </w:r>
          </w:p>
        </w:tc>
      </w:tr>
      <w:tr w:rsidR="008153EB" w:rsidRPr="008153EB" w14:paraId="4E113158" w14:textId="77777777" w:rsidTr="00F7593F">
        <w:trPr>
          <w:trHeight w:val="323"/>
          <w:jc w:val="center"/>
        </w:trPr>
        <w:tc>
          <w:tcPr>
            <w:tcW w:w="850" w:type="dxa"/>
            <w:noWrap/>
            <w:vAlign w:val="center"/>
            <w:hideMark/>
          </w:tcPr>
          <w:p w14:paraId="27EA84F8" w14:textId="77777777" w:rsidR="008153EB" w:rsidRPr="008153EB" w:rsidRDefault="008153EB" w:rsidP="00F60ECE">
            <w:pPr>
              <w:spacing w:after="240" w:line="360" w:lineRule="auto"/>
              <w:jc w:val="center"/>
              <w:rPr>
                <w:rFonts w:ascii="Times New Roman" w:eastAsia="Times New Roman" w:hAnsi="Times New Roman" w:cs="Times New Roman"/>
                <w:sz w:val="24"/>
                <w:szCs w:val="24"/>
                <w:lang w:val="en"/>
              </w:rPr>
            </w:pPr>
            <w:r w:rsidRPr="008153EB">
              <w:rPr>
                <w:rFonts w:ascii="Times New Roman" w:eastAsia="Times New Roman" w:hAnsi="Times New Roman" w:cs="Times New Roman"/>
                <w:sz w:val="24"/>
                <w:szCs w:val="24"/>
                <w:lang w:val="en"/>
              </w:rPr>
              <w:t>1</w:t>
            </w:r>
          </w:p>
        </w:tc>
        <w:tc>
          <w:tcPr>
            <w:tcW w:w="1392" w:type="dxa"/>
            <w:noWrap/>
            <w:vAlign w:val="center"/>
            <w:hideMark/>
          </w:tcPr>
          <w:p w14:paraId="6AFBEBCB" w14:textId="77777777" w:rsidR="008153EB" w:rsidRPr="008153EB" w:rsidRDefault="008153EB" w:rsidP="00F60ECE">
            <w:pPr>
              <w:spacing w:after="240" w:line="360" w:lineRule="auto"/>
              <w:jc w:val="center"/>
              <w:rPr>
                <w:rFonts w:ascii="Times New Roman" w:eastAsia="Times New Roman" w:hAnsi="Times New Roman" w:cs="Times New Roman"/>
                <w:sz w:val="24"/>
                <w:szCs w:val="24"/>
                <w:lang w:val="en"/>
              </w:rPr>
            </w:pPr>
            <w:r w:rsidRPr="008153EB">
              <w:rPr>
                <w:rFonts w:ascii="Times New Roman" w:eastAsia="Times New Roman" w:hAnsi="Times New Roman" w:cs="Times New Roman"/>
                <w:sz w:val="24"/>
                <w:szCs w:val="24"/>
                <w:lang w:val="en"/>
              </w:rPr>
              <w:t>36</w:t>
            </w:r>
          </w:p>
        </w:tc>
        <w:tc>
          <w:tcPr>
            <w:tcW w:w="1545" w:type="dxa"/>
            <w:noWrap/>
            <w:vAlign w:val="center"/>
            <w:hideMark/>
          </w:tcPr>
          <w:p w14:paraId="5D91C0D5" w14:textId="77777777" w:rsidR="008153EB" w:rsidRPr="008153EB" w:rsidRDefault="008153EB" w:rsidP="00F60ECE">
            <w:pPr>
              <w:spacing w:after="240" w:line="360" w:lineRule="auto"/>
              <w:jc w:val="center"/>
              <w:rPr>
                <w:rFonts w:ascii="Times New Roman" w:eastAsia="Times New Roman" w:hAnsi="Times New Roman" w:cs="Times New Roman"/>
                <w:sz w:val="24"/>
                <w:szCs w:val="24"/>
                <w:lang w:val="en"/>
              </w:rPr>
            </w:pPr>
            <w:r w:rsidRPr="008153EB">
              <w:rPr>
                <w:rFonts w:ascii="Times New Roman" w:eastAsia="Times New Roman" w:hAnsi="Times New Roman" w:cs="Times New Roman"/>
                <w:sz w:val="24"/>
                <w:szCs w:val="24"/>
                <w:lang w:val="en"/>
              </w:rPr>
              <w:t>36</w:t>
            </w:r>
          </w:p>
        </w:tc>
        <w:tc>
          <w:tcPr>
            <w:tcW w:w="1685" w:type="dxa"/>
            <w:noWrap/>
            <w:vAlign w:val="center"/>
            <w:hideMark/>
          </w:tcPr>
          <w:p w14:paraId="3B9F8F69" w14:textId="77777777" w:rsidR="008153EB" w:rsidRPr="008153EB" w:rsidRDefault="008153EB" w:rsidP="00F60ECE">
            <w:pPr>
              <w:spacing w:after="240" w:line="360" w:lineRule="auto"/>
              <w:jc w:val="center"/>
              <w:rPr>
                <w:rFonts w:ascii="Times New Roman" w:eastAsia="Times New Roman" w:hAnsi="Times New Roman" w:cs="Times New Roman"/>
                <w:sz w:val="24"/>
                <w:szCs w:val="24"/>
                <w:lang w:val="en"/>
              </w:rPr>
            </w:pPr>
            <w:r w:rsidRPr="008153EB">
              <w:rPr>
                <w:rFonts w:ascii="Times New Roman" w:eastAsia="Times New Roman" w:hAnsi="Times New Roman" w:cs="Times New Roman"/>
                <w:sz w:val="24"/>
                <w:szCs w:val="24"/>
                <w:lang w:val="en"/>
              </w:rPr>
              <w:t>0</w:t>
            </w:r>
          </w:p>
        </w:tc>
        <w:tc>
          <w:tcPr>
            <w:tcW w:w="2189" w:type="dxa"/>
            <w:noWrap/>
            <w:vAlign w:val="center"/>
            <w:hideMark/>
          </w:tcPr>
          <w:p w14:paraId="734D756D" w14:textId="77777777" w:rsidR="008153EB" w:rsidRPr="008153EB" w:rsidRDefault="008153EB" w:rsidP="00F60ECE">
            <w:pPr>
              <w:spacing w:after="240" w:line="360" w:lineRule="auto"/>
              <w:jc w:val="center"/>
              <w:rPr>
                <w:rFonts w:ascii="Times New Roman" w:eastAsia="Times New Roman" w:hAnsi="Times New Roman" w:cs="Times New Roman"/>
                <w:sz w:val="24"/>
                <w:szCs w:val="24"/>
                <w:lang w:val="en"/>
              </w:rPr>
            </w:pPr>
            <w:r w:rsidRPr="008153EB">
              <w:rPr>
                <w:rFonts w:ascii="Times New Roman" w:eastAsia="Times New Roman" w:hAnsi="Times New Roman" w:cs="Times New Roman"/>
                <w:sz w:val="24"/>
                <w:szCs w:val="24"/>
                <w:lang w:val="en"/>
              </w:rPr>
              <w:t>490880</w:t>
            </w:r>
          </w:p>
        </w:tc>
        <w:tc>
          <w:tcPr>
            <w:tcW w:w="2254" w:type="dxa"/>
            <w:noWrap/>
            <w:vAlign w:val="center"/>
            <w:hideMark/>
          </w:tcPr>
          <w:p w14:paraId="7D9EBEF8" w14:textId="77777777" w:rsidR="008153EB" w:rsidRPr="008153EB" w:rsidRDefault="008153EB" w:rsidP="00F60ECE">
            <w:pPr>
              <w:spacing w:after="240" w:line="360" w:lineRule="auto"/>
              <w:jc w:val="center"/>
              <w:rPr>
                <w:rFonts w:ascii="Times New Roman" w:eastAsia="Times New Roman" w:hAnsi="Times New Roman" w:cs="Times New Roman"/>
                <w:sz w:val="24"/>
                <w:szCs w:val="24"/>
                <w:lang w:val="en"/>
              </w:rPr>
            </w:pPr>
            <w:r w:rsidRPr="008153EB">
              <w:rPr>
                <w:rFonts w:ascii="Times New Roman" w:eastAsia="Times New Roman" w:hAnsi="Times New Roman" w:cs="Times New Roman"/>
                <w:sz w:val="24"/>
                <w:szCs w:val="24"/>
                <w:lang w:val="en"/>
              </w:rPr>
              <w:t>140</w:t>
            </w:r>
          </w:p>
        </w:tc>
      </w:tr>
      <w:tr w:rsidR="008153EB" w:rsidRPr="008153EB" w14:paraId="7733AC96" w14:textId="77777777" w:rsidTr="00F7593F">
        <w:trPr>
          <w:trHeight w:val="323"/>
          <w:jc w:val="center"/>
        </w:trPr>
        <w:tc>
          <w:tcPr>
            <w:tcW w:w="850" w:type="dxa"/>
            <w:noWrap/>
            <w:vAlign w:val="center"/>
            <w:hideMark/>
          </w:tcPr>
          <w:p w14:paraId="049EE38D" w14:textId="77777777" w:rsidR="008153EB" w:rsidRPr="008153EB" w:rsidRDefault="008153EB" w:rsidP="00F60ECE">
            <w:pPr>
              <w:spacing w:after="240" w:line="360" w:lineRule="auto"/>
              <w:jc w:val="center"/>
              <w:rPr>
                <w:rFonts w:ascii="Times New Roman" w:eastAsia="Times New Roman" w:hAnsi="Times New Roman" w:cs="Times New Roman"/>
                <w:sz w:val="24"/>
                <w:szCs w:val="24"/>
                <w:lang w:val="en"/>
              </w:rPr>
            </w:pPr>
            <w:r w:rsidRPr="008153EB">
              <w:rPr>
                <w:rFonts w:ascii="Times New Roman" w:eastAsia="Times New Roman" w:hAnsi="Times New Roman" w:cs="Times New Roman"/>
                <w:sz w:val="24"/>
                <w:szCs w:val="24"/>
                <w:lang w:val="en"/>
              </w:rPr>
              <w:t>2</w:t>
            </w:r>
          </w:p>
        </w:tc>
        <w:tc>
          <w:tcPr>
            <w:tcW w:w="1392" w:type="dxa"/>
            <w:noWrap/>
            <w:vAlign w:val="center"/>
            <w:hideMark/>
          </w:tcPr>
          <w:p w14:paraId="5E8C3EE2" w14:textId="77777777" w:rsidR="008153EB" w:rsidRPr="008153EB" w:rsidRDefault="008153EB" w:rsidP="00F60ECE">
            <w:pPr>
              <w:spacing w:after="240" w:line="360" w:lineRule="auto"/>
              <w:jc w:val="center"/>
              <w:rPr>
                <w:rFonts w:ascii="Times New Roman" w:eastAsia="Times New Roman" w:hAnsi="Times New Roman" w:cs="Times New Roman"/>
                <w:sz w:val="24"/>
                <w:szCs w:val="24"/>
                <w:lang w:val="en"/>
              </w:rPr>
            </w:pPr>
            <w:r w:rsidRPr="008153EB">
              <w:rPr>
                <w:rFonts w:ascii="Times New Roman" w:eastAsia="Times New Roman" w:hAnsi="Times New Roman" w:cs="Times New Roman"/>
                <w:sz w:val="24"/>
                <w:szCs w:val="24"/>
                <w:lang w:val="en"/>
              </w:rPr>
              <w:t>10</w:t>
            </w:r>
          </w:p>
        </w:tc>
        <w:tc>
          <w:tcPr>
            <w:tcW w:w="1545" w:type="dxa"/>
            <w:noWrap/>
            <w:vAlign w:val="center"/>
            <w:hideMark/>
          </w:tcPr>
          <w:p w14:paraId="455559D0" w14:textId="77777777" w:rsidR="008153EB" w:rsidRPr="008153EB" w:rsidRDefault="008153EB" w:rsidP="00F60ECE">
            <w:pPr>
              <w:spacing w:after="240" w:line="360" w:lineRule="auto"/>
              <w:jc w:val="center"/>
              <w:rPr>
                <w:rFonts w:ascii="Times New Roman" w:eastAsia="Times New Roman" w:hAnsi="Times New Roman" w:cs="Times New Roman"/>
                <w:sz w:val="24"/>
                <w:szCs w:val="24"/>
                <w:lang w:val="en"/>
              </w:rPr>
            </w:pPr>
            <w:r w:rsidRPr="008153EB">
              <w:rPr>
                <w:rFonts w:ascii="Times New Roman" w:eastAsia="Times New Roman" w:hAnsi="Times New Roman" w:cs="Times New Roman"/>
                <w:sz w:val="24"/>
                <w:szCs w:val="24"/>
                <w:lang w:val="en"/>
              </w:rPr>
              <w:t>10</w:t>
            </w:r>
          </w:p>
        </w:tc>
        <w:tc>
          <w:tcPr>
            <w:tcW w:w="1685" w:type="dxa"/>
            <w:noWrap/>
            <w:vAlign w:val="center"/>
            <w:hideMark/>
          </w:tcPr>
          <w:p w14:paraId="7663681C" w14:textId="77777777" w:rsidR="008153EB" w:rsidRPr="008153EB" w:rsidRDefault="008153EB" w:rsidP="00F60ECE">
            <w:pPr>
              <w:spacing w:after="240" w:line="360" w:lineRule="auto"/>
              <w:jc w:val="center"/>
              <w:rPr>
                <w:rFonts w:ascii="Times New Roman" w:eastAsia="Times New Roman" w:hAnsi="Times New Roman" w:cs="Times New Roman"/>
                <w:sz w:val="24"/>
                <w:szCs w:val="24"/>
                <w:lang w:val="en"/>
              </w:rPr>
            </w:pPr>
            <w:r w:rsidRPr="008153EB">
              <w:rPr>
                <w:rFonts w:ascii="Times New Roman" w:eastAsia="Times New Roman" w:hAnsi="Times New Roman" w:cs="Times New Roman"/>
                <w:sz w:val="24"/>
                <w:szCs w:val="24"/>
                <w:lang w:val="en"/>
              </w:rPr>
              <w:t>0</w:t>
            </w:r>
          </w:p>
        </w:tc>
        <w:tc>
          <w:tcPr>
            <w:tcW w:w="2189" w:type="dxa"/>
            <w:noWrap/>
            <w:vAlign w:val="center"/>
            <w:hideMark/>
          </w:tcPr>
          <w:p w14:paraId="5E9DFB6C" w14:textId="77777777" w:rsidR="008153EB" w:rsidRPr="008153EB" w:rsidRDefault="008153EB" w:rsidP="00F60ECE">
            <w:pPr>
              <w:spacing w:after="240" w:line="360" w:lineRule="auto"/>
              <w:jc w:val="center"/>
              <w:rPr>
                <w:rFonts w:ascii="Times New Roman" w:eastAsia="Times New Roman" w:hAnsi="Times New Roman" w:cs="Times New Roman"/>
                <w:sz w:val="24"/>
                <w:szCs w:val="24"/>
                <w:lang w:val="en"/>
              </w:rPr>
            </w:pPr>
            <w:r w:rsidRPr="008153EB">
              <w:rPr>
                <w:rFonts w:ascii="Times New Roman" w:eastAsia="Times New Roman" w:hAnsi="Times New Roman" w:cs="Times New Roman"/>
                <w:sz w:val="24"/>
                <w:szCs w:val="24"/>
                <w:lang w:val="en"/>
              </w:rPr>
              <w:t>390030</w:t>
            </w:r>
          </w:p>
        </w:tc>
        <w:tc>
          <w:tcPr>
            <w:tcW w:w="2254" w:type="dxa"/>
            <w:noWrap/>
            <w:vAlign w:val="center"/>
            <w:hideMark/>
          </w:tcPr>
          <w:p w14:paraId="6DC344CF" w14:textId="77777777" w:rsidR="008153EB" w:rsidRPr="008153EB" w:rsidRDefault="008153EB" w:rsidP="00F60ECE">
            <w:pPr>
              <w:spacing w:after="240" w:line="360" w:lineRule="auto"/>
              <w:jc w:val="center"/>
              <w:rPr>
                <w:rFonts w:ascii="Times New Roman" w:eastAsia="Times New Roman" w:hAnsi="Times New Roman" w:cs="Times New Roman"/>
                <w:sz w:val="24"/>
                <w:szCs w:val="24"/>
                <w:lang w:val="en"/>
              </w:rPr>
            </w:pPr>
            <w:r w:rsidRPr="008153EB">
              <w:rPr>
                <w:rFonts w:ascii="Times New Roman" w:eastAsia="Times New Roman" w:hAnsi="Times New Roman" w:cs="Times New Roman"/>
                <w:sz w:val="24"/>
                <w:szCs w:val="24"/>
                <w:lang w:val="en"/>
              </w:rPr>
              <w:t>1336</w:t>
            </w:r>
          </w:p>
        </w:tc>
      </w:tr>
      <w:tr w:rsidR="008153EB" w:rsidRPr="008153EB" w14:paraId="72456534" w14:textId="77777777" w:rsidTr="00F7593F">
        <w:trPr>
          <w:trHeight w:val="323"/>
          <w:jc w:val="center"/>
        </w:trPr>
        <w:tc>
          <w:tcPr>
            <w:tcW w:w="850" w:type="dxa"/>
            <w:noWrap/>
            <w:vAlign w:val="center"/>
            <w:hideMark/>
          </w:tcPr>
          <w:p w14:paraId="1470EC35" w14:textId="77777777" w:rsidR="008153EB" w:rsidRPr="008153EB" w:rsidRDefault="008153EB" w:rsidP="00F60ECE">
            <w:pPr>
              <w:spacing w:after="240" w:line="360" w:lineRule="auto"/>
              <w:jc w:val="center"/>
              <w:rPr>
                <w:rFonts w:ascii="Times New Roman" w:eastAsia="Times New Roman" w:hAnsi="Times New Roman" w:cs="Times New Roman"/>
                <w:sz w:val="24"/>
                <w:szCs w:val="24"/>
                <w:lang w:val="en"/>
              </w:rPr>
            </w:pPr>
            <w:r w:rsidRPr="008153EB">
              <w:rPr>
                <w:rFonts w:ascii="Times New Roman" w:eastAsia="Times New Roman" w:hAnsi="Times New Roman" w:cs="Times New Roman"/>
                <w:sz w:val="24"/>
                <w:szCs w:val="24"/>
                <w:lang w:val="en"/>
              </w:rPr>
              <w:t>3</w:t>
            </w:r>
          </w:p>
        </w:tc>
        <w:tc>
          <w:tcPr>
            <w:tcW w:w="1392" w:type="dxa"/>
            <w:noWrap/>
            <w:vAlign w:val="center"/>
            <w:hideMark/>
          </w:tcPr>
          <w:p w14:paraId="4B226E84" w14:textId="77777777" w:rsidR="008153EB" w:rsidRPr="008153EB" w:rsidRDefault="008153EB" w:rsidP="00F60ECE">
            <w:pPr>
              <w:spacing w:after="240" w:line="360" w:lineRule="auto"/>
              <w:jc w:val="center"/>
              <w:rPr>
                <w:rFonts w:ascii="Times New Roman" w:eastAsia="Times New Roman" w:hAnsi="Times New Roman" w:cs="Times New Roman"/>
                <w:sz w:val="24"/>
                <w:szCs w:val="24"/>
                <w:lang w:val="en"/>
              </w:rPr>
            </w:pPr>
            <w:r w:rsidRPr="008153EB">
              <w:rPr>
                <w:rFonts w:ascii="Times New Roman" w:eastAsia="Times New Roman" w:hAnsi="Times New Roman" w:cs="Times New Roman"/>
                <w:sz w:val="24"/>
                <w:szCs w:val="24"/>
                <w:lang w:val="en"/>
              </w:rPr>
              <w:t>180</w:t>
            </w:r>
          </w:p>
        </w:tc>
        <w:tc>
          <w:tcPr>
            <w:tcW w:w="1545" w:type="dxa"/>
            <w:noWrap/>
            <w:vAlign w:val="center"/>
            <w:hideMark/>
          </w:tcPr>
          <w:p w14:paraId="02F69FD0" w14:textId="77777777" w:rsidR="008153EB" w:rsidRPr="008153EB" w:rsidRDefault="008153EB" w:rsidP="00F60ECE">
            <w:pPr>
              <w:spacing w:after="240" w:line="360" w:lineRule="auto"/>
              <w:jc w:val="center"/>
              <w:rPr>
                <w:rFonts w:ascii="Times New Roman" w:eastAsia="Times New Roman" w:hAnsi="Times New Roman" w:cs="Times New Roman"/>
                <w:sz w:val="24"/>
                <w:szCs w:val="24"/>
                <w:lang w:val="en"/>
              </w:rPr>
            </w:pPr>
            <w:r w:rsidRPr="008153EB">
              <w:rPr>
                <w:rFonts w:ascii="Times New Roman" w:eastAsia="Times New Roman" w:hAnsi="Times New Roman" w:cs="Times New Roman"/>
                <w:sz w:val="24"/>
                <w:szCs w:val="24"/>
                <w:lang w:val="en"/>
              </w:rPr>
              <w:t>180</w:t>
            </w:r>
          </w:p>
        </w:tc>
        <w:tc>
          <w:tcPr>
            <w:tcW w:w="1685" w:type="dxa"/>
            <w:noWrap/>
            <w:vAlign w:val="center"/>
            <w:hideMark/>
          </w:tcPr>
          <w:p w14:paraId="4A5DAA94" w14:textId="77777777" w:rsidR="008153EB" w:rsidRPr="008153EB" w:rsidRDefault="008153EB" w:rsidP="00F60ECE">
            <w:pPr>
              <w:spacing w:after="240" w:line="360" w:lineRule="auto"/>
              <w:jc w:val="center"/>
              <w:rPr>
                <w:rFonts w:ascii="Times New Roman" w:eastAsia="Times New Roman" w:hAnsi="Times New Roman" w:cs="Times New Roman"/>
                <w:sz w:val="24"/>
                <w:szCs w:val="24"/>
                <w:lang w:val="en"/>
              </w:rPr>
            </w:pPr>
            <w:r w:rsidRPr="008153EB">
              <w:rPr>
                <w:rFonts w:ascii="Times New Roman" w:eastAsia="Times New Roman" w:hAnsi="Times New Roman" w:cs="Times New Roman"/>
                <w:sz w:val="24"/>
                <w:szCs w:val="24"/>
                <w:lang w:val="en"/>
              </w:rPr>
              <w:t>0</w:t>
            </w:r>
          </w:p>
        </w:tc>
        <w:tc>
          <w:tcPr>
            <w:tcW w:w="2189" w:type="dxa"/>
            <w:noWrap/>
            <w:vAlign w:val="center"/>
            <w:hideMark/>
          </w:tcPr>
          <w:p w14:paraId="0665DC91" w14:textId="77777777" w:rsidR="008153EB" w:rsidRPr="008153EB" w:rsidRDefault="008153EB" w:rsidP="00F60ECE">
            <w:pPr>
              <w:spacing w:after="240" w:line="360" w:lineRule="auto"/>
              <w:jc w:val="center"/>
              <w:rPr>
                <w:rFonts w:ascii="Times New Roman" w:eastAsia="Times New Roman" w:hAnsi="Times New Roman" w:cs="Times New Roman"/>
                <w:sz w:val="24"/>
                <w:szCs w:val="24"/>
                <w:lang w:val="en"/>
              </w:rPr>
            </w:pPr>
            <w:r w:rsidRPr="008153EB">
              <w:rPr>
                <w:rFonts w:ascii="Times New Roman" w:eastAsia="Times New Roman" w:hAnsi="Times New Roman" w:cs="Times New Roman"/>
                <w:sz w:val="24"/>
                <w:szCs w:val="24"/>
                <w:lang w:val="en"/>
              </w:rPr>
              <w:t>210265</w:t>
            </w:r>
          </w:p>
        </w:tc>
        <w:tc>
          <w:tcPr>
            <w:tcW w:w="2254" w:type="dxa"/>
            <w:noWrap/>
            <w:vAlign w:val="center"/>
            <w:hideMark/>
          </w:tcPr>
          <w:p w14:paraId="0CCB6744" w14:textId="77777777" w:rsidR="008153EB" w:rsidRPr="008153EB" w:rsidRDefault="008153EB" w:rsidP="00F60ECE">
            <w:pPr>
              <w:spacing w:after="240" w:line="360" w:lineRule="auto"/>
              <w:jc w:val="center"/>
              <w:rPr>
                <w:rFonts w:ascii="Times New Roman" w:eastAsia="Times New Roman" w:hAnsi="Times New Roman" w:cs="Times New Roman"/>
                <w:sz w:val="24"/>
                <w:szCs w:val="24"/>
                <w:lang w:val="en"/>
              </w:rPr>
            </w:pPr>
            <w:r w:rsidRPr="008153EB">
              <w:rPr>
                <w:rFonts w:ascii="Times New Roman" w:eastAsia="Times New Roman" w:hAnsi="Times New Roman" w:cs="Times New Roman"/>
                <w:sz w:val="24"/>
                <w:szCs w:val="24"/>
                <w:lang w:val="en"/>
              </w:rPr>
              <w:t>108</w:t>
            </w:r>
          </w:p>
        </w:tc>
      </w:tr>
    </w:tbl>
    <w:p w14:paraId="3504A000" w14:textId="77777777" w:rsidR="00F60ECE" w:rsidRDefault="00F60ECE" w:rsidP="00F60ECE">
      <w:pPr>
        <w:spacing w:after="240" w:line="360" w:lineRule="auto"/>
        <w:rPr>
          <w:rFonts w:ascii="Times New Roman" w:eastAsia="Times New Roman" w:hAnsi="Times New Roman" w:cs="Times New Roman"/>
          <w:b/>
          <w:bCs/>
          <w:sz w:val="24"/>
          <w:szCs w:val="24"/>
          <w:lang w:val="en-US"/>
        </w:rPr>
      </w:pPr>
    </w:p>
    <w:p w14:paraId="38E7F01B" w14:textId="109EBEA6" w:rsidR="00A5133A" w:rsidRPr="00A5133A" w:rsidRDefault="00A5133A" w:rsidP="00F60ECE">
      <w:pPr>
        <w:spacing w:after="240" w:line="360" w:lineRule="auto"/>
        <w:rPr>
          <w:rFonts w:ascii="Times New Roman" w:eastAsia="Times New Roman" w:hAnsi="Times New Roman" w:cs="Times New Roman"/>
          <w:sz w:val="24"/>
          <w:szCs w:val="24"/>
          <w:lang w:val="en-US"/>
        </w:rPr>
      </w:pPr>
      <w:r w:rsidRPr="00A5133A">
        <w:rPr>
          <w:rFonts w:ascii="Times New Roman" w:eastAsia="Times New Roman" w:hAnsi="Times New Roman" w:cs="Times New Roman"/>
          <w:b/>
          <w:bCs/>
          <w:sz w:val="24"/>
          <w:szCs w:val="24"/>
          <w:lang w:val="en-US"/>
        </w:rPr>
        <w:t>Table 3. Summary of provider fraud-type clusters.</w:t>
      </w:r>
      <w:r w:rsidRPr="00A5133A">
        <w:rPr>
          <w:rFonts w:ascii="Times New Roman" w:eastAsia="Times New Roman" w:hAnsi="Times New Roman" w:cs="Times New Roman"/>
          <w:sz w:val="24"/>
          <w:szCs w:val="24"/>
          <w:lang w:val="en-US"/>
        </w:rPr>
        <w:t xml:space="preserve"> For each provider cluster identified by HDBSCAN, the table reports the number of providers, the fraction originating from labeled training frauds versus high-scored test providers, and median values of key features such as annual reimbursement, claim volume, peer-normalized z-scores, and counts of duplicate, upcoding, and overcharge flags.</w:t>
      </w:r>
    </w:p>
    <w:p w14:paraId="0000000D" w14:textId="3CDB7EC2" w:rsidR="00003EE0" w:rsidRDefault="00000000" w:rsidP="00F60ECE">
      <w:pPr>
        <w:pStyle w:val="Heading1"/>
        <w:spacing w:before="0" w:after="240"/>
        <w:rPr>
          <w:rFonts w:ascii="Times New Roman" w:hAnsi="Times New Roman" w:cs="Times New Roman"/>
          <w:b/>
          <w:bCs/>
          <w:i/>
          <w:iCs/>
          <w:sz w:val="28"/>
          <w:szCs w:val="28"/>
        </w:rPr>
      </w:pPr>
      <w:r w:rsidRPr="00666B08">
        <w:rPr>
          <w:rFonts w:ascii="Times New Roman" w:hAnsi="Times New Roman" w:cs="Times New Roman"/>
          <w:b/>
          <w:bCs/>
          <w:i/>
          <w:iCs/>
          <w:sz w:val="28"/>
          <w:szCs w:val="28"/>
        </w:rPr>
        <w:lastRenderedPageBreak/>
        <w:t>5. Discussion/Conclusion</w:t>
      </w:r>
    </w:p>
    <w:p w14:paraId="3B99D6C9" w14:textId="19121040" w:rsidR="00F60ECE" w:rsidRPr="00F60ECE" w:rsidRDefault="00F60ECE" w:rsidP="00F60ECE">
      <w:pPr>
        <w:spacing w:after="240" w:line="360" w:lineRule="auto"/>
        <w:rPr>
          <w:rFonts w:ascii="Times New Roman" w:hAnsi="Times New Roman" w:cs="Times New Roman"/>
          <w:sz w:val="24"/>
          <w:szCs w:val="24"/>
          <w:lang w:val="en-US"/>
        </w:rPr>
      </w:pPr>
      <w:r w:rsidRPr="00F60ECE">
        <w:rPr>
          <w:rFonts w:ascii="Times New Roman" w:hAnsi="Times New Roman" w:cs="Times New Roman"/>
          <w:sz w:val="24"/>
          <w:szCs w:val="24"/>
          <w:lang w:val="en-US"/>
        </w:rPr>
        <w:t>This work developed an end-to-end fraud analytics pipeline on Medicare-like claims data that ties together SQL-based feature engineering, unsupervised pattern discovery on fraud-only claims, supervised provider-level classification, and clustering of high-risk providers into fraud-type groups. Conceptually, it sits in the space mapped out by recent surveys and position papers that call for integrated, multi-paradigm approaches to healthcare fraud detection, rather than single model point solutions [3], [9], [14], [17], [20].</w:t>
      </w:r>
    </w:p>
    <w:p w14:paraId="229A681D" w14:textId="650616E7" w:rsidR="00F60ECE" w:rsidRPr="00F60ECE" w:rsidRDefault="00F60ECE" w:rsidP="00F60ECE">
      <w:pPr>
        <w:spacing w:after="240" w:line="360" w:lineRule="auto"/>
        <w:rPr>
          <w:rFonts w:ascii="Times New Roman" w:hAnsi="Times New Roman" w:cs="Times New Roman"/>
          <w:sz w:val="24"/>
          <w:szCs w:val="24"/>
          <w:lang w:val="en-US"/>
        </w:rPr>
      </w:pPr>
      <w:r w:rsidRPr="00F60ECE">
        <w:rPr>
          <w:rFonts w:ascii="Times New Roman" w:hAnsi="Times New Roman" w:cs="Times New Roman"/>
          <w:sz w:val="24"/>
          <w:szCs w:val="24"/>
          <w:lang w:val="en-US"/>
        </w:rPr>
        <w:t>On the supervised side, we found that a relatively simple logistic regression model with elastic-net regularization and class-balanced weighting performed competitively with more complex tree-based and neural models. All models achieved high ROC-AUC on the hold-out provider set, but logistic regression offered a favorable precision–recall trade-off and a PR-AUC around 0.71, while remaining easy to interpret through its coefficients and calibrated risk scores. This aligns with systematic reviews showing that “classical” models (logistic regression, tree ensembles, SVMs) remain strong baselines for healthcare claims fraud when paired with good feature engineering [3], [9], [13], [20], even as optimized deep learning approaches are starting to appear in the literature [8], [16]. Our results reinforce the idea that, in tabular insurance data, carefully designed temporal aggregates, peer-normalized statistics, and rule-based counts can be at least as important as model complexity.</w:t>
      </w:r>
    </w:p>
    <w:p w14:paraId="54522F99" w14:textId="73FB9203" w:rsidR="00F60ECE" w:rsidRPr="00F60ECE" w:rsidRDefault="00F60ECE" w:rsidP="00F60ECE">
      <w:pPr>
        <w:spacing w:after="240" w:line="360" w:lineRule="auto"/>
        <w:rPr>
          <w:rFonts w:ascii="Times New Roman" w:hAnsi="Times New Roman" w:cs="Times New Roman"/>
          <w:sz w:val="24"/>
          <w:szCs w:val="24"/>
          <w:lang w:val="en-US"/>
        </w:rPr>
      </w:pPr>
      <w:r w:rsidRPr="00F60ECE">
        <w:rPr>
          <w:rFonts w:ascii="Times New Roman" w:hAnsi="Times New Roman" w:cs="Times New Roman"/>
          <w:sz w:val="24"/>
          <w:szCs w:val="24"/>
          <w:lang w:val="en-US"/>
        </w:rPr>
        <w:t>Unsupervised and anomaly-detection methods played a complementary role. We applied HDBSCAN to fraud-only inpatient and outpatient claims, then used PCA visualizations and association rule mining on diagnosis–procedure combinations to uncover heterogeneity within fraudulent behavior. This is consistent with a broader trend toward unsupervised or weakly supervised methods for fraud and anomaly detection in health insurance, including clustering and density-based methods [1], [6], [15], [19], explainable unsupervised anomaly detection [2], and multivariate outlier models such as WMTDBC [15]. Our approach is particularly close in spirit to Hamid et al., who combines association rule mining with unsupervised classifiers on CMS claims to highlight suspicious patterns [5], and to sequence- and pattern-based methods that use frequent subsequences or trajectories to capture complex schemes [12]. Rather than directly labeling claims from these unsupervised models, we use them to describe and differentiate fraud-only clusters, which then inform both interpretation and rule design.</w:t>
      </w:r>
    </w:p>
    <w:p w14:paraId="02C87C37" w14:textId="77777777" w:rsidR="00F60ECE" w:rsidRDefault="00F60ECE" w:rsidP="00F60ECE">
      <w:pPr>
        <w:spacing w:after="240" w:line="360" w:lineRule="auto"/>
        <w:rPr>
          <w:rFonts w:ascii="Times New Roman" w:hAnsi="Times New Roman" w:cs="Times New Roman"/>
          <w:sz w:val="24"/>
          <w:szCs w:val="24"/>
          <w:lang w:val="en-US"/>
        </w:rPr>
      </w:pPr>
      <w:r w:rsidRPr="00F60ECE">
        <w:rPr>
          <w:rFonts w:ascii="Times New Roman" w:hAnsi="Times New Roman" w:cs="Times New Roman"/>
          <w:sz w:val="24"/>
          <w:szCs w:val="24"/>
          <w:lang w:val="en-US"/>
        </w:rPr>
        <w:lastRenderedPageBreak/>
        <w:t>At the provider level, clustering the high-risk provider universe—combining labeled fraudulent providers with unlabeled providers that received high fraud scores—yielded several distinct fraud-type clusters and a large noise set. This echoes earlier work that uses clustering or multistage unsupervised approaches to identify outlier providers or utilization profiles in administrative data [10], [15], [19]. In our case, cluster summaries suggested intuitive provider archetypes, such as high-revenue inpatient overchargers, moderate-volume inpatient outliers, high-volume outpatient billers with many duplicate or overcharge flags, and outpatient-only providers with very large claim volumes. Such typologies complement global risk scores and are similar in spirit to recent “explainable anomaly detection” approaches that seek to group and characterize anomalies rather than simply rank them [2].</w:t>
      </w:r>
    </w:p>
    <w:p w14:paraId="45E962F7" w14:textId="35A989D7" w:rsidR="00F60ECE" w:rsidRPr="00F60ECE" w:rsidRDefault="00F60ECE" w:rsidP="00F60ECE">
      <w:pPr>
        <w:spacing w:after="240" w:line="360" w:lineRule="auto"/>
        <w:rPr>
          <w:rFonts w:ascii="Times New Roman" w:hAnsi="Times New Roman" w:cs="Times New Roman"/>
          <w:sz w:val="24"/>
          <w:szCs w:val="24"/>
          <w:lang w:val="en-US"/>
        </w:rPr>
      </w:pPr>
      <w:r w:rsidRPr="00F60ECE">
        <w:rPr>
          <w:rFonts w:ascii="Times New Roman" w:hAnsi="Times New Roman" w:cs="Times New Roman"/>
          <w:sz w:val="24"/>
          <w:szCs w:val="24"/>
          <w:lang w:val="en-US"/>
        </w:rPr>
        <w:t>The pipeline design itself—built around a SQL feature store with explicit staging, curated, and mart layers—aligns with work advocating for closer integration between data warehousing, SQL-based analytics, and machine learning in fraud detection [11]. By pushing much of the aggregation, normalization, and rule logic into the database, we obtain a transparent and reproducible feature space that can be reused across multiple models and analyses. This is compatible with emerging architectures for real-time or near–real-time analytics that combine data warehouses with cloud-native processing engines [7] and could in principle be combined with blockchain-based or graph-based infrastructures proposed for secure, auditable fraud detection in health insurance [4], [10], [14].</w:t>
      </w:r>
    </w:p>
    <w:p w14:paraId="40BE15A5" w14:textId="3058A839" w:rsidR="00F60ECE" w:rsidRPr="00F60ECE" w:rsidRDefault="00F60ECE" w:rsidP="00F60ECE">
      <w:pPr>
        <w:spacing w:after="240" w:line="360" w:lineRule="auto"/>
        <w:rPr>
          <w:rFonts w:ascii="Times New Roman" w:hAnsi="Times New Roman" w:cs="Times New Roman"/>
          <w:sz w:val="24"/>
          <w:szCs w:val="24"/>
          <w:lang w:val="en-US"/>
        </w:rPr>
      </w:pPr>
      <w:r w:rsidRPr="00F60ECE">
        <w:rPr>
          <w:rFonts w:ascii="Times New Roman" w:hAnsi="Times New Roman" w:cs="Times New Roman"/>
          <w:sz w:val="24"/>
          <w:szCs w:val="24"/>
          <w:lang w:val="en-US"/>
        </w:rPr>
        <w:t xml:space="preserve">Several limitations of our study are important. First, the PotentialFraud label is only a proxy for true fraud status and may reflect partial investigations, automated rules, or historical heuristics, an issue frequently raised in reviews of healthcare fraud data mining [3], [9], [17]. Label noise and incomplete coverage of fraudulent providers can bias both supervised models and the fraud-only subsets used for unsupervised clustering. Second, our analysis is limited to a single Medicare-like dataset in a fixed time window. We did not evaluate temporal drift or generalization to other payer types or national systems, whereas prior studies emphasize the importance of context and local coding practices (for example, in Nigerian health insurance [18]) and call for cross-system validation [14], [17]. Third, our pipeline operates in batch mode; we did not implement real-time scoring, streaming ingestion, or online monitoring for concept drift, which are key elements of “next generation” operational systems [7], [14]. Fourth, while we </w:t>
      </w:r>
      <w:r w:rsidRPr="00F60ECE">
        <w:rPr>
          <w:rFonts w:ascii="Times New Roman" w:hAnsi="Times New Roman" w:cs="Times New Roman"/>
          <w:sz w:val="24"/>
          <w:szCs w:val="24"/>
          <w:lang w:val="en-US"/>
        </w:rPr>
        <w:lastRenderedPageBreak/>
        <w:t>borrow ideas from deep learning and sequence mining work [8], [12], [16], we did not explore graph-based, sequence-based, or end-to-end deep models that might capture provider–patient networks or temporal dependencies more richly. Finally, we lacked access to domain experts to manually review specific claims and providers, so our fraud-type clusters should be interpreted as indicative patterns rather than validated typologies.</w:t>
      </w:r>
    </w:p>
    <w:p w14:paraId="607167E2" w14:textId="1E6F42F4" w:rsidR="00F60ECE" w:rsidRPr="00F60ECE" w:rsidRDefault="00F60ECE" w:rsidP="00F60ECE">
      <w:pPr>
        <w:spacing w:after="240" w:line="360" w:lineRule="auto"/>
        <w:rPr>
          <w:rFonts w:ascii="Times New Roman" w:hAnsi="Times New Roman" w:cs="Times New Roman"/>
          <w:sz w:val="24"/>
          <w:szCs w:val="24"/>
          <w:lang w:val="en-US"/>
        </w:rPr>
      </w:pPr>
      <w:r w:rsidRPr="00F60ECE">
        <w:rPr>
          <w:rFonts w:ascii="Times New Roman" w:hAnsi="Times New Roman" w:cs="Times New Roman"/>
          <w:sz w:val="24"/>
          <w:szCs w:val="24"/>
          <w:lang w:val="en-US"/>
        </w:rPr>
        <w:t>These limitations suggest clear directions for future work. One avenue is to embed the current feature store and models into a real-time analytics stack, incorporating streaming data, low-latency scoring, and dashboards for monitoring model calibration, performance drift, and feature drift, in line with recent work on cloud-native analytics [7] and “next-generation” fraud systems [14]. Another is to integrate more advanced unsupervised and explainable methods—such as the explainable anomaly detection frameworks proposed for insurance data [2] and unsupervised multivariate models like WMTDBC [15]—directly into provider- and claim-level scorecards. A third direction is to explore richer model classes, including optimized deep learning architectures [8], [16] and sequence models [12], especially when longer longitudinal claim histories are available. Finally, applying the pipeline to additional datasets and settings (for example, different insurers or national contexts [18]) and involving subject-matter experts in reviewing representative cases from each fraud-type cluster would strengthen both the empirical evidence and the practical interpretability of the approach.</w:t>
      </w:r>
    </w:p>
    <w:p w14:paraId="74E45C89" w14:textId="18AC1541" w:rsidR="00F60ECE" w:rsidRPr="00F60ECE" w:rsidRDefault="00F60ECE" w:rsidP="00F60ECE">
      <w:pPr>
        <w:spacing w:after="240" w:line="360" w:lineRule="auto"/>
        <w:rPr>
          <w:rFonts w:ascii="Times New Roman" w:hAnsi="Times New Roman" w:cs="Times New Roman"/>
          <w:sz w:val="24"/>
          <w:szCs w:val="24"/>
          <w:lang w:val="en-US"/>
        </w:rPr>
      </w:pPr>
      <w:r w:rsidRPr="00F60ECE">
        <w:rPr>
          <w:rFonts w:ascii="Times New Roman" w:hAnsi="Times New Roman" w:cs="Times New Roman"/>
          <w:sz w:val="24"/>
          <w:szCs w:val="24"/>
          <w:lang w:val="en-US"/>
        </w:rPr>
        <w:t>In conclusion, our study shows that a modular pipeline combining a SQL-based feature store, interpretable rule-based indicators, unsupervised pattern discovery on fraud-only claims, and supervised provider risk scoring can deliver competitive predictive performance while also yielding interpretable fraud-type clusters. Rather than competing with more specialized approaches—such as deep learning models [8], [16] or sophisticated unsupervised frameworks [1], [2], [15], [19]—our contribution is to demonstrate how these ideas can be orchestrated within a transparent, reproducible workflow that is compatible with the broader trends and challenges identified in recent surveys and position papers on healthcare fraud detection [3], [9], [14], [17], [20].</w:t>
      </w:r>
    </w:p>
    <w:p w14:paraId="0000000E" w14:textId="77777777" w:rsidR="00003EE0" w:rsidRPr="00666B08" w:rsidRDefault="00000000" w:rsidP="00666B08">
      <w:pPr>
        <w:pStyle w:val="Heading1"/>
        <w:rPr>
          <w:rFonts w:ascii="Times New Roman" w:hAnsi="Times New Roman" w:cs="Times New Roman"/>
          <w:b/>
          <w:bCs/>
          <w:i/>
          <w:iCs/>
          <w:sz w:val="28"/>
          <w:szCs w:val="28"/>
        </w:rPr>
      </w:pPr>
      <w:r w:rsidRPr="00666B08">
        <w:rPr>
          <w:rFonts w:ascii="Times New Roman" w:hAnsi="Times New Roman" w:cs="Times New Roman"/>
          <w:b/>
          <w:bCs/>
          <w:i/>
          <w:iCs/>
          <w:sz w:val="28"/>
          <w:szCs w:val="28"/>
        </w:rPr>
        <w:lastRenderedPageBreak/>
        <w:t>6. References</w:t>
      </w:r>
    </w:p>
    <w:p w14:paraId="0000000F" w14:textId="77777777" w:rsidR="00003EE0" w:rsidRPr="006F6A93" w:rsidRDefault="00000000" w:rsidP="00525A33">
      <w:pPr>
        <w:spacing w:before="240" w:after="240" w:line="360" w:lineRule="auto"/>
        <w:rPr>
          <w:rFonts w:ascii="Times New Roman" w:hAnsi="Times New Roman" w:cs="Times New Roman"/>
          <w:sz w:val="24"/>
          <w:szCs w:val="24"/>
        </w:rPr>
      </w:pPr>
      <w:r w:rsidRPr="006F6A93">
        <w:rPr>
          <w:rFonts w:ascii="Times New Roman" w:hAnsi="Times New Roman" w:cs="Times New Roman"/>
          <w:sz w:val="24"/>
          <w:szCs w:val="24"/>
        </w:rPr>
        <w:t xml:space="preserve">[1] M. </w:t>
      </w:r>
      <w:proofErr w:type="spellStart"/>
      <w:r w:rsidRPr="006F6A93">
        <w:rPr>
          <w:rFonts w:ascii="Times New Roman" w:hAnsi="Times New Roman" w:cs="Times New Roman"/>
          <w:sz w:val="24"/>
          <w:szCs w:val="24"/>
        </w:rPr>
        <w:t>Bairy</w:t>
      </w:r>
      <w:proofErr w:type="spellEnd"/>
      <w:r w:rsidRPr="006F6A93">
        <w:rPr>
          <w:rFonts w:ascii="Times New Roman" w:hAnsi="Times New Roman" w:cs="Times New Roman"/>
          <w:sz w:val="24"/>
          <w:szCs w:val="24"/>
        </w:rPr>
        <w:t xml:space="preserve">, B. </w:t>
      </w:r>
      <w:proofErr w:type="spellStart"/>
      <w:r w:rsidRPr="006F6A93">
        <w:rPr>
          <w:rFonts w:ascii="Times New Roman" w:hAnsi="Times New Roman" w:cs="Times New Roman"/>
          <w:sz w:val="24"/>
          <w:szCs w:val="24"/>
        </w:rPr>
        <w:t>Muniyal</w:t>
      </w:r>
      <w:proofErr w:type="spellEnd"/>
      <w:r w:rsidRPr="006F6A93">
        <w:rPr>
          <w:rFonts w:ascii="Times New Roman" w:hAnsi="Times New Roman" w:cs="Times New Roman"/>
          <w:sz w:val="24"/>
          <w:szCs w:val="24"/>
        </w:rPr>
        <w:t xml:space="preserve">, and N. P. Shetty, “Enhancing healthcare data integrity: Fraud detection using unsupervised learning techniques,” Int. J. </w:t>
      </w:r>
      <w:proofErr w:type="spellStart"/>
      <w:r w:rsidRPr="006F6A93">
        <w:rPr>
          <w:rFonts w:ascii="Times New Roman" w:hAnsi="Times New Roman" w:cs="Times New Roman"/>
          <w:sz w:val="24"/>
          <w:szCs w:val="24"/>
        </w:rPr>
        <w:t>Comput</w:t>
      </w:r>
      <w:proofErr w:type="spellEnd"/>
      <w:r w:rsidRPr="006F6A93">
        <w:rPr>
          <w:rFonts w:ascii="Times New Roman" w:hAnsi="Times New Roman" w:cs="Times New Roman"/>
          <w:sz w:val="24"/>
          <w:szCs w:val="24"/>
        </w:rPr>
        <w:t xml:space="preserve">. Appl., vol. 46, no. 11, pp. 1006–1019, 2024, </w:t>
      </w:r>
      <w:proofErr w:type="spellStart"/>
      <w:r w:rsidRPr="006F6A93">
        <w:rPr>
          <w:rFonts w:ascii="Times New Roman" w:hAnsi="Times New Roman" w:cs="Times New Roman"/>
          <w:sz w:val="24"/>
          <w:szCs w:val="24"/>
        </w:rPr>
        <w:t>doi</w:t>
      </w:r>
      <w:proofErr w:type="spellEnd"/>
      <w:r w:rsidRPr="006F6A93">
        <w:rPr>
          <w:rFonts w:ascii="Times New Roman" w:hAnsi="Times New Roman" w:cs="Times New Roman"/>
          <w:sz w:val="24"/>
          <w:szCs w:val="24"/>
        </w:rPr>
        <w:t>: 10.1080/1206212X.2024.2408262.</w:t>
      </w:r>
    </w:p>
    <w:p w14:paraId="00000010" w14:textId="77777777" w:rsidR="00003EE0" w:rsidRPr="006F6A93" w:rsidRDefault="00000000" w:rsidP="00525A33">
      <w:pPr>
        <w:spacing w:before="240" w:after="240" w:line="360" w:lineRule="auto"/>
        <w:rPr>
          <w:rFonts w:ascii="Times New Roman" w:hAnsi="Times New Roman" w:cs="Times New Roman"/>
          <w:sz w:val="24"/>
          <w:szCs w:val="24"/>
        </w:rPr>
      </w:pPr>
      <w:r w:rsidRPr="006F6A93">
        <w:rPr>
          <w:rFonts w:ascii="Times New Roman" w:hAnsi="Times New Roman" w:cs="Times New Roman"/>
          <w:sz w:val="24"/>
          <w:szCs w:val="24"/>
        </w:rPr>
        <w:t xml:space="preserve">[2] H. De Meulemeester, F. De Smet, J. van Dorst, E. </w:t>
      </w:r>
      <w:proofErr w:type="spellStart"/>
      <w:r w:rsidRPr="006F6A93">
        <w:rPr>
          <w:rFonts w:ascii="Times New Roman" w:hAnsi="Times New Roman" w:cs="Times New Roman"/>
          <w:sz w:val="24"/>
          <w:szCs w:val="24"/>
        </w:rPr>
        <w:t>Derroitte</w:t>
      </w:r>
      <w:proofErr w:type="spellEnd"/>
      <w:r w:rsidRPr="006F6A93">
        <w:rPr>
          <w:rFonts w:ascii="Times New Roman" w:hAnsi="Times New Roman" w:cs="Times New Roman"/>
          <w:sz w:val="24"/>
          <w:szCs w:val="24"/>
        </w:rPr>
        <w:t xml:space="preserve">, and B. De Moor, “Explainable unsupervised anomaly detection for healthcare insurance data,” BMC Med. Inform. </w:t>
      </w:r>
      <w:proofErr w:type="spellStart"/>
      <w:r w:rsidRPr="006F6A93">
        <w:rPr>
          <w:rFonts w:ascii="Times New Roman" w:hAnsi="Times New Roman" w:cs="Times New Roman"/>
          <w:sz w:val="24"/>
          <w:szCs w:val="24"/>
        </w:rPr>
        <w:t>Decis</w:t>
      </w:r>
      <w:proofErr w:type="spellEnd"/>
      <w:r w:rsidRPr="006F6A93">
        <w:rPr>
          <w:rFonts w:ascii="Times New Roman" w:hAnsi="Times New Roman" w:cs="Times New Roman"/>
          <w:sz w:val="24"/>
          <w:szCs w:val="24"/>
        </w:rPr>
        <w:t xml:space="preserve">. Mak., vol. 25, art. 14, 2025, </w:t>
      </w:r>
      <w:proofErr w:type="spellStart"/>
      <w:r w:rsidRPr="006F6A93">
        <w:rPr>
          <w:rFonts w:ascii="Times New Roman" w:hAnsi="Times New Roman" w:cs="Times New Roman"/>
          <w:sz w:val="24"/>
          <w:szCs w:val="24"/>
        </w:rPr>
        <w:t>doi</w:t>
      </w:r>
      <w:proofErr w:type="spellEnd"/>
      <w:r w:rsidRPr="006F6A93">
        <w:rPr>
          <w:rFonts w:ascii="Times New Roman" w:hAnsi="Times New Roman" w:cs="Times New Roman"/>
          <w:sz w:val="24"/>
          <w:szCs w:val="24"/>
        </w:rPr>
        <w:t>: 10.1186/s12911-024-02823-6.</w:t>
      </w:r>
    </w:p>
    <w:p w14:paraId="00000011" w14:textId="77777777" w:rsidR="00003EE0" w:rsidRPr="006F6A93" w:rsidRDefault="00000000" w:rsidP="00525A33">
      <w:pPr>
        <w:spacing w:before="240" w:after="240" w:line="360" w:lineRule="auto"/>
        <w:rPr>
          <w:rFonts w:ascii="Times New Roman" w:hAnsi="Times New Roman" w:cs="Times New Roman"/>
          <w:sz w:val="24"/>
          <w:szCs w:val="24"/>
        </w:rPr>
      </w:pPr>
      <w:r w:rsidRPr="006F6A93">
        <w:rPr>
          <w:rFonts w:ascii="Times New Roman" w:hAnsi="Times New Roman" w:cs="Times New Roman"/>
          <w:sz w:val="24"/>
          <w:szCs w:val="24"/>
        </w:rPr>
        <w:t xml:space="preserve">[3] A. du Preez, S. Bhattacharya, P. Beling, and E. Bowen, “Fraud detection in healthcare claims using machine learning: A systematic review,” </w:t>
      </w:r>
      <w:proofErr w:type="spellStart"/>
      <w:r w:rsidRPr="006F6A93">
        <w:rPr>
          <w:rFonts w:ascii="Times New Roman" w:hAnsi="Times New Roman" w:cs="Times New Roman"/>
          <w:sz w:val="24"/>
          <w:szCs w:val="24"/>
        </w:rPr>
        <w:t>Artif</w:t>
      </w:r>
      <w:proofErr w:type="spellEnd"/>
      <w:r w:rsidRPr="006F6A93">
        <w:rPr>
          <w:rFonts w:ascii="Times New Roman" w:hAnsi="Times New Roman" w:cs="Times New Roman"/>
          <w:sz w:val="24"/>
          <w:szCs w:val="24"/>
        </w:rPr>
        <w:t xml:space="preserve">. Intell. Med., vol. 160, art. 103061, 2025, </w:t>
      </w:r>
      <w:proofErr w:type="spellStart"/>
      <w:r w:rsidRPr="006F6A93">
        <w:rPr>
          <w:rFonts w:ascii="Times New Roman" w:hAnsi="Times New Roman" w:cs="Times New Roman"/>
          <w:sz w:val="24"/>
          <w:szCs w:val="24"/>
        </w:rPr>
        <w:t>doi</w:t>
      </w:r>
      <w:proofErr w:type="spellEnd"/>
      <w:r w:rsidRPr="006F6A93">
        <w:rPr>
          <w:rFonts w:ascii="Times New Roman" w:hAnsi="Times New Roman" w:cs="Times New Roman"/>
          <w:sz w:val="24"/>
          <w:szCs w:val="24"/>
        </w:rPr>
        <w:t>: 10.1016/j.artmed.2024.103061.</w:t>
      </w:r>
    </w:p>
    <w:p w14:paraId="00000012" w14:textId="77777777" w:rsidR="00003EE0" w:rsidRPr="006F6A93" w:rsidRDefault="00000000" w:rsidP="00525A33">
      <w:pPr>
        <w:spacing w:before="240" w:after="240" w:line="360" w:lineRule="auto"/>
        <w:rPr>
          <w:rFonts w:ascii="Times New Roman" w:hAnsi="Times New Roman" w:cs="Times New Roman"/>
          <w:sz w:val="24"/>
          <w:szCs w:val="24"/>
        </w:rPr>
      </w:pPr>
      <w:r w:rsidRPr="006F6A93">
        <w:rPr>
          <w:rFonts w:ascii="Times New Roman" w:hAnsi="Times New Roman" w:cs="Times New Roman"/>
          <w:sz w:val="24"/>
          <w:szCs w:val="24"/>
        </w:rPr>
        <w:t xml:space="preserve">[4] G. </w:t>
      </w:r>
      <w:proofErr w:type="spellStart"/>
      <w:r w:rsidRPr="006F6A93">
        <w:rPr>
          <w:rFonts w:ascii="Times New Roman" w:hAnsi="Times New Roman" w:cs="Times New Roman"/>
          <w:sz w:val="24"/>
          <w:szCs w:val="24"/>
        </w:rPr>
        <w:t>Saldamli</w:t>
      </w:r>
      <w:proofErr w:type="spellEnd"/>
      <w:r w:rsidRPr="006F6A93">
        <w:rPr>
          <w:rFonts w:ascii="Times New Roman" w:hAnsi="Times New Roman" w:cs="Times New Roman"/>
          <w:sz w:val="24"/>
          <w:szCs w:val="24"/>
        </w:rPr>
        <w:t xml:space="preserve"> et al., “Health care insurance fraud detection using blockchain,” in Proc. 7th Int. Conf. </w:t>
      </w:r>
      <w:proofErr w:type="spellStart"/>
      <w:r w:rsidRPr="006F6A93">
        <w:rPr>
          <w:rFonts w:ascii="Times New Roman" w:hAnsi="Times New Roman" w:cs="Times New Roman"/>
          <w:sz w:val="24"/>
          <w:szCs w:val="24"/>
        </w:rPr>
        <w:t>Softw</w:t>
      </w:r>
      <w:proofErr w:type="spellEnd"/>
      <w:r w:rsidRPr="006F6A93">
        <w:rPr>
          <w:rFonts w:ascii="Times New Roman" w:hAnsi="Times New Roman" w:cs="Times New Roman"/>
          <w:sz w:val="24"/>
          <w:szCs w:val="24"/>
        </w:rPr>
        <w:t xml:space="preserve">. Defined Syst. (SDS), 2020, pp. 145–152, </w:t>
      </w:r>
      <w:proofErr w:type="spellStart"/>
      <w:r w:rsidRPr="006F6A93">
        <w:rPr>
          <w:rFonts w:ascii="Times New Roman" w:hAnsi="Times New Roman" w:cs="Times New Roman"/>
          <w:sz w:val="24"/>
          <w:szCs w:val="24"/>
        </w:rPr>
        <w:t>doi</w:t>
      </w:r>
      <w:proofErr w:type="spellEnd"/>
      <w:r w:rsidRPr="006F6A93">
        <w:rPr>
          <w:rFonts w:ascii="Times New Roman" w:hAnsi="Times New Roman" w:cs="Times New Roman"/>
          <w:sz w:val="24"/>
          <w:szCs w:val="24"/>
        </w:rPr>
        <w:t>: 10.1109/SDS49854.2020.9143900.</w:t>
      </w:r>
    </w:p>
    <w:p w14:paraId="00000013" w14:textId="77777777" w:rsidR="00003EE0" w:rsidRPr="006F6A93" w:rsidRDefault="00000000" w:rsidP="00525A33">
      <w:pPr>
        <w:spacing w:before="240" w:after="240" w:line="360" w:lineRule="auto"/>
        <w:rPr>
          <w:rFonts w:ascii="Times New Roman" w:hAnsi="Times New Roman" w:cs="Times New Roman"/>
          <w:sz w:val="24"/>
          <w:szCs w:val="24"/>
        </w:rPr>
      </w:pPr>
      <w:r w:rsidRPr="006F6A93">
        <w:rPr>
          <w:rFonts w:ascii="Times New Roman" w:hAnsi="Times New Roman" w:cs="Times New Roman"/>
          <w:sz w:val="24"/>
          <w:szCs w:val="24"/>
        </w:rPr>
        <w:t xml:space="preserve">[5] Z. Hamid, F. Khalique, S. Mahmood, A. Daud, A. Bukhari, and B. </w:t>
      </w:r>
      <w:proofErr w:type="spellStart"/>
      <w:r w:rsidRPr="006F6A93">
        <w:rPr>
          <w:rFonts w:ascii="Times New Roman" w:hAnsi="Times New Roman" w:cs="Times New Roman"/>
          <w:sz w:val="24"/>
          <w:szCs w:val="24"/>
        </w:rPr>
        <w:t>Alshemaimri</w:t>
      </w:r>
      <w:proofErr w:type="spellEnd"/>
      <w:r w:rsidRPr="006F6A93">
        <w:rPr>
          <w:rFonts w:ascii="Times New Roman" w:hAnsi="Times New Roman" w:cs="Times New Roman"/>
          <w:sz w:val="24"/>
          <w:szCs w:val="24"/>
        </w:rPr>
        <w:t xml:space="preserve">, “Healthcare insurance fraud detection using data mining,” BMC Med. Inform. </w:t>
      </w:r>
      <w:proofErr w:type="spellStart"/>
      <w:r w:rsidRPr="006F6A93">
        <w:rPr>
          <w:rFonts w:ascii="Times New Roman" w:hAnsi="Times New Roman" w:cs="Times New Roman"/>
          <w:sz w:val="24"/>
          <w:szCs w:val="24"/>
        </w:rPr>
        <w:t>Decis</w:t>
      </w:r>
      <w:proofErr w:type="spellEnd"/>
      <w:r w:rsidRPr="006F6A93">
        <w:rPr>
          <w:rFonts w:ascii="Times New Roman" w:hAnsi="Times New Roman" w:cs="Times New Roman"/>
          <w:sz w:val="24"/>
          <w:szCs w:val="24"/>
        </w:rPr>
        <w:t xml:space="preserve">. Mak., vol. 24, art. 112, 2024, </w:t>
      </w:r>
      <w:proofErr w:type="spellStart"/>
      <w:r w:rsidRPr="006F6A93">
        <w:rPr>
          <w:rFonts w:ascii="Times New Roman" w:hAnsi="Times New Roman" w:cs="Times New Roman"/>
          <w:sz w:val="24"/>
          <w:szCs w:val="24"/>
        </w:rPr>
        <w:t>doi</w:t>
      </w:r>
      <w:proofErr w:type="spellEnd"/>
      <w:r w:rsidRPr="006F6A93">
        <w:rPr>
          <w:rFonts w:ascii="Times New Roman" w:hAnsi="Times New Roman" w:cs="Times New Roman"/>
          <w:sz w:val="24"/>
          <w:szCs w:val="24"/>
        </w:rPr>
        <w:t>: 10.1186/s12911-024-02512-4.</w:t>
      </w:r>
    </w:p>
    <w:p w14:paraId="00000014" w14:textId="77777777" w:rsidR="00003EE0" w:rsidRPr="006F6A93" w:rsidRDefault="00000000" w:rsidP="00525A33">
      <w:pPr>
        <w:spacing w:before="240" w:after="240" w:line="360" w:lineRule="auto"/>
        <w:rPr>
          <w:rFonts w:ascii="Times New Roman" w:hAnsi="Times New Roman" w:cs="Times New Roman"/>
          <w:sz w:val="24"/>
          <w:szCs w:val="24"/>
        </w:rPr>
      </w:pPr>
      <w:r w:rsidRPr="006F6A93">
        <w:rPr>
          <w:rFonts w:ascii="Times New Roman" w:hAnsi="Times New Roman" w:cs="Times New Roman"/>
          <w:sz w:val="24"/>
          <w:szCs w:val="24"/>
        </w:rPr>
        <w:t xml:space="preserve">[6] </w:t>
      </w:r>
      <w:proofErr w:type="spellStart"/>
      <w:r w:rsidRPr="006F6A93">
        <w:rPr>
          <w:rFonts w:ascii="Times New Roman" w:hAnsi="Times New Roman" w:cs="Times New Roman"/>
          <w:sz w:val="24"/>
          <w:szCs w:val="24"/>
        </w:rPr>
        <w:t>Kanksha</w:t>
      </w:r>
      <w:proofErr w:type="spellEnd"/>
      <w:r w:rsidRPr="006F6A93">
        <w:rPr>
          <w:rFonts w:ascii="Times New Roman" w:hAnsi="Times New Roman" w:cs="Times New Roman"/>
          <w:sz w:val="24"/>
          <w:szCs w:val="24"/>
        </w:rPr>
        <w:t xml:space="preserve">, A. Bhaskar, S. Pande, R. Malik, and A. </w:t>
      </w:r>
      <w:proofErr w:type="spellStart"/>
      <w:r w:rsidRPr="006F6A93">
        <w:rPr>
          <w:rFonts w:ascii="Times New Roman" w:hAnsi="Times New Roman" w:cs="Times New Roman"/>
          <w:sz w:val="24"/>
          <w:szCs w:val="24"/>
        </w:rPr>
        <w:t>Khamparia</w:t>
      </w:r>
      <w:proofErr w:type="spellEnd"/>
      <w:r w:rsidRPr="006F6A93">
        <w:rPr>
          <w:rFonts w:ascii="Times New Roman" w:hAnsi="Times New Roman" w:cs="Times New Roman"/>
          <w:sz w:val="24"/>
          <w:szCs w:val="24"/>
        </w:rPr>
        <w:t xml:space="preserve">, “An intelligent unsupervised technique for fraud detection in health care systems,” Intell. </w:t>
      </w:r>
      <w:proofErr w:type="spellStart"/>
      <w:r w:rsidRPr="006F6A93">
        <w:rPr>
          <w:rFonts w:ascii="Times New Roman" w:hAnsi="Times New Roman" w:cs="Times New Roman"/>
          <w:sz w:val="24"/>
          <w:szCs w:val="24"/>
        </w:rPr>
        <w:t>Decis</w:t>
      </w:r>
      <w:proofErr w:type="spellEnd"/>
      <w:r w:rsidRPr="006F6A93">
        <w:rPr>
          <w:rFonts w:ascii="Times New Roman" w:hAnsi="Times New Roman" w:cs="Times New Roman"/>
          <w:sz w:val="24"/>
          <w:szCs w:val="24"/>
        </w:rPr>
        <w:t xml:space="preserve">. Technol., vol. 15, no. 1, pp. 127–139, Feb. 2021, </w:t>
      </w:r>
      <w:proofErr w:type="spellStart"/>
      <w:r w:rsidRPr="006F6A93">
        <w:rPr>
          <w:rFonts w:ascii="Times New Roman" w:hAnsi="Times New Roman" w:cs="Times New Roman"/>
          <w:sz w:val="24"/>
          <w:szCs w:val="24"/>
        </w:rPr>
        <w:t>doi</w:t>
      </w:r>
      <w:proofErr w:type="spellEnd"/>
      <w:r w:rsidRPr="006F6A93">
        <w:rPr>
          <w:rFonts w:ascii="Times New Roman" w:hAnsi="Times New Roman" w:cs="Times New Roman"/>
          <w:sz w:val="24"/>
          <w:szCs w:val="24"/>
        </w:rPr>
        <w:t>: 10.3233/IDT-200052.</w:t>
      </w:r>
    </w:p>
    <w:p w14:paraId="00000015" w14:textId="77777777" w:rsidR="00003EE0" w:rsidRPr="006F6A93" w:rsidRDefault="00000000" w:rsidP="00525A33">
      <w:pPr>
        <w:spacing w:before="240" w:after="240" w:line="360" w:lineRule="auto"/>
        <w:rPr>
          <w:rFonts w:ascii="Times New Roman" w:hAnsi="Times New Roman" w:cs="Times New Roman"/>
          <w:sz w:val="24"/>
          <w:szCs w:val="24"/>
        </w:rPr>
      </w:pPr>
      <w:r w:rsidRPr="006F6A93">
        <w:rPr>
          <w:rFonts w:ascii="Times New Roman" w:hAnsi="Times New Roman" w:cs="Times New Roman"/>
          <w:sz w:val="24"/>
          <w:szCs w:val="24"/>
        </w:rPr>
        <w:t xml:space="preserve">[7] D. P. Katasani, “Real-time analytics: Integrating cloud-native data processing and warehousing platforms,” J. </w:t>
      </w:r>
      <w:proofErr w:type="spellStart"/>
      <w:r w:rsidRPr="006F6A93">
        <w:rPr>
          <w:rFonts w:ascii="Times New Roman" w:hAnsi="Times New Roman" w:cs="Times New Roman"/>
          <w:sz w:val="24"/>
          <w:szCs w:val="24"/>
        </w:rPr>
        <w:t>Comput</w:t>
      </w:r>
      <w:proofErr w:type="spellEnd"/>
      <w:r w:rsidRPr="006F6A93">
        <w:rPr>
          <w:rFonts w:ascii="Times New Roman" w:hAnsi="Times New Roman" w:cs="Times New Roman"/>
          <w:sz w:val="24"/>
          <w:szCs w:val="24"/>
        </w:rPr>
        <w:t xml:space="preserve">. Sci. Technol. Stud., vol. 7, no. 9, pp. 516–524, 2025, </w:t>
      </w:r>
      <w:proofErr w:type="spellStart"/>
      <w:r w:rsidRPr="006F6A93">
        <w:rPr>
          <w:rFonts w:ascii="Times New Roman" w:hAnsi="Times New Roman" w:cs="Times New Roman"/>
          <w:sz w:val="24"/>
          <w:szCs w:val="24"/>
        </w:rPr>
        <w:t>doi</w:t>
      </w:r>
      <w:proofErr w:type="spellEnd"/>
      <w:r w:rsidRPr="006F6A93">
        <w:rPr>
          <w:rFonts w:ascii="Times New Roman" w:hAnsi="Times New Roman" w:cs="Times New Roman"/>
          <w:sz w:val="24"/>
          <w:szCs w:val="24"/>
        </w:rPr>
        <w:t>: 10.32996/jcsts.2025.7.9.59.</w:t>
      </w:r>
    </w:p>
    <w:p w14:paraId="00000016" w14:textId="77777777" w:rsidR="00003EE0" w:rsidRPr="006F6A93" w:rsidRDefault="00000000" w:rsidP="00525A33">
      <w:pPr>
        <w:spacing w:before="240" w:after="240" w:line="360" w:lineRule="auto"/>
        <w:rPr>
          <w:rFonts w:ascii="Times New Roman" w:hAnsi="Times New Roman" w:cs="Times New Roman"/>
          <w:sz w:val="24"/>
          <w:szCs w:val="24"/>
        </w:rPr>
      </w:pPr>
      <w:r w:rsidRPr="006F6A93">
        <w:rPr>
          <w:rFonts w:ascii="Times New Roman" w:hAnsi="Times New Roman" w:cs="Times New Roman"/>
          <w:sz w:val="24"/>
          <w:szCs w:val="24"/>
        </w:rPr>
        <w:t xml:space="preserve">[8] P. A. Kumar and S. </w:t>
      </w:r>
      <w:proofErr w:type="spellStart"/>
      <w:r w:rsidRPr="006F6A93">
        <w:rPr>
          <w:rFonts w:ascii="Times New Roman" w:hAnsi="Times New Roman" w:cs="Times New Roman"/>
          <w:sz w:val="24"/>
          <w:szCs w:val="24"/>
        </w:rPr>
        <w:t>Sountharrajan</w:t>
      </w:r>
      <w:proofErr w:type="spellEnd"/>
      <w:r w:rsidRPr="006F6A93">
        <w:rPr>
          <w:rFonts w:ascii="Times New Roman" w:hAnsi="Times New Roman" w:cs="Times New Roman"/>
          <w:sz w:val="24"/>
          <w:szCs w:val="24"/>
        </w:rPr>
        <w:t xml:space="preserve">, “Insurance claims estimation and fraud detection with optimized deep learning techniques,” Sci. Rep., vol. 15, art. 27296, 2025, </w:t>
      </w:r>
      <w:proofErr w:type="spellStart"/>
      <w:r w:rsidRPr="006F6A93">
        <w:rPr>
          <w:rFonts w:ascii="Times New Roman" w:hAnsi="Times New Roman" w:cs="Times New Roman"/>
          <w:sz w:val="24"/>
          <w:szCs w:val="24"/>
        </w:rPr>
        <w:t>doi</w:t>
      </w:r>
      <w:proofErr w:type="spellEnd"/>
      <w:r w:rsidRPr="006F6A93">
        <w:rPr>
          <w:rFonts w:ascii="Times New Roman" w:hAnsi="Times New Roman" w:cs="Times New Roman"/>
          <w:sz w:val="24"/>
          <w:szCs w:val="24"/>
        </w:rPr>
        <w:t>: 10.1038/s41598-025-12848-0.</w:t>
      </w:r>
    </w:p>
    <w:p w14:paraId="00000017" w14:textId="77777777" w:rsidR="00003EE0" w:rsidRPr="006F6A93" w:rsidRDefault="00000000" w:rsidP="00525A33">
      <w:pPr>
        <w:spacing w:before="240" w:after="240" w:line="360" w:lineRule="auto"/>
        <w:rPr>
          <w:rFonts w:ascii="Times New Roman" w:hAnsi="Times New Roman" w:cs="Times New Roman"/>
          <w:sz w:val="24"/>
          <w:szCs w:val="24"/>
        </w:rPr>
      </w:pPr>
      <w:r w:rsidRPr="006F6A93">
        <w:rPr>
          <w:rFonts w:ascii="Times New Roman" w:hAnsi="Times New Roman" w:cs="Times New Roman"/>
          <w:sz w:val="24"/>
          <w:szCs w:val="24"/>
        </w:rPr>
        <w:lastRenderedPageBreak/>
        <w:t xml:space="preserve">[9] N. Kumaraswamy, M. K. Markey, T. Ekin, J. C. Barner, and K. Rascati, “Healthcare fraud data mining methods: A look back and look ahead,” </w:t>
      </w:r>
      <w:proofErr w:type="spellStart"/>
      <w:r w:rsidRPr="006F6A93">
        <w:rPr>
          <w:rFonts w:ascii="Times New Roman" w:hAnsi="Times New Roman" w:cs="Times New Roman"/>
          <w:sz w:val="24"/>
          <w:szCs w:val="24"/>
        </w:rPr>
        <w:t>Perspect</w:t>
      </w:r>
      <w:proofErr w:type="spellEnd"/>
      <w:r w:rsidRPr="006F6A93">
        <w:rPr>
          <w:rFonts w:ascii="Times New Roman" w:hAnsi="Times New Roman" w:cs="Times New Roman"/>
          <w:sz w:val="24"/>
          <w:szCs w:val="24"/>
        </w:rPr>
        <w:t>. Health Inf. Manag., vol. 19, no. 1, p. 1i, 2022. Available: https://perspectives.ahima.org/</w:t>
      </w:r>
    </w:p>
    <w:p w14:paraId="00000018" w14:textId="77777777" w:rsidR="00003EE0" w:rsidRPr="006F6A93" w:rsidRDefault="00000000" w:rsidP="00525A33">
      <w:pPr>
        <w:spacing w:before="240" w:after="240" w:line="360" w:lineRule="auto"/>
        <w:rPr>
          <w:rFonts w:ascii="Times New Roman" w:hAnsi="Times New Roman" w:cs="Times New Roman"/>
          <w:sz w:val="24"/>
          <w:szCs w:val="24"/>
        </w:rPr>
      </w:pPr>
      <w:r w:rsidRPr="006F6A93">
        <w:rPr>
          <w:rFonts w:ascii="Times New Roman" w:hAnsi="Times New Roman" w:cs="Times New Roman"/>
          <w:sz w:val="24"/>
          <w:szCs w:val="24"/>
        </w:rPr>
        <w:t xml:space="preserve">[10] Q. Liu and M. A. </w:t>
      </w:r>
      <w:proofErr w:type="spellStart"/>
      <w:r w:rsidRPr="006F6A93">
        <w:rPr>
          <w:rFonts w:ascii="Times New Roman" w:hAnsi="Times New Roman" w:cs="Times New Roman"/>
          <w:sz w:val="24"/>
          <w:szCs w:val="24"/>
        </w:rPr>
        <w:t>Vasarhelyi</w:t>
      </w:r>
      <w:proofErr w:type="spellEnd"/>
      <w:r w:rsidRPr="006F6A93">
        <w:rPr>
          <w:rFonts w:ascii="Times New Roman" w:hAnsi="Times New Roman" w:cs="Times New Roman"/>
          <w:sz w:val="24"/>
          <w:szCs w:val="24"/>
        </w:rPr>
        <w:t>, “Healthcare fraud detection: A survey and a clustering model incorporating geo-location information,” in Proc. 29th World Continuous Auditing and Reporting Symp. (WCARS), Brisbane, Australia, Nov. 21–22, 2013.</w:t>
      </w:r>
    </w:p>
    <w:p w14:paraId="0000001A" w14:textId="2486E642" w:rsidR="00003EE0" w:rsidRPr="006F6A93" w:rsidRDefault="00000000" w:rsidP="00525A33">
      <w:pPr>
        <w:spacing w:before="240" w:after="240" w:line="360" w:lineRule="auto"/>
        <w:rPr>
          <w:rFonts w:ascii="Times New Roman" w:hAnsi="Times New Roman" w:cs="Times New Roman"/>
          <w:sz w:val="24"/>
          <w:szCs w:val="24"/>
        </w:rPr>
      </w:pPr>
      <w:r w:rsidRPr="006F6A93">
        <w:rPr>
          <w:rFonts w:ascii="Times New Roman" w:hAnsi="Times New Roman" w:cs="Times New Roman"/>
          <w:sz w:val="24"/>
          <w:szCs w:val="24"/>
        </w:rPr>
        <w:t>[11] R. Maddali, “Machine learning for SQL-based anomaly detection and fraud analytics in financial data,” Int. J. Res. Leading Publ., vol. 2, no. 10, pp. 1–11, Oct. 2021. Available: https://www.ijlrp.com/</w:t>
      </w:r>
    </w:p>
    <w:p w14:paraId="0000001B" w14:textId="77777777" w:rsidR="00003EE0" w:rsidRPr="006F6A93" w:rsidRDefault="00000000" w:rsidP="00525A33">
      <w:pPr>
        <w:spacing w:before="240" w:after="240" w:line="360" w:lineRule="auto"/>
        <w:rPr>
          <w:rFonts w:ascii="Times New Roman" w:hAnsi="Times New Roman" w:cs="Times New Roman"/>
          <w:sz w:val="24"/>
          <w:szCs w:val="24"/>
        </w:rPr>
      </w:pPr>
      <w:r w:rsidRPr="006F6A93">
        <w:rPr>
          <w:rFonts w:ascii="Times New Roman" w:hAnsi="Times New Roman" w:cs="Times New Roman"/>
          <w:sz w:val="24"/>
          <w:szCs w:val="24"/>
        </w:rPr>
        <w:t xml:space="preserve">[12] I. Matloob, S. A. Khan, and H. U. Rahman, “Sequence mining and prediction-based healthcare fraud detection methodology,” IEEE Access, vol. 8, pp. 143256–143273, 2020, </w:t>
      </w:r>
      <w:proofErr w:type="spellStart"/>
      <w:r w:rsidRPr="006F6A93">
        <w:rPr>
          <w:rFonts w:ascii="Times New Roman" w:hAnsi="Times New Roman" w:cs="Times New Roman"/>
          <w:sz w:val="24"/>
          <w:szCs w:val="24"/>
        </w:rPr>
        <w:t>doi</w:t>
      </w:r>
      <w:proofErr w:type="spellEnd"/>
      <w:r w:rsidRPr="006F6A93">
        <w:rPr>
          <w:rFonts w:ascii="Times New Roman" w:hAnsi="Times New Roman" w:cs="Times New Roman"/>
          <w:sz w:val="24"/>
          <w:szCs w:val="24"/>
        </w:rPr>
        <w:t>: 10.1109/ACCESS.2020.3013962.</w:t>
      </w:r>
    </w:p>
    <w:p w14:paraId="0000001C" w14:textId="77777777" w:rsidR="00003EE0" w:rsidRPr="006F6A93" w:rsidRDefault="00000000" w:rsidP="00525A33">
      <w:pPr>
        <w:spacing w:before="240" w:after="240" w:line="360" w:lineRule="auto"/>
        <w:rPr>
          <w:rFonts w:ascii="Times New Roman" w:hAnsi="Times New Roman" w:cs="Times New Roman"/>
          <w:sz w:val="24"/>
          <w:szCs w:val="24"/>
        </w:rPr>
      </w:pPr>
      <w:r w:rsidRPr="006F6A93">
        <w:rPr>
          <w:rFonts w:ascii="Times New Roman" w:hAnsi="Times New Roman" w:cs="Times New Roman"/>
          <w:sz w:val="24"/>
          <w:szCs w:val="24"/>
        </w:rPr>
        <w:t xml:space="preserve">[13] E. </w:t>
      </w:r>
      <w:proofErr w:type="spellStart"/>
      <w:r w:rsidRPr="006F6A93">
        <w:rPr>
          <w:rFonts w:ascii="Times New Roman" w:hAnsi="Times New Roman" w:cs="Times New Roman"/>
          <w:sz w:val="24"/>
          <w:szCs w:val="24"/>
        </w:rPr>
        <w:t>Nabrawi</w:t>
      </w:r>
      <w:proofErr w:type="spellEnd"/>
      <w:r w:rsidRPr="006F6A93">
        <w:rPr>
          <w:rFonts w:ascii="Times New Roman" w:hAnsi="Times New Roman" w:cs="Times New Roman"/>
          <w:sz w:val="24"/>
          <w:szCs w:val="24"/>
        </w:rPr>
        <w:t xml:space="preserve"> and A. Alanazi, “Fraud detection in healthcare insurance claims using machine learning,” Risks, vol. 11, no. 9, art. 160, 2023, </w:t>
      </w:r>
      <w:proofErr w:type="spellStart"/>
      <w:r w:rsidRPr="006F6A93">
        <w:rPr>
          <w:rFonts w:ascii="Times New Roman" w:hAnsi="Times New Roman" w:cs="Times New Roman"/>
          <w:sz w:val="24"/>
          <w:szCs w:val="24"/>
        </w:rPr>
        <w:t>doi</w:t>
      </w:r>
      <w:proofErr w:type="spellEnd"/>
      <w:r w:rsidRPr="006F6A93">
        <w:rPr>
          <w:rFonts w:ascii="Times New Roman" w:hAnsi="Times New Roman" w:cs="Times New Roman"/>
          <w:sz w:val="24"/>
          <w:szCs w:val="24"/>
        </w:rPr>
        <w:t>: 10.3390/risks11090160.</w:t>
      </w:r>
    </w:p>
    <w:p w14:paraId="0000001D" w14:textId="77777777" w:rsidR="00003EE0" w:rsidRPr="006F6A93" w:rsidRDefault="00000000" w:rsidP="00525A33">
      <w:pPr>
        <w:spacing w:before="240" w:after="240" w:line="360" w:lineRule="auto"/>
        <w:rPr>
          <w:rFonts w:ascii="Times New Roman" w:hAnsi="Times New Roman" w:cs="Times New Roman"/>
          <w:sz w:val="24"/>
          <w:szCs w:val="24"/>
        </w:rPr>
      </w:pPr>
      <w:r w:rsidRPr="006F6A93">
        <w:rPr>
          <w:rFonts w:ascii="Times New Roman" w:hAnsi="Times New Roman" w:cs="Times New Roman"/>
          <w:sz w:val="24"/>
          <w:szCs w:val="24"/>
        </w:rPr>
        <w:t xml:space="preserve">[14] K. Razzaq and M. Shah, “Next-generation machine learning in healthcare fraud detection: Current trends, challenges, and future research directions,” Information, vol. 16, no. 9, art. 730, 2025, </w:t>
      </w:r>
      <w:proofErr w:type="spellStart"/>
      <w:r w:rsidRPr="006F6A93">
        <w:rPr>
          <w:rFonts w:ascii="Times New Roman" w:hAnsi="Times New Roman" w:cs="Times New Roman"/>
          <w:sz w:val="24"/>
          <w:szCs w:val="24"/>
        </w:rPr>
        <w:t>doi</w:t>
      </w:r>
      <w:proofErr w:type="spellEnd"/>
      <w:r w:rsidRPr="006F6A93">
        <w:rPr>
          <w:rFonts w:ascii="Times New Roman" w:hAnsi="Times New Roman" w:cs="Times New Roman"/>
          <w:sz w:val="24"/>
          <w:szCs w:val="24"/>
        </w:rPr>
        <w:t>: 10.3390/info16090730.</w:t>
      </w:r>
    </w:p>
    <w:p w14:paraId="0000001E" w14:textId="77777777" w:rsidR="00003EE0" w:rsidRPr="006F6A93" w:rsidRDefault="00000000" w:rsidP="00525A33">
      <w:pPr>
        <w:spacing w:before="240" w:after="240" w:line="360" w:lineRule="auto"/>
        <w:rPr>
          <w:rFonts w:ascii="Times New Roman" w:hAnsi="Times New Roman" w:cs="Times New Roman"/>
          <w:sz w:val="24"/>
          <w:szCs w:val="24"/>
        </w:rPr>
      </w:pPr>
      <w:r w:rsidRPr="006F6A93">
        <w:rPr>
          <w:rFonts w:ascii="Times New Roman" w:hAnsi="Times New Roman" w:cs="Times New Roman"/>
          <w:sz w:val="24"/>
          <w:szCs w:val="24"/>
        </w:rPr>
        <w:t xml:space="preserve">[15] L. </w:t>
      </w:r>
      <w:proofErr w:type="spellStart"/>
      <w:r w:rsidRPr="006F6A93">
        <w:rPr>
          <w:rFonts w:ascii="Times New Roman" w:hAnsi="Times New Roman" w:cs="Times New Roman"/>
          <w:sz w:val="24"/>
          <w:szCs w:val="24"/>
        </w:rPr>
        <w:t>Settipalli</w:t>
      </w:r>
      <w:proofErr w:type="spellEnd"/>
      <w:r w:rsidRPr="006F6A93">
        <w:rPr>
          <w:rFonts w:ascii="Times New Roman" w:hAnsi="Times New Roman" w:cs="Times New Roman"/>
          <w:sz w:val="24"/>
          <w:szCs w:val="24"/>
        </w:rPr>
        <w:t xml:space="preserve"> and G. R. Gangadharan, “WMTDBC: An unsupervised multivariate analysis model for fraud detection in health insurance claims,” Expert Syst. Appl., vol. 215, art. 119259, 2023, </w:t>
      </w:r>
      <w:proofErr w:type="spellStart"/>
      <w:r w:rsidRPr="006F6A93">
        <w:rPr>
          <w:rFonts w:ascii="Times New Roman" w:hAnsi="Times New Roman" w:cs="Times New Roman"/>
          <w:sz w:val="24"/>
          <w:szCs w:val="24"/>
        </w:rPr>
        <w:t>doi</w:t>
      </w:r>
      <w:proofErr w:type="spellEnd"/>
      <w:r w:rsidRPr="006F6A93">
        <w:rPr>
          <w:rFonts w:ascii="Times New Roman" w:hAnsi="Times New Roman" w:cs="Times New Roman"/>
          <w:sz w:val="24"/>
          <w:szCs w:val="24"/>
        </w:rPr>
        <w:t>: 10.1016/j.eswa.2022.119259.</w:t>
      </w:r>
    </w:p>
    <w:p w14:paraId="0000001F" w14:textId="77777777" w:rsidR="00003EE0" w:rsidRPr="006F6A93" w:rsidRDefault="00000000" w:rsidP="00525A33">
      <w:pPr>
        <w:spacing w:before="240" w:after="240" w:line="360" w:lineRule="auto"/>
        <w:rPr>
          <w:rFonts w:ascii="Times New Roman" w:hAnsi="Times New Roman" w:cs="Times New Roman"/>
          <w:sz w:val="24"/>
          <w:szCs w:val="24"/>
        </w:rPr>
      </w:pPr>
      <w:r w:rsidRPr="006F6A93">
        <w:rPr>
          <w:rFonts w:ascii="Times New Roman" w:hAnsi="Times New Roman" w:cs="Times New Roman"/>
          <w:sz w:val="24"/>
          <w:szCs w:val="24"/>
        </w:rPr>
        <w:t xml:space="preserve">[16] P. S. </w:t>
      </w:r>
      <w:proofErr w:type="spellStart"/>
      <w:r w:rsidRPr="006F6A93">
        <w:rPr>
          <w:rFonts w:ascii="Times New Roman" w:hAnsi="Times New Roman" w:cs="Times New Roman"/>
          <w:sz w:val="24"/>
          <w:szCs w:val="24"/>
        </w:rPr>
        <w:t>Shungube</w:t>
      </w:r>
      <w:proofErr w:type="spellEnd"/>
      <w:r w:rsidRPr="006F6A93">
        <w:rPr>
          <w:rFonts w:ascii="Times New Roman" w:hAnsi="Times New Roman" w:cs="Times New Roman"/>
          <w:sz w:val="24"/>
          <w:szCs w:val="24"/>
        </w:rPr>
        <w:t xml:space="preserve">, T. </w:t>
      </w:r>
      <w:proofErr w:type="spellStart"/>
      <w:r w:rsidRPr="006F6A93">
        <w:rPr>
          <w:rFonts w:ascii="Times New Roman" w:hAnsi="Times New Roman" w:cs="Times New Roman"/>
          <w:sz w:val="24"/>
          <w:szCs w:val="24"/>
        </w:rPr>
        <w:t>Bokaba</w:t>
      </w:r>
      <w:proofErr w:type="spellEnd"/>
      <w:r w:rsidRPr="006F6A93">
        <w:rPr>
          <w:rFonts w:ascii="Times New Roman" w:hAnsi="Times New Roman" w:cs="Times New Roman"/>
          <w:sz w:val="24"/>
          <w:szCs w:val="24"/>
        </w:rPr>
        <w:t xml:space="preserve">, P. </w:t>
      </w:r>
      <w:proofErr w:type="spellStart"/>
      <w:r w:rsidRPr="006F6A93">
        <w:rPr>
          <w:rFonts w:ascii="Times New Roman" w:hAnsi="Times New Roman" w:cs="Times New Roman"/>
          <w:sz w:val="24"/>
          <w:szCs w:val="24"/>
        </w:rPr>
        <w:t>Ndayizigamiye</w:t>
      </w:r>
      <w:proofErr w:type="spellEnd"/>
      <w:r w:rsidRPr="006F6A93">
        <w:rPr>
          <w:rFonts w:ascii="Times New Roman" w:hAnsi="Times New Roman" w:cs="Times New Roman"/>
          <w:sz w:val="24"/>
          <w:szCs w:val="24"/>
        </w:rPr>
        <w:t xml:space="preserve">, S. Mhlongo, and E. </w:t>
      </w:r>
      <w:proofErr w:type="spellStart"/>
      <w:r w:rsidRPr="006F6A93">
        <w:rPr>
          <w:rFonts w:ascii="Times New Roman" w:hAnsi="Times New Roman" w:cs="Times New Roman"/>
          <w:sz w:val="24"/>
          <w:szCs w:val="24"/>
        </w:rPr>
        <w:t>Dogo</w:t>
      </w:r>
      <w:proofErr w:type="spellEnd"/>
      <w:r w:rsidRPr="006F6A93">
        <w:rPr>
          <w:rFonts w:ascii="Times New Roman" w:hAnsi="Times New Roman" w:cs="Times New Roman"/>
          <w:sz w:val="24"/>
          <w:szCs w:val="24"/>
        </w:rPr>
        <w:t xml:space="preserve">, “A deep learning approach for healthcare insurance fraud detection,” Research Square preprint, Dec. 2024, </w:t>
      </w:r>
      <w:proofErr w:type="spellStart"/>
      <w:r w:rsidRPr="006F6A93">
        <w:rPr>
          <w:rFonts w:ascii="Times New Roman" w:hAnsi="Times New Roman" w:cs="Times New Roman"/>
          <w:sz w:val="24"/>
          <w:szCs w:val="24"/>
        </w:rPr>
        <w:t>doi</w:t>
      </w:r>
      <w:proofErr w:type="spellEnd"/>
      <w:r w:rsidRPr="006F6A93">
        <w:rPr>
          <w:rFonts w:ascii="Times New Roman" w:hAnsi="Times New Roman" w:cs="Times New Roman"/>
          <w:sz w:val="24"/>
          <w:szCs w:val="24"/>
        </w:rPr>
        <w:t>: 10.21203/rs.3.rs-5453482/v1.</w:t>
      </w:r>
    </w:p>
    <w:p w14:paraId="00000020" w14:textId="77777777" w:rsidR="00003EE0" w:rsidRPr="006F6A93" w:rsidRDefault="00000000" w:rsidP="00525A33">
      <w:pPr>
        <w:spacing w:before="240" w:after="240" w:line="360" w:lineRule="auto"/>
        <w:rPr>
          <w:rFonts w:ascii="Times New Roman" w:hAnsi="Times New Roman" w:cs="Times New Roman"/>
          <w:sz w:val="24"/>
          <w:szCs w:val="24"/>
        </w:rPr>
      </w:pPr>
      <w:r w:rsidRPr="006F6A93">
        <w:rPr>
          <w:rFonts w:ascii="Times New Roman" w:hAnsi="Times New Roman" w:cs="Times New Roman"/>
          <w:sz w:val="24"/>
          <w:szCs w:val="24"/>
        </w:rPr>
        <w:t xml:space="preserve">[17] A. Y. B. R. </w:t>
      </w:r>
      <w:proofErr w:type="spellStart"/>
      <w:r w:rsidRPr="006F6A93">
        <w:rPr>
          <w:rFonts w:ascii="Times New Roman" w:hAnsi="Times New Roman" w:cs="Times New Roman"/>
          <w:sz w:val="24"/>
          <w:szCs w:val="24"/>
        </w:rPr>
        <w:t>Thaifur</w:t>
      </w:r>
      <w:proofErr w:type="spellEnd"/>
      <w:r w:rsidRPr="006F6A93">
        <w:rPr>
          <w:rFonts w:ascii="Times New Roman" w:hAnsi="Times New Roman" w:cs="Times New Roman"/>
          <w:sz w:val="24"/>
          <w:szCs w:val="24"/>
        </w:rPr>
        <w:t xml:space="preserve">, M. A. Maidin, A. I. </w:t>
      </w:r>
      <w:proofErr w:type="spellStart"/>
      <w:r w:rsidRPr="006F6A93">
        <w:rPr>
          <w:rFonts w:ascii="Times New Roman" w:hAnsi="Times New Roman" w:cs="Times New Roman"/>
          <w:sz w:val="24"/>
          <w:szCs w:val="24"/>
        </w:rPr>
        <w:t>Sidin</w:t>
      </w:r>
      <w:proofErr w:type="spellEnd"/>
      <w:r w:rsidRPr="006F6A93">
        <w:rPr>
          <w:rFonts w:ascii="Times New Roman" w:hAnsi="Times New Roman" w:cs="Times New Roman"/>
          <w:sz w:val="24"/>
          <w:szCs w:val="24"/>
        </w:rPr>
        <w:t xml:space="preserve">, and A. Razak, “How to detect healthcare fraud? A systematic review,” Gac. Sanit., vol. 35, suppl. 2, pp. 441–449, 2021, </w:t>
      </w:r>
      <w:proofErr w:type="spellStart"/>
      <w:r w:rsidRPr="006F6A93">
        <w:rPr>
          <w:rFonts w:ascii="Times New Roman" w:hAnsi="Times New Roman" w:cs="Times New Roman"/>
          <w:sz w:val="24"/>
          <w:szCs w:val="24"/>
        </w:rPr>
        <w:t>doi</w:t>
      </w:r>
      <w:proofErr w:type="spellEnd"/>
      <w:r w:rsidRPr="006F6A93">
        <w:rPr>
          <w:rFonts w:ascii="Times New Roman" w:hAnsi="Times New Roman" w:cs="Times New Roman"/>
          <w:sz w:val="24"/>
          <w:szCs w:val="24"/>
        </w:rPr>
        <w:t>: 10.1016/j.gaceta.2021.07.022.</w:t>
      </w:r>
    </w:p>
    <w:p w14:paraId="00000021" w14:textId="77777777" w:rsidR="00003EE0" w:rsidRPr="006F6A93" w:rsidRDefault="00000000" w:rsidP="00525A33">
      <w:pPr>
        <w:spacing w:before="240" w:after="240" w:line="360" w:lineRule="auto"/>
        <w:rPr>
          <w:rFonts w:ascii="Times New Roman" w:hAnsi="Times New Roman" w:cs="Times New Roman"/>
          <w:sz w:val="24"/>
          <w:szCs w:val="24"/>
        </w:rPr>
      </w:pPr>
      <w:r w:rsidRPr="006F6A93">
        <w:rPr>
          <w:rFonts w:ascii="Times New Roman" w:hAnsi="Times New Roman" w:cs="Times New Roman"/>
          <w:sz w:val="24"/>
          <w:szCs w:val="24"/>
        </w:rPr>
        <w:lastRenderedPageBreak/>
        <w:t xml:space="preserve">[18] T. S. </w:t>
      </w:r>
      <w:proofErr w:type="spellStart"/>
      <w:r w:rsidRPr="006F6A93">
        <w:rPr>
          <w:rFonts w:ascii="Times New Roman" w:hAnsi="Times New Roman" w:cs="Times New Roman"/>
          <w:sz w:val="24"/>
          <w:szCs w:val="24"/>
        </w:rPr>
        <w:t>Yange</w:t>
      </w:r>
      <w:proofErr w:type="spellEnd"/>
      <w:r w:rsidRPr="006F6A93">
        <w:rPr>
          <w:rFonts w:ascii="Times New Roman" w:hAnsi="Times New Roman" w:cs="Times New Roman"/>
          <w:sz w:val="24"/>
          <w:szCs w:val="24"/>
        </w:rPr>
        <w:t xml:space="preserve">, O. </w:t>
      </w:r>
      <w:proofErr w:type="spellStart"/>
      <w:r w:rsidRPr="006F6A93">
        <w:rPr>
          <w:rFonts w:ascii="Times New Roman" w:hAnsi="Times New Roman" w:cs="Times New Roman"/>
          <w:sz w:val="24"/>
          <w:szCs w:val="24"/>
        </w:rPr>
        <w:t>Onyekware</w:t>
      </w:r>
      <w:proofErr w:type="spellEnd"/>
      <w:r w:rsidRPr="006F6A93">
        <w:rPr>
          <w:rFonts w:ascii="Times New Roman" w:hAnsi="Times New Roman" w:cs="Times New Roman"/>
          <w:sz w:val="24"/>
          <w:szCs w:val="24"/>
        </w:rPr>
        <w:t xml:space="preserve">, and H. A. </w:t>
      </w:r>
      <w:proofErr w:type="spellStart"/>
      <w:r w:rsidRPr="006F6A93">
        <w:rPr>
          <w:rFonts w:ascii="Times New Roman" w:hAnsi="Times New Roman" w:cs="Times New Roman"/>
          <w:sz w:val="24"/>
          <w:szCs w:val="24"/>
        </w:rPr>
        <w:t>Soriyan</w:t>
      </w:r>
      <w:proofErr w:type="spellEnd"/>
      <w:r w:rsidRPr="006F6A93">
        <w:rPr>
          <w:rFonts w:ascii="Times New Roman" w:hAnsi="Times New Roman" w:cs="Times New Roman"/>
          <w:sz w:val="24"/>
          <w:szCs w:val="24"/>
        </w:rPr>
        <w:t xml:space="preserve">, “A fraud detection system for health insurance in Nigeria,” J. Health Inform. Afr., vol. 6, no. 2, pp. 64–73, Feb. 2020, </w:t>
      </w:r>
      <w:proofErr w:type="spellStart"/>
      <w:r w:rsidRPr="006F6A93">
        <w:rPr>
          <w:rFonts w:ascii="Times New Roman" w:hAnsi="Times New Roman" w:cs="Times New Roman"/>
          <w:sz w:val="24"/>
          <w:szCs w:val="24"/>
        </w:rPr>
        <w:t>doi</w:t>
      </w:r>
      <w:proofErr w:type="spellEnd"/>
      <w:r w:rsidRPr="006F6A93">
        <w:rPr>
          <w:rFonts w:ascii="Times New Roman" w:hAnsi="Times New Roman" w:cs="Times New Roman"/>
          <w:sz w:val="24"/>
          <w:szCs w:val="24"/>
        </w:rPr>
        <w:t>: 10.12856/JHIA-2019-v6-i2-256.</w:t>
      </w:r>
    </w:p>
    <w:p w14:paraId="00000022" w14:textId="77777777" w:rsidR="00003EE0" w:rsidRPr="006F6A93" w:rsidRDefault="00000000" w:rsidP="00525A33">
      <w:pPr>
        <w:spacing w:before="240" w:after="240" w:line="360" w:lineRule="auto"/>
        <w:rPr>
          <w:rFonts w:ascii="Times New Roman" w:hAnsi="Times New Roman" w:cs="Times New Roman"/>
          <w:sz w:val="24"/>
          <w:szCs w:val="24"/>
        </w:rPr>
      </w:pPr>
      <w:r w:rsidRPr="006F6A93">
        <w:rPr>
          <w:rFonts w:ascii="Times New Roman" w:hAnsi="Times New Roman" w:cs="Times New Roman"/>
          <w:sz w:val="24"/>
          <w:szCs w:val="24"/>
        </w:rPr>
        <w:t xml:space="preserve">[19] M. C. Massi, F. Ieva, and E. Lettieri, “Data mining application to healthcare fraud detection: A two-step unsupervised clustering method for outlier detection with administrative databases,” BMC Med. Inform. </w:t>
      </w:r>
      <w:proofErr w:type="spellStart"/>
      <w:r w:rsidRPr="006F6A93">
        <w:rPr>
          <w:rFonts w:ascii="Times New Roman" w:hAnsi="Times New Roman" w:cs="Times New Roman"/>
          <w:sz w:val="24"/>
          <w:szCs w:val="24"/>
        </w:rPr>
        <w:t>Decis</w:t>
      </w:r>
      <w:proofErr w:type="spellEnd"/>
      <w:r w:rsidRPr="006F6A93">
        <w:rPr>
          <w:rFonts w:ascii="Times New Roman" w:hAnsi="Times New Roman" w:cs="Times New Roman"/>
          <w:sz w:val="24"/>
          <w:szCs w:val="24"/>
        </w:rPr>
        <w:t xml:space="preserve">. Mak., vol. 20, art. 160, 2020, </w:t>
      </w:r>
      <w:proofErr w:type="spellStart"/>
      <w:r w:rsidRPr="006F6A93">
        <w:rPr>
          <w:rFonts w:ascii="Times New Roman" w:hAnsi="Times New Roman" w:cs="Times New Roman"/>
          <w:sz w:val="24"/>
          <w:szCs w:val="24"/>
        </w:rPr>
        <w:t>doi</w:t>
      </w:r>
      <w:proofErr w:type="spellEnd"/>
      <w:r w:rsidRPr="006F6A93">
        <w:rPr>
          <w:rFonts w:ascii="Times New Roman" w:hAnsi="Times New Roman" w:cs="Times New Roman"/>
          <w:sz w:val="24"/>
          <w:szCs w:val="24"/>
        </w:rPr>
        <w:t>: 10.1186/s12911-020-01143-9.</w:t>
      </w:r>
    </w:p>
    <w:p w14:paraId="00000025" w14:textId="51FFA9AB" w:rsidR="00003EE0" w:rsidRPr="006F6A93" w:rsidRDefault="00000000" w:rsidP="00525A33">
      <w:pPr>
        <w:spacing w:before="240" w:after="240" w:line="360" w:lineRule="auto"/>
        <w:rPr>
          <w:rFonts w:ascii="Times New Roman" w:eastAsia="Times New Roman" w:hAnsi="Times New Roman" w:cs="Times New Roman"/>
          <w:b/>
          <w:bCs/>
          <w:sz w:val="28"/>
          <w:szCs w:val="28"/>
        </w:rPr>
      </w:pPr>
      <w:r w:rsidRPr="006F6A93">
        <w:rPr>
          <w:rFonts w:ascii="Times New Roman" w:hAnsi="Times New Roman" w:cs="Times New Roman"/>
          <w:sz w:val="24"/>
          <w:szCs w:val="24"/>
        </w:rPr>
        <w:t xml:space="preserve">[20] S. S. </w:t>
      </w:r>
      <w:proofErr w:type="spellStart"/>
      <w:r w:rsidRPr="006F6A93">
        <w:rPr>
          <w:rFonts w:ascii="Times New Roman" w:hAnsi="Times New Roman" w:cs="Times New Roman"/>
          <w:sz w:val="24"/>
          <w:szCs w:val="24"/>
        </w:rPr>
        <w:t>Waghade</w:t>
      </w:r>
      <w:proofErr w:type="spellEnd"/>
      <w:r w:rsidRPr="006F6A93">
        <w:rPr>
          <w:rFonts w:ascii="Times New Roman" w:hAnsi="Times New Roman" w:cs="Times New Roman"/>
          <w:sz w:val="24"/>
          <w:szCs w:val="24"/>
        </w:rPr>
        <w:t xml:space="preserve"> and A. M. Karandikar, “A comprehensive study of healthcare fraud detection based on machine learning,” Int. J. Appl. Eng. Res., vol. 13, no. 6, pp. 4175–4178, 2018.</w:t>
      </w:r>
    </w:p>
    <w:p w14:paraId="00000026" w14:textId="77777777" w:rsidR="00003EE0" w:rsidRPr="006F6A93" w:rsidRDefault="00003EE0">
      <w:pPr>
        <w:rPr>
          <w:rFonts w:ascii="Times New Roman" w:eastAsia="Times New Roman" w:hAnsi="Times New Roman" w:cs="Times New Roman"/>
          <w:sz w:val="28"/>
          <w:szCs w:val="28"/>
        </w:rPr>
      </w:pPr>
    </w:p>
    <w:sectPr w:rsidR="00003EE0" w:rsidRPr="006F6A9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332F3" w14:textId="77777777" w:rsidR="000229F5" w:rsidRDefault="000229F5" w:rsidP="00FF07ED">
      <w:pPr>
        <w:spacing w:line="240" w:lineRule="auto"/>
      </w:pPr>
      <w:r>
        <w:separator/>
      </w:r>
    </w:p>
  </w:endnote>
  <w:endnote w:type="continuationSeparator" w:id="0">
    <w:p w14:paraId="79A4CE62" w14:textId="77777777" w:rsidR="000229F5" w:rsidRDefault="000229F5" w:rsidP="00FF07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E0AF6A5-47B0-4C47-B798-C94FBB14358F}"/>
    <w:embedBold r:id="rId2" w:fontKey="{6603D063-93D1-46D5-8E7C-ADE7C1DBC85B}"/>
  </w:font>
  <w:font w:name="Calibri">
    <w:panose1 w:val="020F0502020204030204"/>
    <w:charset w:val="00"/>
    <w:family w:val="swiss"/>
    <w:pitch w:val="variable"/>
    <w:sig w:usb0="E4002EFF" w:usb1="C200247B" w:usb2="00000009" w:usb3="00000000" w:csb0="000001FF" w:csb1="00000000"/>
    <w:embedRegular r:id="rId3" w:fontKey="{CBAFF501-6292-4F2C-80C8-528187E6826A}"/>
    <w:embedBold r:id="rId4" w:fontKey="{9193CA7C-3299-4BD5-8E9E-BCB76662021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E593D" w14:textId="77777777" w:rsidR="000229F5" w:rsidRDefault="000229F5" w:rsidP="00FF07ED">
      <w:pPr>
        <w:spacing w:line="240" w:lineRule="auto"/>
      </w:pPr>
      <w:r>
        <w:separator/>
      </w:r>
    </w:p>
  </w:footnote>
  <w:footnote w:type="continuationSeparator" w:id="0">
    <w:p w14:paraId="0B22FEF1" w14:textId="77777777" w:rsidR="000229F5" w:rsidRDefault="000229F5" w:rsidP="00FF07E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EE0"/>
    <w:rsid w:val="00003EE0"/>
    <w:rsid w:val="000229F5"/>
    <w:rsid w:val="00030CF4"/>
    <w:rsid w:val="00031A6B"/>
    <w:rsid w:val="000A78E8"/>
    <w:rsid w:val="000C490C"/>
    <w:rsid w:val="0012442C"/>
    <w:rsid w:val="00147157"/>
    <w:rsid w:val="00190042"/>
    <w:rsid w:val="001B78DE"/>
    <w:rsid w:val="0024172A"/>
    <w:rsid w:val="002C5D5E"/>
    <w:rsid w:val="004100F3"/>
    <w:rsid w:val="00466C06"/>
    <w:rsid w:val="00475B94"/>
    <w:rsid w:val="004907CD"/>
    <w:rsid w:val="004A2F83"/>
    <w:rsid w:val="00525A33"/>
    <w:rsid w:val="00562CA6"/>
    <w:rsid w:val="005A48BF"/>
    <w:rsid w:val="005E738C"/>
    <w:rsid w:val="005F68C8"/>
    <w:rsid w:val="00666B08"/>
    <w:rsid w:val="00666EAD"/>
    <w:rsid w:val="006F6A93"/>
    <w:rsid w:val="00714167"/>
    <w:rsid w:val="0075103F"/>
    <w:rsid w:val="00752513"/>
    <w:rsid w:val="007B4152"/>
    <w:rsid w:val="007C33BC"/>
    <w:rsid w:val="007D0706"/>
    <w:rsid w:val="008153EB"/>
    <w:rsid w:val="00895AAA"/>
    <w:rsid w:val="008F4673"/>
    <w:rsid w:val="00921C4E"/>
    <w:rsid w:val="0092230A"/>
    <w:rsid w:val="00980E92"/>
    <w:rsid w:val="009B407B"/>
    <w:rsid w:val="009E36B0"/>
    <w:rsid w:val="00A2675E"/>
    <w:rsid w:val="00A5133A"/>
    <w:rsid w:val="00A719C0"/>
    <w:rsid w:val="00B40840"/>
    <w:rsid w:val="00BC62F8"/>
    <w:rsid w:val="00C44040"/>
    <w:rsid w:val="00C44501"/>
    <w:rsid w:val="00CA7F4D"/>
    <w:rsid w:val="00CC62F9"/>
    <w:rsid w:val="00CF48EC"/>
    <w:rsid w:val="00D06341"/>
    <w:rsid w:val="00D83B35"/>
    <w:rsid w:val="00DA3B76"/>
    <w:rsid w:val="00DC1E75"/>
    <w:rsid w:val="00E91925"/>
    <w:rsid w:val="00EB01E0"/>
    <w:rsid w:val="00EB6B67"/>
    <w:rsid w:val="00F43E4E"/>
    <w:rsid w:val="00F60ECE"/>
    <w:rsid w:val="00F7593F"/>
    <w:rsid w:val="00FF0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D2AC1"/>
  <w15:docId w15:val="{BA3802A0-2B9B-4477-AC94-A1767750D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6F6A93"/>
    <w:rPr>
      <w:color w:val="0000FF" w:themeColor="hyperlink"/>
      <w:u w:val="single"/>
    </w:rPr>
  </w:style>
  <w:style w:type="character" w:styleId="UnresolvedMention">
    <w:name w:val="Unresolved Mention"/>
    <w:basedOn w:val="DefaultParagraphFont"/>
    <w:uiPriority w:val="99"/>
    <w:semiHidden/>
    <w:unhideWhenUsed/>
    <w:rsid w:val="006F6A93"/>
    <w:rPr>
      <w:color w:val="605E5C"/>
      <w:shd w:val="clear" w:color="auto" w:fill="E1DFDD"/>
    </w:rPr>
  </w:style>
  <w:style w:type="paragraph" w:styleId="NormalWeb">
    <w:name w:val="Normal (Web)"/>
    <w:basedOn w:val="Normal"/>
    <w:uiPriority w:val="99"/>
    <w:semiHidden/>
    <w:unhideWhenUsed/>
    <w:rsid w:val="005F68C8"/>
    <w:rPr>
      <w:rFonts w:ascii="Times New Roman" w:hAnsi="Times New Roman" w:cs="Times New Roman"/>
      <w:sz w:val="24"/>
      <w:szCs w:val="24"/>
    </w:rPr>
  </w:style>
  <w:style w:type="table" w:styleId="LightGrid-Accent1">
    <w:name w:val="Light Grid Accent 1"/>
    <w:basedOn w:val="TableNormal"/>
    <w:uiPriority w:val="62"/>
    <w:rsid w:val="00921C4E"/>
    <w:pPr>
      <w:spacing w:line="240" w:lineRule="auto"/>
    </w:pPr>
    <w:rPr>
      <w:rFonts w:asciiTheme="minorHAnsi" w:eastAsiaTheme="minorEastAsia" w:hAnsiTheme="minorHAnsi" w:cstheme="minorBidi"/>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eader">
    <w:name w:val="header"/>
    <w:basedOn w:val="Normal"/>
    <w:link w:val="HeaderChar"/>
    <w:uiPriority w:val="99"/>
    <w:unhideWhenUsed/>
    <w:rsid w:val="00FF07ED"/>
    <w:pPr>
      <w:tabs>
        <w:tab w:val="center" w:pos="4680"/>
        <w:tab w:val="right" w:pos="9360"/>
      </w:tabs>
      <w:spacing w:line="240" w:lineRule="auto"/>
    </w:pPr>
  </w:style>
  <w:style w:type="character" w:customStyle="1" w:styleId="HeaderChar">
    <w:name w:val="Header Char"/>
    <w:basedOn w:val="DefaultParagraphFont"/>
    <w:link w:val="Header"/>
    <w:uiPriority w:val="99"/>
    <w:rsid w:val="00FF07ED"/>
  </w:style>
  <w:style w:type="paragraph" w:styleId="Footer">
    <w:name w:val="footer"/>
    <w:basedOn w:val="Normal"/>
    <w:link w:val="FooterChar"/>
    <w:uiPriority w:val="99"/>
    <w:unhideWhenUsed/>
    <w:rsid w:val="00FF07ED"/>
    <w:pPr>
      <w:tabs>
        <w:tab w:val="center" w:pos="4680"/>
        <w:tab w:val="right" w:pos="9360"/>
      </w:tabs>
      <w:spacing w:line="240" w:lineRule="auto"/>
    </w:pPr>
  </w:style>
  <w:style w:type="character" w:customStyle="1" w:styleId="FooterChar">
    <w:name w:val="Footer Char"/>
    <w:basedOn w:val="DefaultParagraphFont"/>
    <w:link w:val="Footer"/>
    <w:uiPriority w:val="99"/>
    <w:rsid w:val="00FF07ED"/>
  </w:style>
  <w:style w:type="table" w:styleId="TableGrid">
    <w:name w:val="Table Grid"/>
    <w:basedOn w:val="TableNormal"/>
    <w:uiPriority w:val="59"/>
    <w:rsid w:val="00895AAA"/>
    <w:pPr>
      <w:spacing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E36B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ulugbekabdurakhmonov.tennis@gmail.com"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zayed.md.uddin273@gmail.com"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mailto:srajeev@coppin.edu"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mishkatfamily@gmail.com" TargetMode="Externa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6C4207-C84B-4CE9-A3B3-760E86AA4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5678</TotalTime>
  <Pages>24</Pages>
  <Words>7139</Words>
  <Characters>40696</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Uddin, Zayed Mohammed - (STUDENT)</cp:lastModifiedBy>
  <cp:revision>20</cp:revision>
  <dcterms:created xsi:type="dcterms:W3CDTF">2025-11-27T19:07:00Z</dcterms:created>
  <dcterms:modified xsi:type="dcterms:W3CDTF">2025-12-09T02:18:00Z</dcterms:modified>
</cp:coreProperties>
</file>