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03EE0"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Scalable Medicare Claims Fraud Detection Using SQL-Based Feature Engineering and Machine Learning</w:t>
      </w:r>
    </w:p>
    <w:p w14:paraId="00000002" w14:textId="3DE24223" w:rsidR="00003EE0"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Zayed M.</w:t>
      </w:r>
      <w:r w:rsidR="0054509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Uddin</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w:t>
      </w:r>
      <w:r w:rsidR="0054509F">
        <w:rPr>
          <w:rFonts w:ascii="Times New Roman" w:eastAsia="Times New Roman" w:hAnsi="Times New Roman" w:cs="Times New Roman"/>
          <w:sz w:val="24"/>
          <w:szCs w:val="24"/>
        </w:rPr>
        <w:t xml:space="preserve"> </w:t>
      </w:r>
      <w:r w:rsidR="0054509F">
        <w:rPr>
          <w:rFonts w:ascii="Times New Roman" w:eastAsia="Times New Roman" w:hAnsi="Times New Roman" w:cs="Times New Roman"/>
          <w:sz w:val="24"/>
          <w:szCs w:val="24"/>
        </w:rPr>
        <w:t>Abu Bakar Siddik Mishkat</w:t>
      </w:r>
      <w:r w:rsidR="0054509F">
        <w:rPr>
          <w:rFonts w:ascii="Times New Roman" w:eastAsia="Times New Roman" w:hAnsi="Times New Roman" w:cs="Times New Roman"/>
          <w:sz w:val="24"/>
          <w:szCs w:val="24"/>
          <w:vertAlign w:val="superscript"/>
        </w:rPr>
        <w:t>2</w:t>
      </w:r>
      <w:r w:rsidR="0054509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Ulugbek Abdurakhmonov</w:t>
      </w:r>
      <w:r w:rsidR="0054509F">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 Sarika Rajeev</w:t>
      </w:r>
      <w:r>
        <w:rPr>
          <w:rFonts w:ascii="Times New Roman" w:eastAsia="Times New Roman" w:hAnsi="Times New Roman" w:cs="Times New Roman"/>
          <w:sz w:val="24"/>
          <w:szCs w:val="24"/>
          <w:vertAlign w:val="superscript"/>
        </w:rPr>
        <w:t>4</w:t>
      </w:r>
      <w:r>
        <w:rPr>
          <w:rFonts w:ascii="Times New Roman" w:eastAsia="Times New Roman" w:hAnsi="Times New Roman" w:cs="Times New Roman"/>
          <w:sz w:val="24"/>
          <w:szCs w:val="24"/>
        </w:rPr>
        <w:t xml:space="preserve"> </w:t>
      </w:r>
    </w:p>
    <w:p w14:paraId="00000003" w14:textId="77777777" w:rsidR="00003EE0" w:rsidRDefault="00003EE0">
      <w:pPr>
        <w:rPr>
          <w:rFonts w:ascii="Times New Roman" w:eastAsia="Times New Roman" w:hAnsi="Times New Roman" w:cs="Times New Roman"/>
          <w:sz w:val="24"/>
          <w:szCs w:val="24"/>
        </w:rPr>
      </w:pPr>
    </w:p>
    <w:p w14:paraId="00000004" w14:textId="77777777" w:rsidR="00003EE0" w:rsidRDefault="00000000">
      <w:pPr>
        <w:spacing w:line="360" w:lineRule="auto"/>
      </w:pP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7">
        <w:r w:rsidR="00003EE0">
          <w:rPr>
            <w:rFonts w:ascii="Times New Roman" w:eastAsia="Times New Roman" w:hAnsi="Times New Roman" w:cs="Times New Roman"/>
            <w:color w:val="1155CC"/>
            <w:sz w:val="24"/>
            <w:szCs w:val="24"/>
            <w:u w:val="single"/>
          </w:rPr>
          <w:t>zayed.md.uddin273@gmail.com</w:t>
        </w:r>
      </w:hyperlink>
    </w:p>
    <w:p w14:paraId="1144E12E" w14:textId="24A2E534" w:rsidR="0054509F" w:rsidRPr="0054509F" w:rsidRDefault="0054509F">
      <w:pPr>
        <w:spacing w:line="360" w:lineRule="auto"/>
      </w:pP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8">
        <w:r>
          <w:rPr>
            <w:rFonts w:ascii="Times New Roman" w:eastAsia="Times New Roman" w:hAnsi="Times New Roman" w:cs="Times New Roman"/>
            <w:color w:val="1155CC"/>
            <w:sz w:val="24"/>
            <w:szCs w:val="24"/>
            <w:u w:val="single"/>
          </w:rPr>
          <w:t>mishkatfamily@gmail.com</w:t>
        </w:r>
      </w:hyperlink>
    </w:p>
    <w:p w14:paraId="00000005" w14:textId="7EC46D57" w:rsidR="00003EE0" w:rsidRDefault="0054509F">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vertAlign w:val="superscript"/>
        </w:rPr>
        <w:t>3</w:t>
      </w:r>
      <w:r w:rsidR="00000000">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9">
        <w:r w:rsidR="00003EE0">
          <w:rPr>
            <w:rFonts w:ascii="Times New Roman" w:eastAsia="Times New Roman" w:hAnsi="Times New Roman" w:cs="Times New Roman"/>
            <w:color w:val="1155CC"/>
            <w:sz w:val="24"/>
            <w:szCs w:val="24"/>
            <w:u w:val="single"/>
          </w:rPr>
          <w:t>ulugbekabdurakhmonov.tennis@gmail.com</w:t>
        </w:r>
      </w:hyperlink>
    </w:p>
    <w:p w14:paraId="00000007" w14:textId="13F2F92B" w:rsidR="00003EE0" w:rsidRDefault="006F6A93">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vertAlign w:val="superscript"/>
        </w:rPr>
        <w:t>4</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10" w:history="1">
        <w:r w:rsidRPr="00317440">
          <w:rPr>
            <w:rStyle w:val="Hyperlink"/>
            <w:rFonts w:ascii="Times New Roman" w:eastAsia="Times New Roman" w:hAnsi="Times New Roman" w:cs="Times New Roman"/>
            <w:sz w:val="24"/>
            <w:szCs w:val="24"/>
          </w:rPr>
          <w:t>srajeev@coppin.edu</w:t>
        </w:r>
      </w:hyperlink>
    </w:p>
    <w:p w14:paraId="00000008" w14:textId="2E2A3862" w:rsidR="00003EE0" w:rsidRDefault="00000000" w:rsidP="00031A6B">
      <w:pPr>
        <w:pStyle w:val="Heading1"/>
        <w:rPr>
          <w:rFonts w:ascii="Times New Roman" w:hAnsi="Times New Roman" w:cs="Times New Roman"/>
          <w:b/>
          <w:bCs/>
          <w:sz w:val="28"/>
          <w:szCs w:val="28"/>
        </w:rPr>
      </w:pPr>
      <w:r w:rsidRPr="00666B08">
        <w:rPr>
          <w:rFonts w:ascii="Times New Roman" w:hAnsi="Times New Roman" w:cs="Times New Roman"/>
          <w:b/>
          <w:bCs/>
          <w:sz w:val="28"/>
          <w:szCs w:val="28"/>
        </w:rPr>
        <w:t>1. Abstract</w:t>
      </w:r>
    </w:p>
    <w:p w14:paraId="177F1F2F" w14:textId="0B372976" w:rsidR="00E33CCB" w:rsidRDefault="00E33CCB" w:rsidP="00FC1A8F">
      <w:pPr>
        <w:spacing w:after="100" w:afterAutospacing="1" w:line="360" w:lineRule="auto"/>
        <w:rPr>
          <w:rFonts w:ascii="Times New Roman" w:hAnsi="Times New Roman" w:cs="Times New Roman"/>
          <w:sz w:val="24"/>
          <w:szCs w:val="24"/>
        </w:rPr>
      </w:pPr>
      <w:r w:rsidRPr="00E33CCB">
        <w:rPr>
          <w:rFonts w:ascii="Times New Roman" w:hAnsi="Times New Roman" w:cs="Times New Roman"/>
          <w:sz w:val="24"/>
          <w:szCs w:val="24"/>
        </w:rPr>
        <w:t>Healthcare fraud in Medicare causes substantial losses and is hard to detect because claims data are high-dimensional and imbalanced. We present an end-to-end pipeline on a Medicare-like dataset that integrates SQL-based feature engineering, unsupervised analysis of fraud-only claims, supervised provider classification, and clustering of high-risk providers into fraud-type groups. A feature store cleans inpatient, outpatient, beneficiary, and provider tables and produces reusable claim and provider features, including aggregates, beneficiary counts, peer-normalized z-scores, and rule-based indicators for duplicate billing, upcoding, and overcharging. Using these features, we cluster fraud-only claims with HDBSCAN and characterize inpatient and outpatient patterns via principal component analysis and association rule mining. We then train supervised models; a well-regularized logistic regression achieves PR-AUC ≈0.71 and ROC-AUC ≈0.93, and its risk scores feed a second HDBSCAN step that yields distinct provider fraud-type clusters. Overall, engineered features, interpretable linear models, and unsupervised analyses provide competitive performance and actionable fraud-type characterizations.</w:t>
      </w:r>
    </w:p>
    <w:p w14:paraId="5E509630" w14:textId="1069B376" w:rsidR="006C3EB7" w:rsidRPr="00E33CCB" w:rsidRDefault="006C3EB7" w:rsidP="00E33CCB">
      <w:pPr>
        <w:spacing w:line="360" w:lineRule="auto"/>
        <w:rPr>
          <w:rFonts w:ascii="Times New Roman" w:hAnsi="Times New Roman" w:cs="Times New Roman"/>
          <w:sz w:val="24"/>
          <w:szCs w:val="24"/>
        </w:rPr>
      </w:pPr>
      <w:r w:rsidRPr="006C3EB7">
        <w:rPr>
          <w:rFonts w:ascii="Times New Roman" w:hAnsi="Times New Roman" w:cs="Times New Roman"/>
          <w:b/>
          <w:bCs/>
          <w:sz w:val="24"/>
          <w:szCs w:val="24"/>
        </w:rPr>
        <w:t>Keywords:</w:t>
      </w:r>
      <w:r w:rsidRPr="006C3EB7">
        <w:rPr>
          <w:rFonts w:ascii="Times New Roman" w:hAnsi="Times New Roman" w:cs="Times New Roman"/>
          <w:sz w:val="24"/>
          <w:szCs w:val="24"/>
        </w:rPr>
        <w:t xml:space="preserve"> </w:t>
      </w:r>
      <w:r w:rsidR="00FC1A8F">
        <w:rPr>
          <w:rFonts w:ascii="Times New Roman" w:hAnsi="Times New Roman" w:cs="Times New Roman"/>
          <w:sz w:val="24"/>
          <w:szCs w:val="24"/>
        </w:rPr>
        <w:t>Medi</w:t>
      </w:r>
      <w:r w:rsidRPr="006C3EB7">
        <w:rPr>
          <w:rFonts w:ascii="Times New Roman" w:hAnsi="Times New Roman" w:cs="Times New Roman"/>
          <w:sz w:val="24"/>
          <w:szCs w:val="24"/>
        </w:rPr>
        <w:t>care</w:t>
      </w:r>
      <w:r w:rsidR="00FC1A8F">
        <w:rPr>
          <w:rFonts w:ascii="Times New Roman" w:hAnsi="Times New Roman" w:cs="Times New Roman"/>
          <w:sz w:val="24"/>
          <w:szCs w:val="24"/>
        </w:rPr>
        <w:t xml:space="preserve"> Fraud Detection</w:t>
      </w:r>
      <w:r w:rsidRPr="006C3EB7">
        <w:rPr>
          <w:rFonts w:ascii="Times New Roman" w:hAnsi="Times New Roman" w:cs="Times New Roman"/>
          <w:sz w:val="24"/>
          <w:szCs w:val="24"/>
        </w:rPr>
        <w:t>,</w:t>
      </w:r>
      <w:r w:rsidR="00FC1A8F">
        <w:rPr>
          <w:rFonts w:ascii="Times New Roman" w:hAnsi="Times New Roman" w:cs="Times New Roman"/>
          <w:sz w:val="24"/>
          <w:szCs w:val="24"/>
        </w:rPr>
        <w:t xml:space="preserve"> Insurance Fraud Types</w:t>
      </w:r>
      <w:r w:rsidR="00FC1A8F" w:rsidRPr="006C3EB7">
        <w:rPr>
          <w:rFonts w:ascii="Times New Roman" w:hAnsi="Times New Roman" w:cs="Times New Roman"/>
          <w:sz w:val="24"/>
          <w:szCs w:val="24"/>
        </w:rPr>
        <w:t xml:space="preserve"> </w:t>
      </w:r>
      <w:r w:rsidRPr="006C3EB7">
        <w:rPr>
          <w:rFonts w:ascii="Times New Roman" w:hAnsi="Times New Roman" w:cs="Times New Roman"/>
          <w:sz w:val="24"/>
          <w:szCs w:val="24"/>
        </w:rPr>
        <w:t xml:space="preserve">, </w:t>
      </w:r>
      <w:r w:rsidR="00FC1A8F">
        <w:rPr>
          <w:rFonts w:ascii="Times New Roman" w:hAnsi="Times New Roman" w:cs="Times New Roman"/>
          <w:sz w:val="24"/>
          <w:szCs w:val="24"/>
        </w:rPr>
        <w:t>Tree-based ensemble learning</w:t>
      </w:r>
      <w:r w:rsidRPr="006C3EB7">
        <w:rPr>
          <w:rFonts w:ascii="Times New Roman" w:hAnsi="Times New Roman" w:cs="Times New Roman"/>
          <w:sz w:val="24"/>
          <w:szCs w:val="24"/>
        </w:rPr>
        <w:t>, Insurance Claims</w:t>
      </w:r>
      <w:r w:rsidR="00FC1A8F">
        <w:rPr>
          <w:rFonts w:ascii="Times New Roman" w:hAnsi="Times New Roman" w:cs="Times New Roman"/>
          <w:sz w:val="24"/>
          <w:szCs w:val="24"/>
        </w:rPr>
        <w:t>, HDBSCAN Fraud Clustering</w:t>
      </w:r>
      <w:r w:rsidRPr="006C3EB7">
        <w:rPr>
          <w:rFonts w:ascii="Times New Roman" w:hAnsi="Times New Roman" w:cs="Times New Roman"/>
          <w:sz w:val="24"/>
          <w:szCs w:val="24"/>
        </w:rPr>
        <w:t xml:space="preserve"> </w:t>
      </w:r>
    </w:p>
    <w:p w14:paraId="00000009" w14:textId="34F82357" w:rsidR="00003EE0" w:rsidRPr="00666B08" w:rsidRDefault="00000000" w:rsidP="00F60ECE">
      <w:pPr>
        <w:pStyle w:val="Heading1"/>
        <w:spacing w:after="240"/>
        <w:rPr>
          <w:rFonts w:ascii="Times New Roman" w:hAnsi="Times New Roman" w:cs="Times New Roman"/>
          <w:b/>
          <w:bCs/>
          <w:sz w:val="28"/>
          <w:szCs w:val="28"/>
        </w:rPr>
      </w:pPr>
      <w:r w:rsidRPr="00666B08">
        <w:rPr>
          <w:rFonts w:ascii="Times New Roman" w:hAnsi="Times New Roman" w:cs="Times New Roman"/>
          <w:b/>
          <w:bCs/>
          <w:sz w:val="28"/>
          <w:szCs w:val="28"/>
        </w:rPr>
        <w:lastRenderedPageBreak/>
        <w:t>2. Introduction</w:t>
      </w:r>
    </w:p>
    <w:p w14:paraId="2F4A6A4E" w14:textId="77777777" w:rsidR="00752513" w:rsidRDefault="00752513" w:rsidP="00F60ECE">
      <w:pPr>
        <w:spacing w:line="360" w:lineRule="auto"/>
        <w:rPr>
          <w:rFonts w:ascii="Times New Roman" w:hAnsi="Times New Roman" w:cs="Times New Roman"/>
          <w:b/>
          <w:bCs/>
          <w:i/>
          <w:iCs/>
          <w:sz w:val="24"/>
          <w:szCs w:val="24"/>
          <w:lang w:val="en-US"/>
        </w:rPr>
      </w:pPr>
      <w:r w:rsidRPr="00752513">
        <w:rPr>
          <w:rFonts w:ascii="Times New Roman" w:hAnsi="Times New Roman" w:cs="Times New Roman"/>
          <w:b/>
          <w:bCs/>
          <w:i/>
          <w:iCs/>
          <w:sz w:val="24"/>
          <w:szCs w:val="24"/>
          <w:lang w:val="en-US"/>
        </w:rPr>
        <w:t>2.1 Background and motivation</w:t>
      </w:r>
    </w:p>
    <w:p w14:paraId="1B04C626" w14:textId="43D77170" w:rsidR="004B1344" w:rsidRPr="004B1344" w:rsidRDefault="004B1344" w:rsidP="004B1344">
      <w:pPr>
        <w:spacing w:after="100" w:afterAutospacing="1" w:line="360" w:lineRule="auto"/>
        <w:rPr>
          <w:rFonts w:ascii="Times New Roman" w:hAnsi="Times New Roman" w:cs="Times New Roman"/>
          <w:sz w:val="24"/>
          <w:szCs w:val="24"/>
          <w:lang w:val="en-US"/>
        </w:rPr>
      </w:pPr>
      <w:r w:rsidRPr="004B1344">
        <w:rPr>
          <w:rFonts w:ascii="Times New Roman" w:hAnsi="Times New Roman" w:cs="Times New Roman"/>
          <w:sz w:val="24"/>
          <w:szCs w:val="24"/>
        </w:rPr>
        <w:t>Healthcare fraud, waste, and abuse in large public insurance programs such as Medicare cause substantial economic losses—estimated at tens to hundreds of billions of dollars annually—and divert resources away from patient care while eroding trust in the health system [12], [14]. Modern claims databases covering millions of encounters across beneficiaries, providers, diagnoses, and procedures offer opportunities for more systematic detection but are high-dimensional, heterogeneous, and severely imbalanced, with fraudulent cases forming a tiny minority of all claims [3], [8], [12]. In such settings, purely rule-based systems are transparent and easy to deploy but often struggle to keep pace with evolving schemes and can generate high false-positive rates. These limitations have motivated extensive research into machine learning and data mining methods for healthcare fraud detection, spanning supervised classification, unsupervised anomaly detection, and hybrid approaches that combine rules, statistical models, and more advanced architectures [3], [5], [8], [12], [14], [15].</w:t>
      </w:r>
    </w:p>
    <w:p w14:paraId="0EA7C72C" w14:textId="5755087D" w:rsidR="00466C06" w:rsidRDefault="00466C06" w:rsidP="00F60ECE">
      <w:pPr>
        <w:spacing w:line="360" w:lineRule="auto"/>
        <w:rPr>
          <w:rFonts w:ascii="Times New Roman" w:hAnsi="Times New Roman" w:cs="Times New Roman"/>
          <w:b/>
          <w:bCs/>
          <w:i/>
          <w:iCs/>
          <w:sz w:val="24"/>
          <w:szCs w:val="24"/>
          <w:lang w:val="en-US"/>
        </w:rPr>
      </w:pPr>
      <w:r w:rsidRPr="00752513">
        <w:rPr>
          <w:rFonts w:ascii="Times New Roman" w:hAnsi="Times New Roman" w:cs="Times New Roman"/>
          <w:b/>
          <w:bCs/>
          <w:i/>
          <w:iCs/>
          <w:sz w:val="24"/>
          <w:szCs w:val="24"/>
          <w:lang w:val="en-US"/>
        </w:rPr>
        <w:t>2.</w:t>
      </w:r>
      <w:r>
        <w:rPr>
          <w:rFonts w:ascii="Times New Roman" w:hAnsi="Times New Roman" w:cs="Times New Roman"/>
          <w:b/>
          <w:bCs/>
          <w:i/>
          <w:iCs/>
          <w:sz w:val="24"/>
          <w:szCs w:val="24"/>
          <w:lang w:val="en-US"/>
        </w:rPr>
        <w:t>2</w:t>
      </w:r>
      <w:r w:rsidRPr="00752513">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lang w:val="en-US"/>
        </w:rPr>
        <w:t>Related Work</w:t>
      </w:r>
    </w:p>
    <w:p w14:paraId="29E0CACD" w14:textId="2A591743" w:rsidR="004B1344" w:rsidRPr="004B1344" w:rsidRDefault="004B1344" w:rsidP="004B1344">
      <w:pPr>
        <w:spacing w:after="100" w:afterAutospacing="1" w:line="360" w:lineRule="auto"/>
        <w:rPr>
          <w:rFonts w:ascii="Times New Roman" w:hAnsi="Times New Roman" w:cs="Times New Roman"/>
          <w:sz w:val="24"/>
          <w:szCs w:val="24"/>
          <w:lang w:val="en-US"/>
        </w:rPr>
      </w:pPr>
      <w:r w:rsidRPr="004B1344">
        <w:rPr>
          <w:rFonts w:ascii="Times New Roman" w:hAnsi="Times New Roman" w:cs="Times New Roman"/>
          <w:sz w:val="24"/>
          <w:szCs w:val="24"/>
        </w:rPr>
        <w:t xml:space="preserve">Recent surveys synthesize machine learning techniques for health insurance and Medicare fraud detection, including classical statistical models, tree ensembles, support vector machines, deep learning, and hybrid pipelines [3], [8], [12], [14]. Supervised models such as logistic regression, decision trees, random forests, and gradient boosting are trained on labelled provider- or claim-level data and perform well when labels exist, but their effectiveness is constrained by label scarcity and fraud patterns [3], [5], [7], [8], [11]. Unsupervised methods—clustering and outlier detection algorithms such as k-means, density-based approaches, and anomaly models—highlight atypical claims or providers when labels are </w:t>
      </w:r>
      <w:proofErr w:type="gramStart"/>
      <w:r w:rsidRPr="004B1344">
        <w:rPr>
          <w:rFonts w:ascii="Times New Roman" w:hAnsi="Times New Roman" w:cs="Times New Roman"/>
          <w:sz w:val="24"/>
          <w:szCs w:val="24"/>
        </w:rPr>
        <w:t>limited, yet</w:t>
      </w:r>
      <w:proofErr w:type="gramEnd"/>
      <w:r w:rsidRPr="004B1344">
        <w:rPr>
          <w:rFonts w:ascii="Times New Roman" w:hAnsi="Times New Roman" w:cs="Times New Roman"/>
          <w:sz w:val="24"/>
          <w:szCs w:val="24"/>
        </w:rPr>
        <w:t xml:space="preserve"> depend heavily on feature construction and can yield false positives if used alone [1], [2], [6], [13], [15]. Association rule mining discovers frequent, high-cost, or unusual diagnosis–procedure combinations that may indicate fraud schemes [5], [10]. Recent overviews emphasize combining rules, supervised models, and unsupervised detectors within end-to-end pipelines [3], [8], [12], [14], [15].</w:t>
      </w:r>
    </w:p>
    <w:p w14:paraId="0000000A" w14:textId="0DC4B070" w:rsidR="00003EE0" w:rsidRPr="00666B08" w:rsidRDefault="00000000" w:rsidP="00F60ECE">
      <w:pPr>
        <w:pStyle w:val="Heading1"/>
        <w:spacing w:before="0" w:after="240"/>
        <w:rPr>
          <w:rFonts w:ascii="Times New Roman" w:hAnsi="Times New Roman" w:cs="Times New Roman"/>
          <w:b/>
          <w:bCs/>
          <w:sz w:val="28"/>
          <w:szCs w:val="28"/>
        </w:rPr>
      </w:pPr>
      <w:r w:rsidRPr="00666B08">
        <w:rPr>
          <w:rFonts w:ascii="Times New Roman" w:hAnsi="Times New Roman" w:cs="Times New Roman"/>
          <w:b/>
          <w:bCs/>
          <w:sz w:val="28"/>
          <w:szCs w:val="28"/>
        </w:rPr>
        <w:t>3. Methodology</w:t>
      </w:r>
    </w:p>
    <w:p w14:paraId="4E85B98A" w14:textId="20ABD4DB" w:rsidR="00DC1E75" w:rsidRDefault="00DC1E75" w:rsidP="00F60ECE">
      <w:pPr>
        <w:spacing w:line="360" w:lineRule="auto"/>
        <w:rPr>
          <w:rFonts w:ascii="Times New Roman" w:hAnsi="Times New Roman" w:cs="Times New Roman"/>
          <w:b/>
          <w:bCs/>
          <w:i/>
          <w:iCs/>
          <w:sz w:val="24"/>
          <w:szCs w:val="24"/>
        </w:rPr>
      </w:pPr>
      <w:r w:rsidRPr="00466C06">
        <w:rPr>
          <w:rFonts w:ascii="Times New Roman" w:hAnsi="Times New Roman" w:cs="Times New Roman"/>
          <w:b/>
          <w:bCs/>
          <w:i/>
          <w:iCs/>
          <w:sz w:val="24"/>
          <w:szCs w:val="24"/>
        </w:rPr>
        <w:t>3.1. Data sources and study design</w:t>
      </w:r>
    </w:p>
    <w:p w14:paraId="012D6777" w14:textId="0204C821" w:rsidR="00E33CCB" w:rsidRPr="00E33CCB" w:rsidRDefault="00E33CCB" w:rsidP="00743021">
      <w:pPr>
        <w:spacing w:after="240" w:line="360" w:lineRule="auto"/>
        <w:rPr>
          <w:rFonts w:ascii="Times New Roman" w:hAnsi="Times New Roman" w:cs="Times New Roman"/>
          <w:sz w:val="24"/>
          <w:szCs w:val="24"/>
        </w:rPr>
      </w:pPr>
      <w:r w:rsidRPr="00E33CCB">
        <w:rPr>
          <w:rFonts w:ascii="Times New Roman" w:hAnsi="Times New Roman" w:cs="Times New Roman"/>
          <w:sz w:val="24"/>
          <w:szCs w:val="24"/>
        </w:rPr>
        <w:lastRenderedPageBreak/>
        <w:t>We used the “Healthcare Provider Fraud Detection Analysis” dataset from Medical Sphere, a Medicare dataset with training and test partitions. Each partition has four tables: provider, inpatient claims, outpatient claims, and beneficiary. The training provider table includes a PotentialFraud flag, recoded as a binary label (label_provider_fraud_1_0) indicating suspected fraud. Inpatient and outpatient tables contain one row per claim with claim, beneficiary, and provider IDs, dates, reimbursed amount, deductibles, and diagnosis/procedure codes; the inpatient table also has admission and discharge dates and diagnosis-group fields. The beneficiary table provides demographics, coverage, and chronic condition indicators. Providers are the primary unit: we classify them as fraudulent using aggregated history, while claims are used for feature construction and unsupervised clustering on fraud-only claims. For supervised learning we use training providers with a stratified 70/30 provider-level split, then apply the classifier to unlabeled test providers to generate risk scores and labels for clustering providers.</w:t>
      </w:r>
    </w:p>
    <w:p w14:paraId="29B2CF4B" w14:textId="77777777" w:rsidR="00562CA6" w:rsidRDefault="00562CA6" w:rsidP="00F60ECE">
      <w:pPr>
        <w:spacing w:line="360" w:lineRule="auto"/>
        <w:rPr>
          <w:rFonts w:ascii="Times New Roman" w:hAnsi="Times New Roman" w:cs="Times New Roman"/>
          <w:b/>
          <w:bCs/>
          <w:i/>
          <w:iCs/>
          <w:sz w:val="24"/>
          <w:szCs w:val="24"/>
        </w:rPr>
      </w:pPr>
      <w:r w:rsidRPr="00466C06">
        <w:rPr>
          <w:rFonts w:ascii="Times New Roman" w:hAnsi="Times New Roman" w:cs="Times New Roman"/>
          <w:b/>
          <w:bCs/>
          <w:i/>
          <w:iCs/>
          <w:sz w:val="24"/>
          <w:szCs w:val="24"/>
        </w:rPr>
        <w:t>3.2 Data cleaning and SQL feature store</w:t>
      </w:r>
    </w:p>
    <w:p w14:paraId="58A95FDF" w14:textId="6115D2E1" w:rsidR="00E07F55" w:rsidRPr="00E07F55" w:rsidRDefault="00E07F55" w:rsidP="00E07F55">
      <w:pPr>
        <w:spacing w:after="100" w:afterAutospacing="1" w:line="360" w:lineRule="auto"/>
        <w:rPr>
          <w:rFonts w:ascii="Times New Roman" w:hAnsi="Times New Roman" w:cs="Times New Roman"/>
          <w:sz w:val="24"/>
          <w:szCs w:val="24"/>
        </w:rPr>
      </w:pPr>
      <w:r w:rsidRPr="00E07F55">
        <w:rPr>
          <w:rFonts w:ascii="Times New Roman" w:hAnsi="Times New Roman" w:cs="Times New Roman"/>
          <w:sz w:val="24"/>
          <w:szCs w:val="24"/>
        </w:rPr>
        <w:t>All data processing was implemented in PostgreSQL using a layered design. Raw CSVs were first loaded into a staging schema with all fields as text and basic checks on structure and column counts. Cleaned data moved to a curated schema, where placeholder strings for missing values were converted to NULL and columns cast to appropriate types (DATE for dates, numeric for amounts and counts, integer/boolean for categorical indicators). In this layer we enforced key integrity constraints: unique provider and beneficiary IDs, non-null and unique claim IDs in inpatient and outpatient tables, valid foreign keys, and admission–discharge pairs yielding plausible, non-negative lengths of stay. Reimbursement amounts were checked for negative or extreme values and distributions inspected for errors. On top of the curated layer, we built a mart schema as a feature store with a consolidated claims fact table and claim- and provider-level feature tables containing length of stay, diagnosis/procedure counts, duplicate and overcharge flags, peer-normalized z-scores, and 30/90/365-day aggregates used in analysis and modelling.</w:t>
      </w:r>
    </w:p>
    <w:p w14:paraId="205474FE" w14:textId="4E3D12E1" w:rsidR="0075103F" w:rsidRDefault="0075103F" w:rsidP="00F60ECE">
      <w:pPr>
        <w:spacing w:line="360" w:lineRule="auto"/>
        <w:rPr>
          <w:rFonts w:ascii="Times New Roman" w:hAnsi="Times New Roman" w:cs="Times New Roman"/>
          <w:b/>
          <w:bCs/>
          <w:i/>
          <w:iCs/>
          <w:sz w:val="24"/>
          <w:szCs w:val="24"/>
        </w:rPr>
      </w:pPr>
      <w:r w:rsidRPr="00466C06">
        <w:rPr>
          <w:rFonts w:ascii="Times New Roman" w:hAnsi="Times New Roman" w:cs="Times New Roman"/>
          <w:b/>
          <w:bCs/>
          <w:i/>
          <w:iCs/>
          <w:sz w:val="24"/>
          <w:szCs w:val="24"/>
        </w:rPr>
        <w:t>3.3 Feature engineering and rule-based indicators</w:t>
      </w:r>
    </w:p>
    <w:p w14:paraId="53775734" w14:textId="39D8A399" w:rsidR="00E33CCB" w:rsidRPr="00E33CCB" w:rsidRDefault="00E33CCB" w:rsidP="00E33CCB">
      <w:pPr>
        <w:spacing w:after="240" w:line="360" w:lineRule="auto"/>
        <w:rPr>
          <w:rFonts w:ascii="Times New Roman" w:hAnsi="Times New Roman" w:cs="Times New Roman"/>
          <w:sz w:val="24"/>
          <w:szCs w:val="24"/>
        </w:rPr>
      </w:pPr>
      <w:r w:rsidRPr="00E33CCB">
        <w:rPr>
          <w:rFonts w:ascii="Times New Roman" w:hAnsi="Times New Roman" w:cs="Times New Roman"/>
          <w:sz w:val="24"/>
          <w:szCs w:val="24"/>
        </w:rPr>
        <w:t xml:space="preserve">We constructed features at both claim and provider levels and implemented simple rules to capture fraud patterns such as duplicate billing, upcoding, and overcharging, performing all feature engineering in SQL on top of the feature store and exporting the resulting tables to Python for modelling. At the claim level, we derived utilization and billing variables (reimbursed </w:t>
      </w:r>
      <w:r w:rsidRPr="00E33CCB">
        <w:rPr>
          <w:rFonts w:ascii="Times New Roman" w:hAnsi="Times New Roman" w:cs="Times New Roman"/>
          <w:sz w:val="24"/>
          <w:szCs w:val="24"/>
        </w:rPr>
        <w:lastRenderedPageBreak/>
        <w:t>amount, deductible, and, for inpatient claims, length of stay), counted diagnosis and procedure codes, and created indicators for “exact” and “near” duplicates by comparing claims for the same beneficiary and provider within short time windows with similar diagnosis–procedure combinations and amounts. We also defined overcharged flags using peer-normalized payment z-scores and IQR-based thresholds. At the provider level, we aggregated claims over 30-, 90-, and 365-day windows to obtain claims, reimbursement, unique beneficiaries, code diversity, inpatient/outpatient volumes, peer-normalized reimbursement and length-of-stay z-scores, counts of duplicate, upcoding, and overcharge events as inputs to subsequent models.</w:t>
      </w:r>
    </w:p>
    <w:p w14:paraId="66241812" w14:textId="4E34544E" w:rsidR="008F4673" w:rsidRDefault="008F4673" w:rsidP="00F60ECE">
      <w:pPr>
        <w:spacing w:line="360" w:lineRule="auto"/>
        <w:rPr>
          <w:rFonts w:ascii="Times New Roman" w:hAnsi="Times New Roman" w:cs="Times New Roman"/>
          <w:b/>
          <w:bCs/>
          <w:i/>
          <w:iCs/>
          <w:sz w:val="24"/>
          <w:szCs w:val="24"/>
        </w:rPr>
      </w:pPr>
      <w:r w:rsidRPr="00466C06">
        <w:rPr>
          <w:rFonts w:ascii="Times New Roman" w:hAnsi="Times New Roman" w:cs="Times New Roman"/>
          <w:b/>
          <w:bCs/>
          <w:i/>
          <w:iCs/>
          <w:sz w:val="24"/>
          <w:szCs w:val="24"/>
        </w:rPr>
        <w:t>3.4 Exploratory analysis and feature selection</w:t>
      </w:r>
    </w:p>
    <w:p w14:paraId="072F955C" w14:textId="4781A132" w:rsidR="00F43E4E" w:rsidRPr="00F43E4E" w:rsidRDefault="00F43E4E" w:rsidP="00F43E4E">
      <w:pPr>
        <w:spacing w:after="240" w:line="360" w:lineRule="auto"/>
        <w:rPr>
          <w:rFonts w:ascii="Times New Roman" w:hAnsi="Times New Roman" w:cs="Times New Roman"/>
          <w:sz w:val="24"/>
          <w:szCs w:val="24"/>
        </w:rPr>
      </w:pPr>
      <w:r w:rsidRPr="00F43E4E">
        <w:rPr>
          <w:rFonts w:ascii="Times New Roman" w:hAnsi="Times New Roman" w:cs="Times New Roman"/>
          <w:sz w:val="24"/>
          <w:szCs w:val="24"/>
        </w:rPr>
        <w:t>After building the SQL feature store, we performed exploratory analysis and feature selection in Python, using SQLAlchemy and pandas to load the claim- and provider-level feature tables and inspect basic distributions. For key continuous variables such as reimbursed amounts, deductibles, and inpatient length of stay, we plotted histograms and boxplots to assess skewness, long tails, and potential data errors, confirming the expected heavy-tailed patterns. We quantified outliers with robust statistics by computing interquartile ranges and robust z-scores based on the median and median absolute deviation, flagging extreme claims and comparing these to rule-based indicators such as overcharge flags and short-stay high-payment inpatient claims. At the provider level, we examined correlations among engineered features using pairwise correlation coefficients and variance inflation factors to identify and remove highly collinear variables, particularly overlapping measures of recent reimbursement and claim volumes. Based on these diagnostics, we retained a compact, interpretable set of provider features—covering total and recent reimbursement, recent claim and unique beneficiary counts, code diversity, peer-normalized reimbursement and length-of-stay z-scores, and aggregated counts of duplicate, upcoding, and overcharge events—for all subsequent supervised learning and clustering analyses.</w:t>
      </w:r>
    </w:p>
    <w:p w14:paraId="118574E4" w14:textId="77777777" w:rsidR="008F4673" w:rsidRDefault="008F4673" w:rsidP="00F43E4E">
      <w:pPr>
        <w:spacing w:line="360" w:lineRule="auto"/>
        <w:rPr>
          <w:rFonts w:ascii="Times New Roman" w:hAnsi="Times New Roman" w:cs="Times New Roman"/>
          <w:b/>
          <w:bCs/>
          <w:i/>
          <w:iCs/>
          <w:sz w:val="24"/>
          <w:szCs w:val="24"/>
        </w:rPr>
      </w:pPr>
      <w:r w:rsidRPr="00666B08">
        <w:rPr>
          <w:rFonts w:ascii="Times New Roman" w:hAnsi="Times New Roman" w:cs="Times New Roman"/>
          <w:b/>
          <w:bCs/>
          <w:i/>
          <w:iCs/>
          <w:sz w:val="24"/>
          <w:szCs w:val="24"/>
        </w:rPr>
        <w:t>3.5 Unsupervised fraud-only claim clustering</w:t>
      </w:r>
    </w:p>
    <w:p w14:paraId="439E4CF8" w14:textId="0C118FD1" w:rsidR="004E0045" w:rsidRPr="00AB3535" w:rsidRDefault="00AB3535" w:rsidP="00AB3535">
      <w:pPr>
        <w:spacing w:after="240" w:line="360" w:lineRule="auto"/>
        <w:rPr>
          <w:rFonts w:ascii="Times New Roman" w:hAnsi="Times New Roman" w:cs="Times New Roman"/>
          <w:sz w:val="24"/>
          <w:szCs w:val="24"/>
        </w:rPr>
      </w:pPr>
      <w:r w:rsidRPr="00AB3535">
        <w:rPr>
          <w:rFonts w:ascii="Times New Roman" w:hAnsi="Times New Roman" w:cs="Times New Roman"/>
          <w:sz w:val="24"/>
          <w:szCs w:val="24"/>
        </w:rPr>
        <w:t xml:space="preserve">To better understand heterogeneity in fraudulent behavior, we clustered fraud-only claims. We first identified fraudulent providers from the training labels and extracted all associated inpatient and outpatient claims, building separate fraud-only tables. Using standardized engineered features—reimbursed amount, diagnosis and procedure counts, claim-level rule flags (duplicate </w:t>
      </w:r>
      <w:r w:rsidRPr="00AB3535">
        <w:rPr>
          <w:rFonts w:ascii="Times New Roman" w:hAnsi="Times New Roman" w:cs="Times New Roman"/>
          <w:sz w:val="24"/>
          <w:szCs w:val="24"/>
        </w:rPr>
        <w:lastRenderedPageBreak/>
        <w:t>and overcharge), and peer-normalized z-scores—we imputed missing values, scaled features, and applied HDBSCAN separately to inpatient and outpatient claims, choosing it for its ability to find clusters of varying size and density while treating atypical claims as noise. We tuned minimum cluster size and minimum samples, evaluated clustering quality with internal metrics and the noise fraction, and visualized structure via PCA projections colored by HDBSCAN cluster assignments. For each cluster, we produced “cluster cards” summarizing size, reimbursement levels, diagnosis/procedure multiplicity, and frequencies of rule flags, and we ran association rule mining within clusters to find frequent, high-lift diagnosis–procedure combinations, using these summaries and patterns to characterize distinct types of fraudulent claim behavior.</w:t>
      </w:r>
    </w:p>
    <w:p w14:paraId="4FD1DE74" w14:textId="77777777" w:rsidR="00EB6B67" w:rsidRDefault="00EB6B67" w:rsidP="00F60ECE">
      <w:pPr>
        <w:spacing w:line="360" w:lineRule="auto"/>
        <w:rPr>
          <w:rFonts w:ascii="Times New Roman" w:hAnsi="Times New Roman" w:cs="Times New Roman"/>
          <w:b/>
          <w:bCs/>
          <w:i/>
          <w:iCs/>
          <w:sz w:val="24"/>
          <w:szCs w:val="24"/>
        </w:rPr>
      </w:pPr>
      <w:r w:rsidRPr="00666B08">
        <w:rPr>
          <w:rFonts w:ascii="Times New Roman" w:hAnsi="Times New Roman" w:cs="Times New Roman"/>
          <w:b/>
          <w:bCs/>
          <w:i/>
          <w:iCs/>
          <w:sz w:val="24"/>
          <w:szCs w:val="24"/>
        </w:rPr>
        <w:t>3.6 Supervised provider fraud classification</w:t>
      </w:r>
    </w:p>
    <w:p w14:paraId="4EB30941" w14:textId="7D4E4BC0" w:rsidR="00AB3535" w:rsidRPr="00AB3535" w:rsidRDefault="00AB3535" w:rsidP="00AB3535">
      <w:pPr>
        <w:spacing w:after="240" w:line="360" w:lineRule="auto"/>
        <w:rPr>
          <w:rFonts w:ascii="Times New Roman" w:hAnsi="Times New Roman" w:cs="Times New Roman"/>
          <w:sz w:val="24"/>
          <w:szCs w:val="24"/>
        </w:rPr>
      </w:pPr>
      <w:r w:rsidRPr="00AB3535">
        <w:rPr>
          <w:rFonts w:ascii="Times New Roman" w:hAnsi="Times New Roman" w:cs="Times New Roman"/>
          <w:sz w:val="24"/>
          <w:szCs w:val="24"/>
        </w:rPr>
        <w:t>We used supervised learning to predict whether a provider is fraudulent based on aggregated claims features. Modelling was restricted to labeled training providers, with a stratified 70/30 provider-level split that preserved the fraud/non-fraud ratio. All provider-level features from the feature store were merged with the binary fraud label, and continuous variables were standardized using statistics from the training subset, then applied unchanged to the hold-out set. We compared multiple classifiers on the same feature set—logistic regression with elastic-net regularization, Random Forests, Extremely Randomized Trees, LightGBM, XGBoost, and CatBoost—using class weighting or imbalance-aware parameters to address the rarity of fraudulent providers. Hyperparameters were tuned via randomized search with five-fold cross-validation, optimizing area under the precision–recall curve (PR-AUC), and final models were evaluated on the 30% hold-out set using accuracy, precision, recall, F1, PR-AUC, and ROC-AUC. Instead of fixing a 0.5 cutoff, we chose the probability threshold that maximized F1 on the hold-out precision–recall curve. Logistic regression with elastic-net and class-balanced weighting emerged as the primary model, offering strong PR-AUC, competitive F1, and interpretable coefficients, while tree-based models served as baselines that confirmed most performance gains came from the engineered features rather than model complexity.</w:t>
      </w:r>
    </w:p>
    <w:p w14:paraId="6F2CD46A" w14:textId="79F038F9" w:rsidR="0099226F" w:rsidRDefault="00EB6B67" w:rsidP="0099226F">
      <w:pPr>
        <w:spacing w:line="360" w:lineRule="auto"/>
        <w:rPr>
          <w:rFonts w:ascii="Times New Roman" w:hAnsi="Times New Roman" w:cs="Times New Roman"/>
          <w:b/>
          <w:bCs/>
          <w:i/>
          <w:iCs/>
          <w:sz w:val="24"/>
          <w:szCs w:val="24"/>
        </w:rPr>
      </w:pPr>
      <w:r w:rsidRPr="00666B08">
        <w:rPr>
          <w:rFonts w:ascii="Times New Roman" w:hAnsi="Times New Roman" w:cs="Times New Roman"/>
          <w:b/>
          <w:bCs/>
          <w:i/>
          <w:iCs/>
          <w:sz w:val="24"/>
          <w:szCs w:val="24"/>
        </w:rPr>
        <w:t>3.7 Provider fraud-type clustering</w:t>
      </w:r>
    </w:p>
    <w:p w14:paraId="21BFA1AA" w14:textId="019C08BB" w:rsidR="00300698" w:rsidRPr="00300698" w:rsidRDefault="00300698" w:rsidP="00E07F55">
      <w:pPr>
        <w:spacing w:after="100" w:afterAutospacing="1" w:line="360" w:lineRule="auto"/>
        <w:rPr>
          <w:rFonts w:ascii="Times New Roman" w:hAnsi="Times New Roman" w:cs="Times New Roman"/>
          <w:sz w:val="24"/>
          <w:szCs w:val="24"/>
        </w:rPr>
      </w:pPr>
      <w:r w:rsidRPr="00300698">
        <w:rPr>
          <w:rFonts w:ascii="Times New Roman" w:hAnsi="Times New Roman" w:cs="Times New Roman"/>
          <w:sz w:val="24"/>
          <w:szCs w:val="24"/>
        </w:rPr>
        <w:t xml:space="preserve">Beyond predicting whether a provider is fraudulent, we also sought to characterize distinct fraud patterns among high-risk providers. We defined a high-risk universe by combining all labeled </w:t>
      </w:r>
      <w:r w:rsidRPr="00300698">
        <w:rPr>
          <w:rFonts w:ascii="Times New Roman" w:hAnsi="Times New Roman" w:cs="Times New Roman"/>
          <w:sz w:val="24"/>
          <w:szCs w:val="24"/>
        </w:rPr>
        <w:lastRenderedPageBreak/>
        <w:t>fraudulent training providers with test providers whose logistic regression fraud scores exceeded a high threshold, then extracted the same standardized provider features used in supervised modeling (reimbursement levels, multi-window claims volumes, unique beneficiary counts, peer-normalized inpatient and outpatient z-scores, and rule counts for duplicates, upcoding, and overcharging). We applied HDBSCAN with Euclidean distance, a minimum cluster size of 10, and a small minimum samples value, allowing clusters of varying size and density and labeling atypical providers as noise. To examine structure, we projected providers into two principal components and colored points by cluster label, with noise in grey. For each cluster, we produced “cluster cards” summarizing size, labeled vs high-scored mix, and median utilization, payment, and rule-based features, interpreting them as fraud-type archetypes (e.g., high-revenue inpatient overchargers, high-volume outpatient overbillers).</w:t>
      </w:r>
    </w:p>
    <w:p w14:paraId="0000000B" w14:textId="0CB0A168" w:rsidR="00003EE0" w:rsidRPr="00666B08" w:rsidRDefault="00000000" w:rsidP="00F60ECE">
      <w:pPr>
        <w:pStyle w:val="Heading1"/>
        <w:spacing w:before="0" w:after="240"/>
        <w:rPr>
          <w:rFonts w:ascii="Times New Roman" w:hAnsi="Times New Roman" w:cs="Times New Roman"/>
          <w:b/>
          <w:bCs/>
          <w:sz w:val="28"/>
          <w:szCs w:val="28"/>
        </w:rPr>
      </w:pPr>
      <w:r w:rsidRPr="00666B08">
        <w:rPr>
          <w:rFonts w:ascii="Times New Roman" w:hAnsi="Times New Roman" w:cs="Times New Roman"/>
          <w:b/>
          <w:bCs/>
          <w:sz w:val="28"/>
          <w:szCs w:val="28"/>
        </w:rPr>
        <w:t>4. Results</w:t>
      </w:r>
    </w:p>
    <w:p w14:paraId="5C419A84" w14:textId="75E8A438" w:rsidR="00475B94" w:rsidRDefault="00475B94" w:rsidP="00F60ECE">
      <w:pPr>
        <w:spacing w:line="360" w:lineRule="auto"/>
        <w:rPr>
          <w:rFonts w:ascii="Times New Roman" w:hAnsi="Times New Roman" w:cs="Times New Roman"/>
          <w:b/>
          <w:bCs/>
          <w:i/>
          <w:iCs/>
          <w:sz w:val="24"/>
          <w:szCs w:val="24"/>
        </w:rPr>
      </w:pPr>
      <w:r w:rsidRPr="00666B08">
        <w:rPr>
          <w:rFonts w:ascii="Times New Roman" w:hAnsi="Times New Roman" w:cs="Times New Roman"/>
          <w:b/>
          <w:bCs/>
          <w:i/>
          <w:iCs/>
          <w:sz w:val="24"/>
          <w:szCs w:val="24"/>
        </w:rPr>
        <w:t>4.1 Data characteristics and exploratory analysis</w:t>
      </w:r>
    </w:p>
    <w:p w14:paraId="5FC47298" w14:textId="4A8C8F2F" w:rsidR="00E33CCB" w:rsidRDefault="00E33CCB" w:rsidP="00F60ECE">
      <w:pPr>
        <w:spacing w:line="360" w:lineRule="auto"/>
        <w:rPr>
          <w:rFonts w:ascii="Times New Roman" w:hAnsi="Times New Roman" w:cs="Times New Roman"/>
          <w:sz w:val="24"/>
          <w:szCs w:val="24"/>
        </w:rPr>
      </w:pPr>
      <w:r w:rsidRPr="00E33CCB">
        <w:rPr>
          <w:rFonts w:ascii="Times New Roman" w:hAnsi="Times New Roman" w:cs="Times New Roman"/>
          <w:sz w:val="24"/>
          <w:szCs w:val="24"/>
        </w:rPr>
        <w:t xml:space="preserve">The training data comprised 40,474 inpatient claims, 517,737 outpatient claims, 138,556 unique beneficiaries, and 5,410 labeled providers. As expected for Medicare billing, reimbursed amounts were highly skewed: most claims had modest payments, while a small fraction </w:t>
      </w:r>
      <w:proofErr w:type="gramStart"/>
      <w:r w:rsidRPr="00E33CCB">
        <w:rPr>
          <w:rFonts w:ascii="Times New Roman" w:hAnsi="Times New Roman" w:cs="Times New Roman"/>
          <w:sz w:val="24"/>
          <w:szCs w:val="24"/>
        </w:rPr>
        <w:t>were</w:t>
      </w:r>
      <w:proofErr w:type="gramEnd"/>
      <w:r w:rsidRPr="00E33CCB">
        <w:rPr>
          <w:rFonts w:ascii="Times New Roman" w:hAnsi="Times New Roman" w:cs="Times New Roman"/>
          <w:sz w:val="24"/>
          <w:szCs w:val="24"/>
        </w:rPr>
        <w:t xml:space="preserve"> costly, producing a low-payment bulk and a long right tail (Figure </w:t>
      </w:r>
      <w:r w:rsidR="00E059EF">
        <w:rPr>
          <w:rFonts w:ascii="Times New Roman" w:hAnsi="Times New Roman" w:cs="Times New Roman"/>
          <w:sz w:val="24"/>
          <w:szCs w:val="24"/>
        </w:rPr>
        <w:t>1</w:t>
      </w:r>
      <w:r w:rsidR="00D36175">
        <w:rPr>
          <w:rFonts w:ascii="Times New Roman" w:hAnsi="Times New Roman" w:cs="Times New Roman"/>
          <w:sz w:val="24"/>
          <w:szCs w:val="24"/>
        </w:rPr>
        <w:t>(</w:t>
      </w:r>
      <w:r w:rsidR="00EC1D80">
        <w:rPr>
          <w:rFonts w:ascii="Times New Roman" w:hAnsi="Times New Roman" w:cs="Times New Roman"/>
          <w:sz w:val="24"/>
          <w:szCs w:val="24"/>
        </w:rPr>
        <w:t>a</w:t>
      </w:r>
      <w:r w:rsidR="00D36175">
        <w:rPr>
          <w:rFonts w:ascii="Times New Roman" w:hAnsi="Times New Roman" w:cs="Times New Roman"/>
          <w:sz w:val="24"/>
          <w:szCs w:val="24"/>
        </w:rPr>
        <w:t>)</w:t>
      </w:r>
      <w:r w:rsidRPr="00E33CCB">
        <w:rPr>
          <w:rFonts w:ascii="Times New Roman" w:hAnsi="Times New Roman" w:cs="Times New Roman"/>
          <w:sz w:val="24"/>
          <w:szCs w:val="24"/>
        </w:rPr>
        <w:t xml:space="preserve">). Inpatient and outpatient distributions differed: inpatient claims had higher medians and wider spread, and inpatient length of stay was skewed, confirming that inpatient services are costlier and more variable, whereas outpatient services drive volume (Figure </w:t>
      </w:r>
      <w:r w:rsidR="00E059EF">
        <w:rPr>
          <w:rFonts w:ascii="Times New Roman" w:hAnsi="Times New Roman" w:cs="Times New Roman"/>
          <w:sz w:val="24"/>
          <w:szCs w:val="24"/>
        </w:rPr>
        <w:t>1</w:t>
      </w:r>
      <w:r w:rsidR="00D36175">
        <w:rPr>
          <w:rFonts w:ascii="Times New Roman" w:hAnsi="Times New Roman" w:cs="Times New Roman"/>
          <w:sz w:val="24"/>
          <w:szCs w:val="24"/>
        </w:rPr>
        <w:t>(</w:t>
      </w:r>
      <w:r w:rsidR="00EC1D80">
        <w:rPr>
          <w:rFonts w:ascii="Times New Roman" w:hAnsi="Times New Roman" w:cs="Times New Roman"/>
          <w:sz w:val="24"/>
          <w:szCs w:val="24"/>
        </w:rPr>
        <w:t>b</w:t>
      </w:r>
      <w:r w:rsidR="00D36175">
        <w:rPr>
          <w:rFonts w:ascii="Times New Roman" w:hAnsi="Times New Roman" w:cs="Times New Roman"/>
          <w:sz w:val="24"/>
          <w:szCs w:val="24"/>
        </w:rPr>
        <w:t>)</w:t>
      </w:r>
      <w:r w:rsidRPr="00E33CCB">
        <w:rPr>
          <w:rFonts w:ascii="Times New Roman" w:hAnsi="Times New Roman" w:cs="Times New Roman"/>
          <w:sz w:val="24"/>
          <w:szCs w:val="24"/>
        </w:rPr>
        <w:t xml:space="preserve">). We quantified high-cost extremity using interquartile-range and median absolute deviation rules, flagging but retaining a small set of potential outliers as possible fraud, abuse, or atypical cases. After cleaning, key variables such as reimbursed amounts and claim identifiers showed essentially no missingness. At the provider level, correlations and variance inflation factors (Figure </w:t>
      </w:r>
      <w:r w:rsidR="00E059EF">
        <w:rPr>
          <w:rFonts w:ascii="Times New Roman" w:hAnsi="Times New Roman" w:cs="Times New Roman"/>
          <w:sz w:val="24"/>
          <w:szCs w:val="24"/>
        </w:rPr>
        <w:t>2</w:t>
      </w:r>
      <w:r w:rsidRPr="00E33CCB">
        <w:rPr>
          <w:rFonts w:ascii="Times New Roman" w:hAnsi="Times New Roman" w:cs="Times New Roman"/>
          <w:sz w:val="24"/>
          <w:szCs w:val="24"/>
        </w:rPr>
        <w:t>) yielded a compact, interpretable feature set for subsequent unsupervised and supervised analyses.</w:t>
      </w:r>
    </w:p>
    <w:p w14:paraId="78431AF9" w14:textId="77777777" w:rsidR="00E33CCB" w:rsidRPr="00E33CCB" w:rsidRDefault="00E33CCB" w:rsidP="00F60ECE">
      <w:pPr>
        <w:spacing w:line="360" w:lineRule="auto"/>
        <w:rPr>
          <w:rFonts w:ascii="Times New Roman" w:hAnsi="Times New Roman" w:cs="Times New Roman"/>
          <w:sz w:val="24"/>
          <w:szCs w:val="24"/>
        </w:rPr>
      </w:pPr>
    </w:p>
    <w:p w14:paraId="250BB948" w14:textId="75FECB6C" w:rsidR="00475B94" w:rsidRDefault="00475B94" w:rsidP="00743021">
      <w:pPr>
        <w:spacing w:after="240" w:line="360" w:lineRule="auto"/>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lastRenderedPageBreak/>
        <w:drawing>
          <wp:inline distT="0" distB="0" distL="0" distR="0" wp14:anchorId="7DB9F5ED" wp14:editId="756D367E">
            <wp:extent cx="2582883" cy="1930814"/>
            <wp:effectExtent l="0" t="0" r="8255" b="0"/>
            <wp:docPr id="1172243241" name="Picture 1"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243241" name="Picture 1" descr="A collage of graph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95602" cy="1940322"/>
                    </a:xfrm>
                    <a:prstGeom prst="rect">
                      <a:avLst/>
                    </a:prstGeom>
                  </pic:spPr>
                </pic:pic>
              </a:graphicData>
            </a:graphic>
          </wp:inline>
        </w:drawing>
      </w:r>
      <w:r w:rsidR="00EC1D80" w:rsidRPr="00EC1D80">
        <w:rPr>
          <w:rFonts w:ascii="Times New Roman" w:eastAsia="Times New Roman" w:hAnsi="Times New Roman" w:cs="Times New Roman"/>
          <w:noProof/>
          <w:sz w:val="24"/>
          <w:szCs w:val="24"/>
          <w:lang w:val="en-US"/>
        </w:rPr>
        <w:t xml:space="preserve"> </w:t>
      </w:r>
      <w:r w:rsidR="00EC1D80">
        <w:rPr>
          <w:rFonts w:ascii="Times New Roman" w:eastAsia="Times New Roman" w:hAnsi="Times New Roman" w:cs="Times New Roman"/>
          <w:noProof/>
          <w:sz w:val="24"/>
          <w:szCs w:val="24"/>
          <w:lang w:val="en-US"/>
        </w:rPr>
        <w:drawing>
          <wp:inline distT="0" distB="0" distL="0" distR="0" wp14:anchorId="013B2998" wp14:editId="01338ADD">
            <wp:extent cx="3099460" cy="1924910"/>
            <wp:effectExtent l="0" t="0" r="5715" b="0"/>
            <wp:docPr id="30865956" name="Picture 2" descr="A collage of graphs and diagra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5956" name="Picture 2" descr="A collage of graphs and diagram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21780" cy="1938772"/>
                    </a:xfrm>
                    <a:prstGeom prst="rect">
                      <a:avLst/>
                    </a:prstGeom>
                  </pic:spPr>
                </pic:pic>
              </a:graphicData>
            </a:graphic>
          </wp:inline>
        </w:drawing>
      </w:r>
    </w:p>
    <w:p w14:paraId="3BC55277" w14:textId="222ECDE3" w:rsidR="00EC1D80" w:rsidRPr="00475B94" w:rsidRDefault="00EC1D80" w:rsidP="00EC1D80">
      <w:pPr>
        <w:spacing w:after="240" w:line="360" w:lineRule="auto"/>
        <w:rPr>
          <w:rFonts w:ascii="Times New Roman" w:eastAsia="Times New Roman" w:hAnsi="Times New Roman" w:cs="Times New Roman"/>
          <w:sz w:val="24"/>
          <w:szCs w:val="24"/>
          <w:lang w:val="en-US"/>
        </w:rPr>
      </w:pPr>
      <w:r w:rsidRPr="00EC1D80">
        <w:rPr>
          <w:rFonts w:ascii="Times New Roman" w:eastAsia="Times New Roman" w:hAnsi="Times New Roman" w:cs="Times New Roman"/>
          <w:b/>
          <w:bCs/>
          <w:sz w:val="24"/>
          <w:szCs w:val="24"/>
          <w:lang w:val="en-US"/>
        </w:rPr>
        <w:t xml:space="preserve">Figure </w:t>
      </w:r>
      <w:r w:rsidR="00E059EF">
        <w:rPr>
          <w:rFonts w:ascii="Times New Roman" w:eastAsia="Times New Roman" w:hAnsi="Times New Roman" w:cs="Times New Roman"/>
          <w:b/>
          <w:bCs/>
          <w:sz w:val="24"/>
          <w:szCs w:val="24"/>
          <w:lang w:val="en-US"/>
        </w:rPr>
        <w:t>1</w:t>
      </w:r>
      <w:r w:rsidRPr="00EC1D80">
        <w:rPr>
          <w:rFonts w:ascii="Times New Roman" w:eastAsia="Times New Roman" w:hAnsi="Times New Roman" w:cs="Times New Roman"/>
          <w:b/>
          <w:bCs/>
          <w:sz w:val="24"/>
          <w:szCs w:val="24"/>
          <w:lang w:val="en-US"/>
        </w:rPr>
        <w:t>.</w:t>
      </w:r>
      <w:r w:rsidRPr="00EC1D80">
        <w:rPr>
          <w:rFonts w:ascii="Times New Roman" w:eastAsia="Times New Roman" w:hAnsi="Times New Roman" w:cs="Times New Roman"/>
          <w:sz w:val="24"/>
          <w:szCs w:val="24"/>
          <w:lang w:val="en-US"/>
        </w:rPr>
        <w:t xml:space="preserve"> </w:t>
      </w:r>
      <w:r w:rsidRPr="0077337F">
        <w:rPr>
          <w:rFonts w:ascii="Times New Roman" w:eastAsia="Times New Roman" w:hAnsi="Times New Roman" w:cs="Times New Roman"/>
          <w:sz w:val="24"/>
          <w:szCs w:val="24"/>
          <w:lang w:val="en-US"/>
        </w:rPr>
        <w:t>Distribution and comparison of claim reimbursements.</w:t>
      </w:r>
      <w:r w:rsidRPr="00EC1D80">
        <w:rPr>
          <w:rFonts w:ascii="Times New Roman" w:eastAsia="Times New Roman" w:hAnsi="Times New Roman" w:cs="Times New Roman"/>
          <w:b/>
          <w:bCs/>
          <w:sz w:val="24"/>
          <w:szCs w:val="24"/>
          <w:lang w:val="en-US"/>
        </w:rPr>
        <w:t xml:space="preserve"> </w:t>
      </w:r>
      <w:r w:rsidRPr="00EC1D80">
        <w:rPr>
          <w:rFonts w:ascii="Times New Roman" w:eastAsia="Times New Roman" w:hAnsi="Times New Roman" w:cs="Times New Roman"/>
          <w:sz w:val="24"/>
          <w:szCs w:val="24"/>
          <w:lang w:val="en-US"/>
        </w:rPr>
        <w:t>(a) Histogram and density plots of reimbursed amounts for inpatient and outpatient claims, showing heavy right skew and a small number of very high-cost claims. (b) Boxplots of reimbursed amounts and, for inpatient claims, length of stay, highlighting distributional differences between claim types.</w:t>
      </w:r>
    </w:p>
    <w:p w14:paraId="1D0AB6EC" w14:textId="1E64D5F4" w:rsidR="00475B94" w:rsidRPr="00475B94" w:rsidRDefault="00475B94" w:rsidP="00F60ECE">
      <w:pPr>
        <w:spacing w:after="240" w:line="360" w:lineRule="auto"/>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14:anchorId="1D70C0EB" wp14:editId="7BE4523B">
            <wp:extent cx="3260035" cy="2715303"/>
            <wp:effectExtent l="0" t="0" r="0" b="8890"/>
            <wp:docPr id="2103121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211" name="Picture 3"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69053" cy="2722814"/>
                    </a:xfrm>
                    <a:prstGeom prst="rect">
                      <a:avLst/>
                    </a:prstGeom>
                  </pic:spPr>
                </pic:pic>
              </a:graphicData>
            </a:graphic>
          </wp:inline>
        </w:drawing>
      </w:r>
    </w:p>
    <w:p w14:paraId="1DD47E06" w14:textId="4550D259" w:rsidR="00666B08" w:rsidRDefault="00475B94" w:rsidP="00F60ECE">
      <w:pPr>
        <w:spacing w:after="240" w:line="360" w:lineRule="auto"/>
        <w:rPr>
          <w:rFonts w:ascii="Times New Roman" w:eastAsia="Times New Roman" w:hAnsi="Times New Roman" w:cs="Times New Roman"/>
          <w:sz w:val="24"/>
          <w:szCs w:val="24"/>
          <w:lang w:val="en-US"/>
        </w:rPr>
      </w:pPr>
      <w:r w:rsidRPr="00475B94">
        <w:rPr>
          <w:rFonts w:ascii="Times New Roman" w:eastAsia="Times New Roman" w:hAnsi="Times New Roman" w:cs="Times New Roman"/>
          <w:b/>
          <w:bCs/>
          <w:sz w:val="24"/>
          <w:szCs w:val="24"/>
          <w:lang w:val="en-US"/>
        </w:rPr>
        <w:t xml:space="preserve">Figure </w:t>
      </w:r>
      <w:r w:rsidR="00E059EF">
        <w:rPr>
          <w:rFonts w:ascii="Times New Roman" w:eastAsia="Times New Roman" w:hAnsi="Times New Roman" w:cs="Times New Roman"/>
          <w:b/>
          <w:bCs/>
          <w:sz w:val="24"/>
          <w:szCs w:val="24"/>
          <w:lang w:val="en-US"/>
        </w:rPr>
        <w:t>2</w:t>
      </w:r>
      <w:r w:rsidRPr="00475B94">
        <w:rPr>
          <w:rFonts w:ascii="Times New Roman" w:eastAsia="Times New Roman" w:hAnsi="Times New Roman" w:cs="Times New Roman"/>
          <w:b/>
          <w:bCs/>
          <w:sz w:val="24"/>
          <w:szCs w:val="24"/>
          <w:lang w:val="en-US"/>
        </w:rPr>
        <w:t xml:space="preserve">. </w:t>
      </w:r>
      <w:r w:rsidRPr="0077337F">
        <w:rPr>
          <w:rFonts w:ascii="Times New Roman" w:eastAsia="Times New Roman" w:hAnsi="Times New Roman" w:cs="Times New Roman"/>
          <w:sz w:val="24"/>
          <w:szCs w:val="24"/>
          <w:lang w:val="en-US"/>
        </w:rPr>
        <w:t>Correlation heatmap of provider-level features.</w:t>
      </w:r>
      <w:r w:rsidRPr="00475B94">
        <w:rPr>
          <w:rFonts w:ascii="Times New Roman" w:eastAsia="Times New Roman" w:hAnsi="Times New Roman" w:cs="Times New Roman"/>
          <w:sz w:val="24"/>
          <w:szCs w:val="24"/>
          <w:lang w:val="en-US"/>
        </w:rPr>
        <w:t xml:space="preserve"> Clustered Pearson correlation matrix for provider features, used to identify highly collinear variables and guide feature selection.</w:t>
      </w:r>
    </w:p>
    <w:p w14:paraId="4D09DE5E" w14:textId="0C4BEBE6" w:rsidR="004907CD" w:rsidRDefault="004907CD" w:rsidP="00F60ECE">
      <w:pPr>
        <w:spacing w:line="360" w:lineRule="auto"/>
        <w:rPr>
          <w:rFonts w:ascii="Times New Roman" w:eastAsia="Times New Roman" w:hAnsi="Times New Roman" w:cs="Times New Roman"/>
          <w:b/>
          <w:bCs/>
          <w:i/>
          <w:iCs/>
          <w:sz w:val="24"/>
          <w:szCs w:val="24"/>
        </w:rPr>
      </w:pPr>
      <w:r w:rsidRPr="004907CD">
        <w:rPr>
          <w:rFonts w:ascii="Times New Roman" w:eastAsia="Times New Roman" w:hAnsi="Times New Roman" w:cs="Times New Roman"/>
          <w:b/>
          <w:bCs/>
          <w:i/>
          <w:iCs/>
          <w:sz w:val="24"/>
          <w:szCs w:val="24"/>
        </w:rPr>
        <w:t>4.2 Unsupervised claim-level patterns among fraudulent claims</w:t>
      </w:r>
    </w:p>
    <w:p w14:paraId="1C0461E6" w14:textId="6EF264B5" w:rsidR="00E33CCB" w:rsidRDefault="00E33CCB" w:rsidP="00F60ECE">
      <w:pPr>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w:t>
      </w:r>
      <w:r w:rsidRPr="00E33CCB">
        <w:rPr>
          <w:rFonts w:ascii="Times New Roman" w:eastAsia="Times New Roman" w:hAnsi="Times New Roman" w:cs="Times New Roman"/>
          <w:sz w:val="24"/>
          <w:szCs w:val="24"/>
        </w:rPr>
        <w:t xml:space="preserve">o explore heterogeneity in fraudulent behavior, we restricted the claim-level data to providers labeled as fraudulent, yielding 22,640 inpatient and 8,408 outpatient claims. After standardizing amounts, counts, rule flags, and peer-normalized z-scores, we applied HDBSCAN separately to </w:t>
      </w:r>
      <w:r w:rsidRPr="00E33CCB">
        <w:rPr>
          <w:rFonts w:ascii="Times New Roman" w:eastAsia="Times New Roman" w:hAnsi="Times New Roman" w:cs="Times New Roman"/>
          <w:sz w:val="24"/>
          <w:szCs w:val="24"/>
        </w:rPr>
        <w:lastRenderedPageBreak/>
        <w:t xml:space="preserve">inpatient and outpatient subsets. For inpatient claims, HDBSCAN produced several clusters and a noise set; PCA (Figure </w:t>
      </w:r>
      <w:r w:rsidR="00E059EF">
        <w:rPr>
          <w:rFonts w:ascii="Times New Roman" w:eastAsia="Times New Roman" w:hAnsi="Times New Roman" w:cs="Times New Roman"/>
          <w:sz w:val="24"/>
          <w:szCs w:val="24"/>
        </w:rPr>
        <w:t>3</w:t>
      </w:r>
      <w:r w:rsidRPr="00E33CCB">
        <w:rPr>
          <w:rFonts w:ascii="Times New Roman" w:eastAsia="Times New Roman" w:hAnsi="Times New Roman" w:cs="Times New Roman"/>
          <w:sz w:val="24"/>
          <w:szCs w:val="24"/>
        </w:rPr>
        <w:t xml:space="preserve">) showed a dense band with a few distinct groups, and cluster summaries showed a mix of moderate claims and high-payment long stays with elevated reimbursement/length-of-stay z-scores and some overcharge flags. Outpatient claims showed clearer structure: HDBSCAN yielded multiple clusters, and PCA (Figure </w:t>
      </w:r>
      <w:r w:rsidR="00E059EF">
        <w:rPr>
          <w:rFonts w:ascii="Times New Roman" w:eastAsia="Times New Roman" w:hAnsi="Times New Roman" w:cs="Times New Roman"/>
          <w:sz w:val="24"/>
          <w:szCs w:val="24"/>
        </w:rPr>
        <w:t>4</w:t>
      </w:r>
      <w:r w:rsidRPr="00E33CCB">
        <w:rPr>
          <w:rFonts w:ascii="Times New Roman" w:eastAsia="Times New Roman" w:hAnsi="Times New Roman" w:cs="Times New Roman"/>
          <w:sz w:val="24"/>
          <w:szCs w:val="24"/>
        </w:rPr>
        <w:t>) showed a core and some high-payment groups. Most outpatient clusters contained low- to moderate-paid claims, with one or two capturing higher-paid claims with positive reimbursement z-scores and overcharge indicators. Association rule mining within clusters (Table 1) highlighted narrow diagnosis-code sets in outpatient clusters and characteristic diagnosis–procedure pairs in high-payment inpatient clusters, informing rule-based feature design.</w:t>
      </w:r>
    </w:p>
    <w:p w14:paraId="3A142D2A" w14:textId="3FCFA547" w:rsidR="004907CD" w:rsidRPr="004907CD" w:rsidRDefault="004907CD" w:rsidP="00F60ECE">
      <w:pPr>
        <w:spacing w:after="24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14:anchorId="269294FC" wp14:editId="65A54784">
            <wp:extent cx="2854251" cy="1821109"/>
            <wp:effectExtent l="0" t="0" r="3810" b="8255"/>
            <wp:docPr id="135546866"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6866" name="Picture 4" descr="A screen shot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54251" cy="1821109"/>
                    </a:xfrm>
                    <a:prstGeom prst="rect">
                      <a:avLst/>
                    </a:prstGeom>
                  </pic:spPr>
                </pic:pic>
              </a:graphicData>
            </a:graphic>
          </wp:inline>
        </w:drawing>
      </w:r>
      <w:r w:rsidR="00030CF4">
        <w:rPr>
          <w:rFonts w:ascii="Times New Roman" w:eastAsia="Times New Roman" w:hAnsi="Times New Roman" w:cs="Times New Roman"/>
          <w:noProof/>
          <w:sz w:val="24"/>
          <w:szCs w:val="24"/>
          <w:lang w:val="en-US"/>
        </w:rPr>
        <w:drawing>
          <wp:inline distT="0" distB="0" distL="0" distR="0" wp14:anchorId="6D2A79C3" wp14:editId="160C6AE3">
            <wp:extent cx="2794883" cy="1783231"/>
            <wp:effectExtent l="0" t="0" r="5715" b="7620"/>
            <wp:docPr id="339040142" name="Picture 5" descr="A graph showing a graph showing a number of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040142" name="Picture 5" descr="A graph showing a graph showing a number of point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18471" cy="1798281"/>
                    </a:xfrm>
                    <a:prstGeom prst="rect">
                      <a:avLst/>
                    </a:prstGeom>
                  </pic:spPr>
                </pic:pic>
              </a:graphicData>
            </a:graphic>
          </wp:inline>
        </w:drawing>
      </w:r>
    </w:p>
    <w:p w14:paraId="1941CB9F" w14:textId="118A40DC" w:rsidR="004907CD" w:rsidRDefault="00030CF4" w:rsidP="00F60ECE">
      <w:pPr>
        <w:spacing w:after="240" w:line="360" w:lineRule="auto"/>
        <w:rPr>
          <w:rFonts w:ascii="Times New Roman" w:eastAsia="Times New Roman" w:hAnsi="Times New Roman" w:cs="Times New Roman"/>
          <w:sz w:val="24"/>
          <w:szCs w:val="24"/>
          <w:lang w:val="en-US"/>
        </w:rPr>
      </w:pPr>
      <w:r w:rsidRPr="00030CF4">
        <w:rPr>
          <w:rFonts w:ascii="Times New Roman" w:eastAsia="Times New Roman" w:hAnsi="Times New Roman" w:cs="Times New Roman"/>
          <w:b/>
          <w:bCs/>
          <w:sz w:val="24"/>
          <w:szCs w:val="24"/>
        </w:rPr>
        <w:t xml:space="preserve">Figure </w:t>
      </w:r>
      <w:r w:rsidR="00E059EF">
        <w:rPr>
          <w:rFonts w:ascii="Times New Roman" w:eastAsia="Times New Roman" w:hAnsi="Times New Roman" w:cs="Times New Roman"/>
          <w:b/>
          <w:bCs/>
          <w:sz w:val="24"/>
          <w:szCs w:val="24"/>
        </w:rPr>
        <w:t>3</w:t>
      </w:r>
      <w:r w:rsidRPr="00030CF4">
        <w:rPr>
          <w:rFonts w:ascii="Times New Roman" w:eastAsia="Times New Roman" w:hAnsi="Times New Roman" w:cs="Times New Roman"/>
          <w:b/>
          <w:bCs/>
          <w:sz w:val="24"/>
          <w:szCs w:val="24"/>
        </w:rPr>
        <w:t>–</w:t>
      </w:r>
      <w:r w:rsidR="00E059EF">
        <w:rPr>
          <w:rFonts w:ascii="Times New Roman" w:eastAsia="Times New Roman" w:hAnsi="Times New Roman" w:cs="Times New Roman"/>
          <w:b/>
          <w:bCs/>
          <w:sz w:val="24"/>
          <w:szCs w:val="24"/>
        </w:rPr>
        <w:t>4</w:t>
      </w:r>
      <w:r w:rsidRPr="00030CF4">
        <w:rPr>
          <w:rFonts w:ascii="Times New Roman" w:eastAsia="Times New Roman" w:hAnsi="Times New Roman" w:cs="Times New Roman"/>
          <w:b/>
          <w:bCs/>
          <w:sz w:val="24"/>
          <w:szCs w:val="24"/>
        </w:rPr>
        <w:t xml:space="preserve">. </w:t>
      </w:r>
      <w:r w:rsidRPr="0077337F">
        <w:rPr>
          <w:rFonts w:ascii="Times New Roman" w:eastAsia="Times New Roman" w:hAnsi="Times New Roman" w:cs="Times New Roman"/>
          <w:sz w:val="24"/>
          <w:szCs w:val="24"/>
        </w:rPr>
        <w:t>HDBSCAN clusters of fraudulent inpatient (left) and outpatient (right) claims.</w:t>
      </w:r>
      <w:r w:rsidRPr="00030CF4">
        <w:rPr>
          <w:rFonts w:ascii="Times New Roman" w:eastAsia="Times New Roman" w:hAnsi="Times New Roman" w:cs="Times New Roman"/>
          <w:sz w:val="24"/>
          <w:szCs w:val="24"/>
        </w:rPr>
        <w:t xml:space="preserve"> Two-dimensional PCA projections of standardized fraud-only claims are shown, with points colored by HDBSCAN cluster labels and noise points displayed in grey.</w:t>
      </w:r>
    </w:p>
    <w:tbl>
      <w:tblPr>
        <w:tblStyle w:val="TableGridLight"/>
        <w:tblW w:w="9894" w:type="dxa"/>
        <w:tblLook w:val="04A0" w:firstRow="1" w:lastRow="0" w:firstColumn="1" w:lastColumn="0" w:noHBand="0" w:noVBand="1"/>
      </w:tblPr>
      <w:tblGrid>
        <w:gridCol w:w="1357"/>
        <w:gridCol w:w="1357"/>
        <w:gridCol w:w="1502"/>
        <w:gridCol w:w="1556"/>
        <w:gridCol w:w="1357"/>
        <w:gridCol w:w="1408"/>
        <w:gridCol w:w="1357"/>
      </w:tblGrid>
      <w:tr w:rsidR="00921C4E" w:rsidRPr="00921C4E" w14:paraId="0A2D3A5D" w14:textId="77777777" w:rsidTr="009E36B0">
        <w:trPr>
          <w:trHeight w:val="733"/>
        </w:trPr>
        <w:tc>
          <w:tcPr>
            <w:tcW w:w="1357" w:type="dxa"/>
            <w:vAlign w:val="center"/>
          </w:tcPr>
          <w:p w14:paraId="00A650C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Claim Type</w:t>
            </w:r>
          </w:p>
        </w:tc>
        <w:tc>
          <w:tcPr>
            <w:tcW w:w="1357" w:type="dxa"/>
            <w:vAlign w:val="center"/>
          </w:tcPr>
          <w:p w14:paraId="0776BFD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Cluster</w:t>
            </w:r>
          </w:p>
        </w:tc>
        <w:tc>
          <w:tcPr>
            <w:tcW w:w="1502" w:type="dxa"/>
            <w:vAlign w:val="center"/>
          </w:tcPr>
          <w:p w14:paraId="71AA35C7"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Antecedents Str</w:t>
            </w:r>
          </w:p>
        </w:tc>
        <w:tc>
          <w:tcPr>
            <w:tcW w:w="1556" w:type="dxa"/>
            <w:vAlign w:val="center"/>
          </w:tcPr>
          <w:p w14:paraId="29DE121C"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Consequents Str</w:t>
            </w:r>
          </w:p>
        </w:tc>
        <w:tc>
          <w:tcPr>
            <w:tcW w:w="1357" w:type="dxa"/>
            <w:vAlign w:val="center"/>
          </w:tcPr>
          <w:p w14:paraId="47699350"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Support</w:t>
            </w:r>
          </w:p>
        </w:tc>
        <w:tc>
          <w:tcPr>
            <w:tcW w:w="1408" w:type="dxa"/>
            <w:vAlign w:val="center"/>
          </w:tcPr>
          <w:p w14:paraId="3845476B"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Confidence</w:t>
            </w:r>
          </w:p>
        </w:tc>
        <w:tc>
          <w:tcPr>
            <w:tcW w:w="1357" w:type="dxa"/>
            <w:vAlign w:val="center"/>
          </w:tcPr>
          <w:p w14:paraId="54D1A82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Lift</w:t>
            </w:r>
          </w:p>
        </w:tc>
      </w:tr>
      <w:tr w:rsidR="00921C4E" w:rsidRPr="00921C4E" w14:paraId="7F6D1B5C" w14:textId="77777777" w:rsidTr="009E36B0">
        <w:trPr>
          <w:trHeight w:val="367"/>
        </w:trPr>
        <w:tc>
          <w:tcPr>
            <w:tcW w:w="1357" w:type="dxa"/>
            <w:vAlign w:val="center"/>
          </w:tcPr>
          <w:p w14:paraId="0424B2D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0EEEA127"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73A918F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280+285</w:t>
            </w:r>
          </w:p>
        </w:tc>
        <w:tc>
          <w:tcPr>
            <w:tcW w:w="1556" w:type="dxa"/>
            <w:vAlign w:val="center"/>
          </w:tcPr>
          <w:p w14:paraId="3930176C"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588</w:t>
            </w:r>
          </w:p>
        </w:tc>
        <w:tc>
          <w:tcPr>
            <w:tcW w:w="1357" w:type="dxa"/>
            <w:vAlign w:val="center"/>
          </w:tcPr>
          <w:p w14:paraId="04FF5398"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0.039</w:t>
            </w:r>
          </w:p>
        </w:tc>
        <w:tc>
          <w:tcPr>
            <w:tcW w:w="1408" w:type="dxa"/>
            <w:vAlign w:val="center"/>
          </w:tcPr>
          <w:p w14:paraId="52369B0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0.766</w:t>
            </w:r>
          </w:p>
        </w:tc>
        <w:tc>
          <w:tcPr>
            <w:tcW w:w="1357" w:type="dxa"/>
            <w:vAlign w:val="center"/>
          </w:tcPr>
          <w:p w14:paraId="13E626D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10.127</w:t>
            </w:r>
          </w:p>
        </w:tc>
      </w:tr>
      <w:tr w:rsidR="00921C4E" w:rsidRPr="00921C4E" w14:paraId="0A726175" w14:textId="77777777" w:rsidTr="009E36B0">
        <w:trPr>
          <w:trHeight w:val="367"/>
        </w:trPr>
        <w:tc>
          <w:tcPr>
            <w:tcW w:w="1357" w:type="dxa"/>
            <w:vAlign w:val="center"/>
          </w:tcPr>
          <w:p w14:paraId="17BF920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2B520F41"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061FFBF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285+588</w:t>
            </w:r>
          </w:p>
        </w:tc>
        <w:tc>
          <w:tcPr>
            <w:tcW w:w="1556" w:type="dxa"/>
            <w:vAlign w:val="center"/>
          </w:tcPr>
          <w:p w14:paraId="14130EC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280</w:t>
            </w:r>
          </w:p>
        </w:tc>
        <w:tc>
          <w:tcPr>
            <w:tcW w:w="1357" w:type="dxa"/>
            <w:vAlign w:val="center"/>
          </w:tcPr>
          <w:p w14:paraId="3A2A910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0.039</w:t>
            </w:r>
          </w:p>
        </w:tc>
        <w:tc>
          <w:tcPr>
            <w:tcW w:w="1408" w:type="dxa"/>
            <w:vAlign w:val="center"/>
          </w:tcPr>
          <w:p w14:paraId="0E0B98BC"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0.688</w:t>
            </w:r>
          </w:p>
        </w:tc>
        <w:tc>
          <w:tcPr>
            <w:tcW w:w="1357" w:type="dxa"/>
            <w:vAlign w:val="center"/>
          </w:tcPr>
          <w:p w14:paraId="6DEF252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9.462</w:t>
            </w:r>
          </w:p>
        </w:tc>
      </w:tr>
      <w:tr w:rsidR="00921C4E" w:rsidRPr="00921C4E" w14:paraId="265CFDBF" w14:textId="77777777" w:rsidTr="009E36B0">
        <w:trPr>
          <w:trHeight w:val="367"/>
        </w:trPr>
        <w:tc>
          <w:tcPr>
            <w:tcW w:w="1357" w:type="dxa"/>
            <w:vAlign w:val="center"/>
          </w:tcPr>
          <w:p w14:paraId="61116FD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IP</w:t>
            </w:r>
          </w:p>
        </w:tc>
        <w:tc>
          <w:tcPr>
            <w:tcW w:w="1357" w:type="dxa"/>
            <w:vAlign w:val="center"/>
          </w:tcPr>
          <w:p w14:paraId="74FC56A1"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18</w:t>
            </w:r>
          </w:p>
        </w:tc>
        <w:tc>
          <w:tcPr>
            <w:tcW w:w="1502" w:type="dxa"/>
            <w:vAlign w:val="center"/>
          </w:tcPr>
          <w:p w14:paraId="0F94624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995</w:t>
            </w:r>
          </w:p>
        </w:tc>
        <w:tc>
          <w:tcPr>
            <w:tcW w:w="1556" w:type="dxa"/>
            <w:vAlign w:val="center"/>
          </w:tcPr>
          <w:p w14:paraId="4A8B77D7"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38</w:t>
            </w:r>
          </w:p>
        </w:tc>
        <w:tc>
          <w:tcPr>
            <w:tcW w:w="1357" w:type="dxa"/>
            <w:vAlign w:val="center"/>
          </w:tcPr>
          <w:p w14:paraId="63814D78"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0.031</w:t>
            </w:r>
          </w:p>
        </w:tc>
        <w:tc>
          <w:tcPr>
            <w:tcW w:w="1408" w:type="dxa"/>
            <w:vAlign w:val="center"/>
          </w:tcPr>
          <w:p w14:paraId="7285D0A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0.645</w:t>
            </w:r>
          </w:p>
        </w:tc>
        <w:tc>
          <w:tcPr>
            <w:tcW w:w="1357" w:type="dxa"/>
            <w:vAlign w:val="center"/>
          </w:tcPr>
          <w:p w14:paraId="12A3861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8.896</w:t>
            </w:r>
          </w:p>
        </w:tc>
      </w:tr>
      <w:tr w:rsidR="00921C4E" w:rsidRPr="00921C4E" w14:paraId="5B64C18C" w14:textId="77777777" w:rsidTr="009E36B0">
        <w:trPr>
          <w:trHeight w:val="367"/>
        </w:trPr>
        <w:tc>
          <w:tcPr>
            <w:tcW w:w="1357" w:type="dxa"/>
            <w:vAlign w:val="center"/>
          </w:tcPr>
          <w:p w14:paraId="587F61D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29D9BD64"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21436CF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V56</w:t>
            </w:r>
          </w:p>
        </w:tc>
        <w:tc>
          <w:tcPr>
            <w:tcW w:w="1556" w:type="dxa"/>
            <w:vAlign w:val="center"/>
          </w:tcPr>
          <w:p w14:paraId="32B7E5B8"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588</w:t>
            </w:r>
          </w:p>
        </w:tc>
        <w:tc>
          <w:tcPr>
            <w:tcW w:w="1357" w:type="dxa"/>
            <w:vAlign w:val="center"/>
          </w:tcPr>
          <w:p w14:paraId="53F4A134"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0.024</w:t>
            </w:r>
          </w:p>
        </w:tc>
        <w:tc>
          <w:tcPr>
            <w:tcW w:w="1408" w:type="dxa"/>
            <w:vAlign w:val="center"/>
          </w:tcPr>
          <w:p w14:paraId="6AD92E2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0.637</w:t>
            </w:r>
          </w:p>
        </w:tc>
        <w:tc>
          <w:tcPr>
            <w:tcW w:w="1357" w:type="dxa"/>
            <w:vAlign w:val="center"/>
          </w:tcPr>
          <w:p w14:paraId="28CCFF24"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8.425</w:t>
            </w:r>
          </w:p>
        </w:tc>
      </w:tr>
      <w:tr w:rsidR="00921C4E" w:rsidRPr="00921C4E" w14:paraId="6A0A588E" w14:textId="77777777" w:rsidTr="009E36B0">
        <w:trPr>
          <w:trHeight w:val="367"/>
        </w:trPr>
        <w:tc>
          <w:tcPr>
            <w:tcW w:w="1357" w:type="dxa"/>
            <w:vAlign w:val="center"/>
          </w:tcPr>
          <w:p w14:paraId="4361FDE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2156BC9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178EE59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588</w:t>
            </w:r>
          </w:p>
        </w:tc>
        <w:tc>
          <w:tcPr>
            <w:tcW w:w="1556" w:type="dxa"/>
            <w:vAlign w:val="center"/>
          </w:tcPr>
          <w:p w14:paraId="600ADD25"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280</w:t>
            </w:r>
          </w:p>
        </w:tc>
        <w:tc>
          <w:tcPr>
            <w:tcW w:w="1357" w:type="dxa"/>
            <w:vAlign w:val="center"/>
          </w:tcPr>
          <w:p w14:paraId="1BD2C7FC"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0.046</w:t>
            </w:r>
          </w:p>
        </w:tc>
        <w:tc>
          <w:tcPr>
            <w:tcW w:w="1408" w:type="dxa"/>
            <w:vAlign w:val="center"/>
          </w:tcPr>
          <w:p w14:paraId="004EC57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0.612</w:t>
            </w:r>
          </w:p>
        </w:tc>
        <w:tc>
          <w:tcPr>
            <w:tcW w:w="1357" w:type="dxa"/>
            <w:vAlign w:val="center"/>
          </w:tcPr>
          <w:p w14:paraId="68FA6BE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8.412</w:t>
            </w:r>
          </w:p>
        </w:tc>
      </w:tr>
      <w:tr w:rsidR="00921C4E" w:rsidRPr="00921C4E" w14:paraId="13A840D2" w14:textId="77777777" w:rsidTr="009E36B0">
        <w:trPr>
          <w:trHeight w:val="367"/>
        </w:trPr>
        <w:tc>
          <w:tcPr>
            <w:tcW w:w="1357" w:type="dxa"/>
            <w:vAlign w:val="center"/>
          </w:tcPr>
          <w:p w14:paraId="29F42D6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177FB9B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1A056D44"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280</w:t>
            </w:r>
          </w:p>
        </w:tc>
        <w:tc>
          <w:tcPr>
            <w:tcW w:w="1556" w:type="dxa"/>
            <w:vAlign w:val="center"/>
          </w:tcPr>
          <w:p w14:paraId="5D3D88D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588</w:t>
            </w:r>
          </w:p>
        </w:tc>
        <w:tc>
          <w:tcPr>
            <w:tcW w:w="1357" w:type="dxa"/>
            <w:vAlign w:val="center"/>
          </w:tcPr>
          <w:p w14:paraId="1CB88B3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0.046</w:t>
            </w:r>
          </w:p>
        </w:tc>
        <w:tc>
          <w:tcPr>
            <w:tcW w:w="1408" w:type="dxa"/>
            <w:vAlign w:val="center"/>
          </w:tcPr>
          <w:p w14:paraId="6EC152E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0.636</w:t>
            </w:r>
          </w:p>
        </w:tc>
        <w:tc>
          <w:tcPr>
            <w:tcW w:w="1357" w:type="dxa"/>
            <w:vAlign w:val="center"/>
          </w:tcPr>
          <w:p w14:paraId="09977D22"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8.412</w:t>
            </w:r>
          </w:p>
        </w:tc>
      </w:tr>
      <w:tr w:rsidR="00921C4E" w:rsidRPr="00921C4E" w14:paraId="7B2A7D67" w14:textId="77777777" w:rsidTr="009E36B0">
        <w:trPr>
          <w:trHeight w:val="367"/>
        </w:trPr>
        <w:tc>
          <w:tcPr>
            <w:tcW w:w="1357" w:type="dxa"/>
            <w:vAlign w:val="center"/>
          </w:tcPr>
          <w:p w14:paraId="38CB65F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lastRenderedPageBreak/>
              <w:t>IP</w:t>
            </w:r>
          </w:p>
        </w:tc>
        <w:tc>
          <w:tcPr>
            <w:tcW w:w="1357" w:type="dxa"/>
            <w:vAlign w:val="center"/>
          </w:tcPr>
          <w:p w14:paraId="6E14B9D5"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14</w:t>
            </w:r>
          </w:p>
        </w:tc>
        <w:tc>
          <w:tcPr>
            <w:tcW w:w="1502" w:type="dxa"/>
            <w:vAlign w:val="center"/>
          </w:tcPr>
          <w:p w14:paraId="2C2A042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8154</w:t>
            </w:r>
          </w:p>
        </w:tc>
        <w:tc>
          <w:tcPr>
            <w:tcW w:w="1556" w:type="dxa"/>
            <w:vAlign w:val="center"/>
          </w:tcPr>
          <w:p w14:paraId="62EF56D0"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715</w:t>
            </w:r>
          </w:p>
        </w:tc>
        <w:tc>
          <w:tcPr>
            <w:tcW w:w="1357" w:type="dxa"/>
            <w:vAlign w:val="center"/>
          </w:tcPr>
          <w:p w14:paraId="12E25E4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0.031</w:t>
            </w:r>
          </w:p>
        </w:tc>
        <w:tc>
          <w:tcPr>
            <w:tcW w:w="1408" w:type="dxa"/>
            <w:vAlign w:val="center"/>
          </w:tcPr>
          <w:p w14:paraId="114889A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0.863</w:t>
            </w:r>
          </w:p>
        </w:tc>
        <w:tc>
          <w:tcPr>
            <w:tcW w:w="1357" w:type="dxa"/>
            <w:vAlign w:val="center"/>
          </w:tcPr>
          <w:p w14:paraId="26D6027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7.415</w:t>
            </w:r>
          </w:p>
        </w:tc>
      </w:tr>
      <w:tr w:rsidR="00921C4E" w:rsidRPr="00921C4E" w14:paraId="33BA9682" w14:textId="77777777" w:rsidTr="009E36B0">
        <w:trPr>
          <w:trHeight w:val="367"/>
        </w:trPr>
        <w:tc>
          <w:tcPr>
            <w:tcW w:w="1357" w:type="dxa"/>
            <w:vAlign w:val="center"/>
          </w:tcPr>
          <w:p w14:paraId="2819CC42"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IP</w:t>
            </w:r>
          </w:p>
        </w:tc>
        <w:tc>
          <w:tcPr>
            <w:tcW w:w="1357" w:type="dxa"/>
            <w:vAlign w:val="center"/>
          </w:tcPr>
          <w:p w14:paraId="00BDD2ED"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13</w:t>
            </w:r>
          </w:p>
        </w:tc>
        <w:tc>
          <w:tcPr>
            <w:tcW w:w="1502" w:type="dxa"/>
            <w:vAlign w:val="center"/>
          </w:tcPr>
          <w:p w14:paraId="0D518480"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7935</w:t>
            </w:r>
          </w:p>
        </w:tc>
        <w:tc>
          <w:tcPr>
            <w:tcW w:w="1556" w:type="dxa"/>
            <w:vAlign w:val="center"/>
          </w:tcPr>
          <w:p w14:paraId="0B54D10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820</w:t>
            </w:r>
          </w:p>
        </w:tc>
        <w:tc>
          <w:tcPr>
            <w:tcW w:w="1357" w:type="dxa"/>
            <w:vAlign w:val="center"/>
          </w:tcPr>
          <w:p w14:paraId="4FE3FD87"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0.051</w:t>
            </w:r>
          </w:p>
        </w:tc>
        <w:tc>
          <w:tcPr>
            <w:tcW w:w="1408" w:type="dxa"/>
            <w:vAlign w:val="center"/>
          </w:tcPr>
          <w:p w14:paraId="78820F8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0.865</w:t>
            </w:r>
          </w:p>
        </w:tc>
        <w:tc>
          <w:tcPr>
            <w:tcW w:w="1357" w:type="dxa"/>
            <w:vAlign w:val="center"/>
          </w:tcPr>
          <w:p w14:paraId="309A8A5B"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7.398</w:t>
            </w:r>
          </w:p>
        </w:tc>
      </w:tr>
    </w:tbl>
    <w:p w14:paraId="618D8F6F" w14:textId="640E6AD0" w:rsidR="00A41183" w:rsidRPr="00D87CE6" w:rsidRDefault="004907CD" w:rsidP="00E059EF">
      <w:pPr>
        <w:spacing w:before="100" w:beforeAutospacing="1" w:after="240" w:line="360" w:lineRule="auto"/>
        <w:rPr>
          <w:rFonts w:ascii="Times New Roman" w:eastAsia="Times New Roman" w:hAnsi="Times New Roman" w:cs="Times New Roman"/>
          <w:sz w:val="24"/>
          <w:szCs w:val="24"/>
          <w:lang w:val="en-US"/>
        </w:rPr>
      </w:pPr>
      <w:r w:rsidRPr="004907CD">
        <w:rPr>
          <w:rFonts w:ascii="Times New Roman" w:eastAsia="Times New Roman" w:hAnsi="Times New Roman" w:cs="Times New Roman"/>
          <w:b/>
          <w:bCs/>
          <w:sz w:val="24"/>
          <w:szCs w:val="24"/>
          <w:lang w:val="en-US"/>
        </w:rPr>
        <w:t xml:space="preserve">Table 1. </w:t>
      </w:r>
      <w:r w:rsidRPr="0077337F">
        <w:rPr>
          <w:rFonts w:ascii="Times New Roman" w:eastAsia="Times New Roman" w:hAnsi="Times New Roman" w:cs="Times New Roman"/>
          <w:sz w:val="24"/>
          <w:szCs w:val="24"/>
          <w:lang w:val="en-US"/>
        </w:rPr>
        <w:t>Example diagnosis/procedure code patterns within claim clusters.</w:t>
      </w:r>
      <w:r w:rsidRPr="004907CD">
        <w:rPr>
          <w:rFonts w:ascii="Times New Roman" w:eastAsia="Times New Roman" w:hAnsi="Times New Roman" w:cs="Times New Roman"/>
          <w:sz w:val="24"/>
          <w:szCs w:val="24"/>
          <w:lang w:val="en-US"/>
        </w:rPr>
        <w:t xml:space="preserve"> Representative association rules for selected inpatient and outpatient HDBSCAN clusters, showing antecedent code sets, consequent codes, support, confidence, and lift, and illustrating recurring code combinations that are concentrated within specific fraud-only clusters.</w:t>
      </w:r>
    </w:p>
    <w:p w14:paraId="2D6D7843" w14:textId="15EA88C4" w:rsidR="00A5133A" w:rsidRPr="00A5133A" w:rsidRDefault="00A5133A" w:rsidP="00F60ECE">
      <w:pPr>
        <w:spacing w:line="360" w:lineRule="auto"/>
        <w:rPr>
          <w:rFonts w:ascii="Times New Roman" w:eastAsia="Times New Roman" w:hAnsi="Times New Roman" w:cs="Times New Roman"/>
          <w:b/>
          <w:bCs/>
          <w:i/>
          <w:iCs/>
          <w:sz w:val="24"/>
          <w:szCs w:val="24"/>
          <w:lang w:val="en-US"/>
        </w:rPr>
      </w:pPr>
      <w:r w:rsidRPr="00A5133A">
        <w:rPr>
          <w:rFonts w:ascii="Times New Roman" w:eastAsia="Times New Roman" w:hAnsi="Times New Roman" w:cs="Times New Roman"/>
          <w:b/>
          <w:bCs/>
          <w:i/>
          <w:iCs/>
          <w:sz w:val="24"/>
          <w:szCs w:val="24"/>
          <w:lang w:val="en-US"/>
        </w:rPr>
        <w:t>4.3 Provider-level fraud classification performance</w:t>
      </w:r>
    </w:p>
    <w:p w14:paraId="1910F19B" w14:textId="3DF85A57" w:rsidR="00D87CE6" w:rsidRDefault="00E33CCB" w:rsidP="00F60ECE">
      <w:pPr>
        <w:spacing w:after="240" w:line="360" w:lineRule="auto"/>
        <w:rPr>
          <w:rFonts w:ascii="Times New Roman" w:eastAsia="Times New Roman" w:hAnsi="Times New Roman" w:cs="Times New Roman"/>
          <w:sz w:val="24"/>
          <w:szCs w:val="24"/>
          <w:lang w:val="en-US"/>
        </w:rPr>
      </w:pPr>
      <w:r w:rsidRPr="00E33CCB">
        <w:rPr>
          <w:rFonts w:ascii="Times New Roman" w:eastAsia="Times New Roman" w:hAnsi="Times New Roman" w:cs="Times New Roman"/>
          <w:sz w:val="24"/>
          <w:szCs w:val="24"/>
        </w:rPr>
        <w:t xml:space="preserve">We evaluated supervised models for predicting provider fraud status using provider-level features. On the 30% hold-out subset of labeled providers, all models achieved ROC-AUC (≈0.93–0.94), indicating good discrimination; performance metrics are reported in Table 2. Logistic regression with elastic-net regularization and class-balanced weighting performed best, with PR-AUC ≈0.71, ROC-AUC ≈0.93, and, after threshold tuning, precision ≈0.74, recall ≈0.56, and F1 ≈0.65. Tree-based models (Random Forests, gradient boosting methods, CatBoost) achieved similar ROC-AUC but weaker PR-AUC or precision–recall trade-offs and did not surpass the interpretable linear model. Logistic regression fraud risk scores (Figure </w:t>
      </w:r>
      <w:r w:rsidR="00E059EF">
        <w:rPr>
          <w:rFonts w:ascii="Times New Roman" w:eastAsia="Times New Roman" w:hAnsi="Times New Roman" w:cs="Times New Roman"/>
          <w:sz w:val="24"/>
          <w:szCs w:val="24"/>
        </w:rPr>
        <w:t>5</w:t>
      </w:r>
      <w:r w:rsidRPr="00E33CCB">
        <w:rPr>
          <w:rFonts w:ascii="Times New Roman" w:eastAsia="Times New Roman" w:hAnsi="Times New Roman" w:cs="Times New Roman"/>
          <w:sz w:val="24"/>
          <w:szCs w:val="24"/>
        </w:rPr>
        <w:t>) placed most non-fraudulent providers near zero and fraudulent providers at higher values; the chosen threshold isolated a high-risk subset with elevated reimbursement, claim volumes, peer-normalized z-scores, and duplicate or overcharge flags. These scores were then applied to unlabeled test providers and used to define the high-risk provider universe for clustering in Section 4.4.</w:t>
      </w:r>
    </w:p>
    <w:tbl>
      <w:tblPr>
        <w:tblStyle w:val="TableGrid"/>
        <w:tblW w:w="0" w:type="auto"/>
        <w:jc w:val="center"/>
        <w:tblLayout w:type="fixed"/>
        <w:tblLook w:val="04A0" w:firstRow="1" w:lastRow="0" w:firstColumn="1" w:lastColumn="0" w:noHBand="0" w:noVBand="1"/>
      </w:tblPr>
      <w:tblGrid>
        <w:gridCol w:w="1705"/>
        <w:gridCol w:w="1260"/>
        <w:gridCol w:w="1260"/>
        <w:gridCol w:w="908"/>
        <w:gridCol w:w="892"/>
        <w:gridCol w:w="1170"/>
        <w:gridCol w:w="1260"/>
      </w:tblGrid>
      <w:tr w:rsidR="00895AAA" w:rsidRPr="00BB7564" w14:paraId="348513A6" w14:textId="77777777" w:rsidTr="00030CF4">
        <w:trPr>
          <w:trHeight w:val="520"/>
          <w:jc w:val="center"/>
        </w:trPr>
        <w:tc>
          <w:tcPr>
            <w:tcW w:w="1705" w:type="dxa"/>
            <w:vAlign w:val="center"/>
          </w:tcPr>
          <w:p w14:paraId="69E9A465" w14:textId="77777777" w:rsidR="00895AAA" w:rsidRPr="00BB7564" w:rsidRDefault="00895AAA" w:rsidP="00F60ECE">
            <w:pPr>
              <w:spacing w:after="240"/>
              <w:jc w:val="center"/>
              <w:rPr>
                <w:b/>
                <w:bCs/>
              </w:rPr>
            </w:pPr>
            <w:r>
              <w:rPr>
                <w:b/>
                <w:bCs/>
              </w:rPr>
              <w:t>M</w:t>
            </w:r>
            <w:r w:rsidRPr="00BB7564">
              <w:rPr>
                <w:b/>
                <w:bCs/>
              </w:rPr>
              <w:t>odel</w:t>
            </w:r>
          </w:p>
        </w:tc>
        <w:tc>
          <w:tcPr>
            <w:tcW w:w="1260" w:type="dxa"/>
            <w:vAlign w:val="center"/>
          </w:tcPr>
          <w:p w14:paraId="4354A7D5" w14:textId="77777777" w:rsidR="00895AAA" w:rsidRPr="00BB7564" w:rsidRDefault="00895AAA" w:rsidP="00F60ECE">
            <w:pPr>
              <w:spacing w:after="240"/>
              <w:jc w:val="center"/>
              <w:rPr>
                <w:b/>
                <w:bCs/>
              </w:rPr>
            </w:pPr>
            <w:r>
              <w:rPr>
                <w:b/>
                <w:bCs/>
              </w:rPr>
              <w:t>A</w:t>
            </w:r>
            <w:r w:rsidRPr="00BB7564">
              <w:rPr>
                <w:b/>
                <w:bCs/>
              </w:rPr>
              <w:t>ccuracy</w:t>
            </w:r>
          </w:p>
        </w:tc>
        <w:tc>
          <w:tcPr>
            <w:tcW w:w="1260" w:type="dxa"/>
            <w:vAlign w:val="center"/>
          </w:tcPr>
          <w:p w14:paraId="21B77ADC" w14:textId="77777777" w:rsidR="00895AAA" w:rsidRPr="00BB7564" w:rsidRDefault="00895AAA" w:rsidP="00F60ECE">
            <w:pPr>
              <w:spacing w:after="240"/>
              <w:jc w:val="center"/>
              <w:rPr>
                <w:b/>
                <w:bCs/>
              </w:rPr>
            </w:pPr>
            <w:r>
              <w:rPr>
                <w:b/>
                <w:bCs/>
              </w:rPr>
              <w:t>P</w:t>
            </w:r>
            <w:r w:rsidRPr="00BB7564">
              <w:rPr>
                <w:b/>
                <w:bCs/>
              </w:rPr>
              <w:t>recision</w:t>
            </w:r>
          </w:p>
        </w:tc>
        <w:tc>
          <w:tcPr>
            <w:tcW w:w="908" w:type="dxa"/>
            <w:vAlign w:val="center"/>
          </w:tcPr>
          <w:p w14:paraId="16F113A7" w14:textId="77777777" w:rsidR="00895AAA" w:rsidRPr="00BB7564" w:rsidRDefault="00895AAA" w:rsidP="00F60ECE">
            <w:pPr>
              <w:spacing w:after="240"/>
              <w:jc w:val="center"/>
              <w:rPr>
                <w:b/>
                <w:bCs/>
              </w:rPr>
            </w:pPr>
            <w:r>
              <w:rPr>
                <w:b/>
                <w:bCs/>
              </w:rPr>
              <w:t>R</w:t>
            </w:r>
            <w:r w:rsidRPr="00BB7564">
              <w:rPr>
                <w:b/>
                <w:bCs/>
              </w:rPr>
              <w:t>ecall</w:t>
            </w:r>
          </w:p>
        </w:tc>
        <w:tc>
          <w:tcPr>
            <w:tcW w:w="892" w:type="dxa"/>
            <w:vAlign w:val="center"/>
          </w:tcPr>
          <w:p w14:paraId="398BBD51" w14:textId="77777777" w:rsidR="00895AAA" w:rsidRPr="00BB7564" w:rsidRDefault="00895AAA" w:rsidP="00F60ECE">
            <w:pPr>
              <w:spacing w:after="240"/>
              <w:jc w:val="center"/>
              <w:rPr>
                <w:b/>
                <w:bCs/>
              </w:rPr>
            </w:pPr>
            <w:r>
              <w:rPr>
                <w:b/>
                <w:bCs/>
              </w:rPr>
              <w:t>F1</w:t>
            </w:r>
          </w:p>
        </w:tc>
        <w:tc>
          <w:tcPr>
            <w:tcW w:w="1170" w:type="dxa"/>
            <w:vAlign w:val="center"/>
          </w:tcPr>
          <w:p w14:paraId="40EAA97D" w14:textId="77777777" w:rsidR="00895AAA" w:rsidRPr="00BB7564" w:rsidRDefault="00895AAA" w:rsidP="00F60ECE">
            <w:pPr>
              <w:spacing w:after="240"/>
              <w:jc w:val="center"/>
              <w:rPr>
                <w:b/>
                <w:bCs/>
              </w:rPr>
            </w:pPr>
            <w:r>
              <w:rPr>
                <w:b/>
                <w:bCs/>
              </w:rPr>
              <w:t>PR</w:t>
            </w:r>
            <w:r w:rsidRPr="00BB7564">
              <w:rPr>
                <w:b/>
                <w:bCs/>
              </w:rPr>
              <w:t>_</w:t>
            </w:r>
            <w:r>
              <w:rPr>
                <w:b/>
                <w:bCs/>
              </w:rPr>
              <w:t>AUC</w:t>
            </w:r>
          </w:p>
        </w:tc>
        <w:tc>
          <w:tcPr>
            <w:tcW w:w="1260" w:type="dxa"/>
            <w:vAlign w:val="center"/>
          </w:tcPr>
          <w:p w14:paraId="0574EAD1" w14:textId="77777777" w:rsidR="00895AAA" w:rsidRPr="00BB7564" w:rsidRDefault="00895AAA" w:rsidP="00F60ECE">
            <w:pPr>
              <w:spacing w:after="240"/>
              <w:jc w:val="center"/>
              <w:rPr>
                <w:b/>
                <w:bCs/>
              </w:rPr>
            </w:pPr>
            <w:r>
              <w:rPr>
                <w:b/>
                <w:bCs/>
              </w:rPr>
              <w:t>ROC</w:t>
            </w:r>
            <w:r w:rsidRPr="00BB7564">
              <w:rPr>
                <w:b/>
                <w:bCs/>
              </w:rPr>
              <w:t>_</w:t>
            </w:r>
            <w:r>
              <w:rPr>
                <w:b/>
                <w:bCs/>
              </w:rPr>
              <w:t>AUC</w:t>
            </w:r>
          </w:p>
        </w:tc>
      </w:tr>
      <w:tr w:rsidR="00895AAA" w14:paraId="7D0D3559" w14:textId="77777777" w:rsidTr="00030CF4">
        <w:trPr>
          <w:trHeight w:val="260"/>
          <w:jc w:val="center"/>
        </w:trPr>
        <w:tc>
          <w:tcPr>
            <w:tcW w:w="1705" w:type="dxa"/>
            <w:vAlign w:val="center"/>
          </w:tcPr>
          <w:p w14:paraId="704F9527" w14:textId="77777777" w:rsidR="00895AAA" w:rsidRDefault="00895AAA" w:rsidP="00F60ECE">
            <w:pPr>
              <w:spacing w:after="240"/>
              <w:jc w:val="center"/>
            </w:pPr>
            <w:proofErr w:type="spellStart"/>
            <w:r>
              <w:t>LogReg</w:t>
            </w:r>
            <w:proofErr w:type="spellEnd"/>
          </w:p>
        </w:tc>
        <w:tc>
          <w:tcPr>
            <w:tcW w:w="1260" w:type="dxa"/>
            <w:vAlign w:val="center"/>
          </w:tcPr>
          <w:p w14:paraId="3819EECE" w14:textId="77777777" w:rsidR="00895AAA" w:rsidRDefault="00895AAA" w:rsidP="00F60ECE">
            <w:pPr>
              <w:spacing w:after="240"/>
              <w:jc w:val="center"/>
            </w:pPr>
            <w:r>
              <w:t>0.93</w:t>
            </w:r>
          </w:p>
        </w:tc>
        <w:tc>
          <w:tcPr>
            <w:tcW w:w="1260" w:type="dxa"/>
            <w:vAlign w:val="center"/>
          </w:tcPr>
          <w:p w14:paraId="55EB3591" w14:textId="77777777" w:rsidR="00895AAA" w:rsidRDefault="00895AAA" w:rsidP="00F60ECE">
            <w:pPr>
              <w:spacing w:after="240"/>
              <w:jc w:val="center"/>
            </w:pPr>
            <w:r>
              <w:t>0.59</w:t>
            </w:r>
          </w:p>
        </w:tc>
        <w:tc>
          <w:tcPr>
            <w:tcW w:w="908" w:type="dxa"/>
            <w:vAlign w:val="center"/>
          </w:tcPr>
          <w:p w14:paraId="3B72E89F" w14:textId="77777777" w:rsidR="00895AAA" w:rsidRDefault="00895AAA" w:rsidP="00F60ECE">
            <w:pPr>
              <w:spacing w:after="240"/>
              <w:jc w:val="center"/>
            </w:pPr>
            <w:r>
              <w:t>0.74</w:t>
            </w:r>
          </w:p>
        </w:tc>
        <w:tc>
          <w:tcPr>
            <w:tcW w:w="892" w:type="dxa"/>
            <w:vAlign w:val="center"/>
          </w:tcPr>
          <w:p w14:paraId="4252F9A6" w14:textId="77777777" w:rsidR="00895AAA" w:rsidRDefault="00895AAA" w:rsidP="00F60ECE">
            <w:pPr>
              <w:spacing w:after="240"/>
              <w:jc w:val="center"/>
            </w:pPr>
            <w:r>
              <w:t>0.66</w:t>
            </w:r>
          </w:p>
        </w:tc>
        <w:tc>
          <w:tcPr>
            <w:tcW w:w="1170" w:type="dxa"/>
            <w:vAlign w:val="center"/>
          </w:tcPr>
          <w:p w14:paraId="04401FA3" w14:textId="77777777" w:rsidR="00895AAA" w:rsidRDefault="00895AAA" w:rsidP="00F60ECE">
            <w:pPr>
              <w:spacing w:after="240"/>
              <w:jc w:val="center"/>
            </w:pPr>
            <w:r>
              <w:t>0.73</w:t>
            </w:r>
          </w:p>
        </w:tc>
        <w:tc>
          <w:tcPr>
            <w:tcW w:w="1260" w:type="dxa"/>
            <w:vAlign w:val="center"/>
          </w:tcPr>
          <w:p w14:paraId="2B0A6AE3" w14:textId="77777777" w:rsidR="00895AAA" w:rsidRDefault="00895AAA" w:rsidP="00F60ECE">
            <w:pPr>
              <w:spacing w:after="240"/>
              <w:jc w:val="center"/>
            </w:pPr>
            <w:r>
              <w:t>0.94</w:t>
            </w:r>
          </w:p>
        </w:tc>
      </w:tr>
      <w:tr w:rsidR="00895AAA" w14:paraId="7C639901" w14:textId="77777777" w:rsidTr="00030CF4">
        <w:trPr>
          <w:trHeight w:val="525"/>
          <w:jc w:val="center"/>
        </w:trPr>
        <w:tc>
          <w:tcPr>
            <w:tcW w:w="1705" w:type="dxa"/>
            <w:vAlign w:val="center"/>
          </w:tcPr>
          <w:p w14:paraId="7EC48985" w14:textId="77777777" w:rsidR="00895AAA" w:rsidRDefault="00895AAA" w:rsidP="00F60ECE">
            <w:pPr>
              <w:spacing w:after="240"/>
              <w:jc w:val="center"/>
            </w:pPr>
            <w:proofErr w:type="spellStart"/>
            <w:r>
              <w:t>ExtraTrees</w:t>
            </w:r>
            <w:proofErr w:type="spellEnd"/>
          </w:p>
        </w:tc>
        <w:tc>
          <w:tcPr>
            <w:tcW w:w="1260" w:type="dxa"/>
            <w:vAlign w:val="center"/>
          </w:tcPr>
          <w:p w14:paraId="54DCACA0" w14:textId="77777777" w:rsidR="00895AAA" w:rsidRDefault="00895AAA" w:rsidP="00F60ECE">
            <w:pPr>
              <w:spacing w:after="240"/>
              <w:jc w:val="center"/>
            </w:pPr>
            <w:r>
              <w:t>0.91</w:t>
            </w:r>
          </w:p>
        </w:tc>
        <w:tc>
          <w:tcPr>
            <w:tcW w:w="1260" w:type="dxa"/>
            <w:vAlign w:val="center"/>
          </w:tcPr>
          <w:p w14:paraId="30D752F6" w14:textId="77777777" w:rsidR="00895AAA" w:rsidRDefault="00895AAA" w:rsidP="00F60ECE">
            <w:pPr>
              <w:spacing w:after="240"/>
              <w:jc w:val="center"/>
            </w:pPr>
            <w:r>
              <w:t>0.53</w:t>
            </w:r>
          </w:p>
        </w:tc>
        <w:tc>
          <w:tcPr>
            <w:tcW w:w="908" w:type="dxa"/>
            <w:vAlign w:val="center"/>
          </w:tcPr>
          <w:p w14:paraId="4F96833B" w14:textId="77777777" w:rsidR="00895AAA" w:rsidRDefault="00895AAA" w:rsidP="00F60ECE">
            <w:pPr>
              <w:spacing w:after="240"/>
              <w:jc w:val="center"/>
            </w:pPr>
            <w:r>
              <w:t>0.74</w:t>
            </w:r>
          </w:p>
        </w:tc>
        <w:tc>
          <w:tcPr>
            <w:tcW w:w="892" w:type="dxa"/>
            <w:vAlign w:val="center"/>
          </w:tcPr>
          <w:p w14:paraId="5C353C6F" w14:textId="77777777" w:rsidR="00895AAA" w:rsidRDefault="00895AAA" w:rsidP="00F60ECE">
            <w:pPr>
              <w:spacing w:after="240"/>
              <w:jc w:val="center"/>
            </w:pPr>
            <w:r>
              <w:t>0.61</w:t>
            </w:r>
          </w:p>
        </w:tc>
        <w:tc>
          <w:tcPr>
            <w:tcW w:w="1170" w:type="dxa"/>
            <w:vAlign w:val="center"/>
          </w:tcPr>
          <w:p w14:paraId="015C4B8A" w14:textId="77777777" w:rsidR="00895AAA" w:rsidRDefault="00895AAA" w:rsidP="00F60ECE">
            <w:pPr>
              <w:spacing w:after="240"/>
              <w:jc w:val="center"/>
            </w:pPr>
            <w:r>
              <w:t>0.70</w:t>
            </w:r>
          </w:p>
        </w:tc>
        <w:tc>
          <w:tcPr>
            <w:tcW w:w="1260" w:type="dxa"/>
            <w:vAlign w:val="center"/>
          </w:tcPr>
          <w:p w14:paraId="4CCA9F1C" w14:textId="77777777" w:rsidR="00895AAA" w:rsidRDefault="00895AAA" w:rsidP="00F60ECE">
            <w:pPr>
              <w:spacing w:after="240"/>
              <w:jc w:val="center"/>
            </w:pPr>
            <w:r>
              <w:t>0.93</w:t>
            </w:r>
          </w:p>
        </w:tc>
      </w:tr>
      <w:tr w:rsidR="00895AAA" w14:paraId="453B654A" w14:textId="77777777" w:rsidTr="00030CF4">
        <w:trPr>
          <w:trHeight w:val="260"/>
          <w:jc w:val="center"/>
        </w:trPr>
        <w:tc>
          <w:tcPr>
            <w:tcW w:w="1705" w:type="dxa"/>
            <w:vAlign w:val="center"/>
          </w:tcPr>
          <w:p w14:paraId="13F1C6CF" w14:textId="77777777" w:rsidR="00895AAA" w:rsidRDefault="00895AAA" w:rsidP="00F60ECE">
            <w:pPr>
              <w:spacing w:after="240"/>
              <w:jc w:val="center"/>
            </w:pPr>
            <w:r>
              <w:t>CatBoost</w:t>
            </w:r>
          </w:p>
        </w:tc>
        <w:tc>
          <w:tcPr>
            <w:tcW w:w="1260" w:type="dxa"/>
            <w:vAlign w:val="center"/>
          </w:tcPr>
          <w:p w14:paraId="3D64A806" w14:textId="77777777" w:rsidR="00895AAA" w:rsidRDefault="00895AAA" w:rsidP="00F60ECE">
            <w:pPr>
              <w:spacing w:after="240"/>
              <w:jc w:val="center"/>
            </w:pPr>
            <w:r>
              <w:t>0.92</w:t>
            </w:r>
          </w:p>
        </w:tc>
        <w:tc>
          <w:tcPr>
            <w:tcW w:w="1260" w:type="dxa"/>
            <w:vAlign w:val="center"/>
          </w:tcPr>
          <w:p w14:paraId="598ECA31" w14:textId="77777777" w:rsidR="00895AAA" w:rsidRDefault="00895AAA" w:rsidP="00F60ECE">
            <w:pPr>
              <w:spacing w:after="240"/>
              <w:jc w:val="center"/>
            </w:pPr>
            <w:r>
              <w:t>0.57</w:t>
            </w:r>
          </w:p>
        </w:tc>
        <w:tc>
          <w:tcPr>
            <w:tcW w:w="908" w:type="dxa"/>
            <w:vAlign w:val="center"/>
          </w:tcPr>
          <w:p w14:paraId="55EF95BD" w14:textId="77777777" w:rsidR="00895AAA" w:rsidRDefault="00895AAA" w:rsidP="00F60ECE">
            <w:pPr>
              <w:spacing w:after="240"/>
              <w:jc w:val="center"/>
            </w:pPr>
            <w:r>
              <w:t>0.64</w:t>
            </w:r>
          </w:p>
        </w:tc>
        <w:tc>
          <w:tcPr>
            <w:tcW w:w="892" w:type="dxa"/>
            <w:vAlign w:val="center"/>
          </w:tcPr>
          <w:p w14:paraId="635048A1" w14:textId="77777777" w:rsidR="00895AAA" w:rsidRDefault="00895AAA" w:rsidP="00F60ECE">
            <w:pPr>
              <w:spacing w:after="240"/>
              <w:jc w:val="center"/>
            </w:pPr>
            <w:r>
              <w:t>0.60</w:t>
            </w:r>
          </w:p>
        </w:tc>
        <w:tc>
          <w:tcPr>
            <w:tcW w:w="1170" w:type="dxa"/>
            <w:vAlign w:val="center"/>
          </w:tcPr>
          <w:p w14:paraId="19FF2195" w14:textId="77777777" w:rsidR="00895AAA" w:rsidRDefault="00895AAA" w:rsidP="00F60ECE">
            <w:pPr>
              <w:spacing w:after="240"/>
              <w:jc w:val="center"/>
            </w:pPr>
            <w:r>
              <w:t>0.69</w:t>
            </w:r>
          </w:p>
        </w:tc>
        <w:tc>
          <w:tcPr>
            <w:tcW w:w="1260" w:type="dxa"/>
            <w:vAlign w:val="center"/>
          </w:tcPr>
          <w:p w14:paraId="6BB8037A" w14:textId="77777777" w:rsidR="00895AAA" w:rsidRDefault="00895AAA" w:rsidP="00F60ECE">
            <w:pPr>
              <w:spacing w:after="240"/>
              <w:jc w:val="center"/>
            </w:pPr>
            <w:r>
              <w:t>0.93</w:t>
            </w:r>
          </w:p>
        </w:tc>
      </w:tr>
      <w:tr w:rsidR="00895AAA" w14:paraId="59FB28EE" w14:textId="77777777" w:rsidTr="00030CF4">
        <w:trPr>
          <w:trHeight w:val="520"/>
          <w:jc w:val="center"/>
        </w:trPr>
        <w:tc>
          <w:tcPr>
            <w:tcW w:w="1705" w:type="dxa"/>
            <w:vAlign w:val="center"/>
          </w:tcPr>
          <w:p w14:paraId="12A99776" w14:textId="77777777" w:rsidR="00895AAA" w:rsidRDefault="00895AAA" w:rsidP="00F60ECE">
            <w:pPr>
              <w:spacing w:after="240"/>
              <w:jc w:val="center"/>
            </w:pPr>
            <w:proofErr w:type="spellStart"/>
            <w:r>
              <w:t>RandomForest</w:t>
            </w:r>
            <w:proofErr w:type="spellEnd"/>
          </w:p>
        </w:tc>
        <w:tc>
          <w:tcPr>
            <w:tcW w:w="1260" w:type="dxa"/>
            <w:vAlign w:val="center"/>
          </w:tcPr>
          <w:p w14:paraId="0F24399A" w14:textId="77777777" w:rsidR="00895AAA" w:rsidRDefault="00895AAA" w:rsidP="00F60ECE">
            <w:pPr>
              <w:spacing w:after="240"/>
              <w:jc w:val="center"/>
            </w:pPr>
            <w:r>
              <w:t>0.93</w:t>
            </w:r>
          </w:p>
        </w:tc>
        <w:tc>
          <w:tcPr>
            <w:tcW w:w="1260" w:type="dxa"/>
            <w:vAlign w:val="center"/>
          </w:tcPr>
          <w:p w14:paraId="7BC2711B" w14:textId="77777777" w:rsidR="00895AAA" w:rsidRDefault="00895AAA" w:rsidP="00F60ECE">
            <w:pPr>
              <w:spacing w:after="240"/>
              <w:jc w:val="center"/>
            </w:pPr>
            <w:r>
              <w:t>0.62</w:t>
            </w:r>
          </w:p>
        </w:tc>
        <w:tc>
          <w:tcPr>
            <w:tcW w:w="908" w:type="dxa"/>
            <w:vAlign w:val="center"/>
          </w:tcPr>
          <w:p w14:paraId="6D7A006F" w14:textId="77777777" w:rsidR="00895AAA" w:rsidRDefault="00895AAA" w:rsidP="00F60ECE">
            <w:pPr>
              <w:spacing w:after="240"/>
              <w:jc w:val="center"/>
            </w:pPr>
            <w:r>
              <w:t>0.61</w:t>
            </w:r>
          </w:p>
        </w:tc>
        <w:tc>
          <w:tcPr>
            <w:tcW w:w="892" w:type="dxa"/>
            <w:vAlign w:val="center"/>
          </w:tcPr>
          <w:p w14:paraId="7C6F8441" w14:textId="77777777" w:rsidR="00895AAA" w:rsidRDefault="00895AAA" w:rsidP="00F60ECE">
            <w:pPr>
              <w:spacing w:after="240"/>
              <w:jc w:val="center"/>
            </w:pPr>
            <w:r>
              <w:t>0.61</w:t>
            </w:r>
          </w:p>
        </w:tc>
        <w:tc>
          <w:tcPr>
            <w:tcW w:w="1170" w:type="dxa"/>
            <w:vAlign w:val="center"/>
          </w:tcPr>
          <w:p w14:paraId="5D319B09" w14:textId="77777777" w:rsidR="00895AAA" w:rsidRDefault="00895AAA" w:rsidP="00F60ECE">
            <w:pPr>
              <w:spacing w:after="240"/>
              <w:jc w:val="center"/>
            </w:pPr>
            <w:r>
              <w:t>0.69</w:t>
            </w:r>
          </w:p>
        </w:tc>
        <w:tc>
          <w:tcPr>
            <w:tcW w:w="1260" w:type="dxa"/>
            <w:vAlign w:val="center"/>
          </w:tcPr>
          <w:p w14:paraId="531597FD" w14:textId="77777777" w:rsidR="00895AAA" w:rsidRDefault="00895AAA" w:rsidP="00F60ECE">
            <w:pPr>
              <w:spacing w:after="240"/>
              <w:jc w:val="center"/>
            </w:pPr>
            <w:r>
              <w:t>0.93</w:t>
            </w:r>
          </w:p>
        </w:tc>
      </w:tr>
      <w:tr w:rsidR="00895AAA" w14:paraId="66AB9BD6" w14:textId="77777777" w:rsidTr="00030CF4">
        <w:trPr>
          <w:trHeight w:val="520"/>
          <w:jc w:val="center"/>
        </w:trPr>
        <w:tc>
          <w:tcPr>
            <w:tcW w:w="1705" w:type="dxa"/>
            <w:vAlign w:val="center"/>
          </w:tcPr>
          <w:p w14:paraId="135E216F" w14:textId="77777777" w:rsidR="00895AAA" w:rsidRDefault="00895AAA" w:rsidP="00F60ECE">
            <w:pPr>
              <w:spacing w:after="240"/>
              <w:jc w:val="center"/>
            </w:pPr>
            <w:r>
              <w:t>LightGBM</w:t>
            </w:r>
          </w:p>
        </w:tc>
        <w:tc>
          <w:tcPr>
            <w:tcW w:w="1260" w:type="dxa"/>
            <w:vAlign w:val="center"/>
          </w:tcPr>
          <w:p w14:paraId="1D35532D" w14:textId="77777777" w:rsidR="00895AAA" w:rsidRDefault="00895AAA" w:rsidP="00F60ECE">
            <w:pPr>
              <w:spacing w:after="240"/>
              <w:jc w:val="center"/>
            </w:pPr>
            <w:r>
              <w:t>0.91</w:t>
            </w:r>
          </w:p>
        </w:tc>
        <w:tc>
          <w:tcPr>
            <w:tcW w:w="1260" w:type="dxa"/>
            <w:vAlign w:val="center"/>
          </w:tcPr>
          <w:p w14:paraId="21C4B380" w14:textId="77777777" w:rsidR="00895AAA" w:rsidRDefault="00895AAA" w:rsidP="00F60ECE">
            <w:pPr>
              <w:spacing w:after="240"/>
              <w:jc w:val="center"/>
            </w:pPr>
            <w:r>
              <w:t>0.51</w:t>
            </w:r>
          </w:p>
        </w:tc>
        <w:tc>
          <w:tcPr>
            <w:tcW w:w="908" w:type="dxa"/>
            <w:vAlign w:val="center"/>
          </w:tcPr>
          <w:p w14:paraId="1226FA4A" w14:textId="77777777" w:rsidR="00895AAA" w:rsidRDefault="00895AAA" w:rsidP="00F60ECE">
            <w:pPr>
              <w:spacing w:after="240"/>
              <w:jc w:val="center"/>
            </w:pPr>
            <w:r>
              <w:t>0.78</w:t>
            </w:r>
          </w:p>
        </w:tc>
        <w:tc>
          <w:tcPr>
            <w:tcW w:w="892" w:type="dxa"/>
            <w:vAlign w:val="center"/>
          </w:tcPr>
          <w:p w14:paraId="7C5C929D" w14:textId="77777777" w:rsidR="00895AAA" w:rsidRDefault="00895AAA" w:rsidP="00F60ECE">
            <w:pPr>
              <w:spacing w:after="240"/>
              <w:jc w:val="center"/>
            </w:pPr>
            <w:r>
              <w:t>0.61</w:t>
            </w:r>
          </w:p>
        </w:tc>
        <w:tc>
          <w:tcPr>
            <w:tcW w:w="1170" w:type="dxa"/>
            <w:vAlign w:val="center"/>
          </w:tcPr>
          <w:p w14:paraId="067197E9" w14:textId="77777777" w:rsidR="00895AAA" w:rsidRDefault="00895AAA" w:rsidP="00F60ECE">
            <w:pPr>
              <w:spacing w:after="240"/>
              <w:jc w:val="center"/>
            </w:pPr>
            <w:r>
              <w:t>0.68</w:t>
            </w:r>
          </w:p>
        </w:tc>
        <w:tc>
          <w:tcPr>
            <w:tcW w:w="1260" w:type="dxa"/>
            <w:vAlign w:val="center"/>
          </w:tcPr>
          <w:p w14:paraId="4EDD7752" w14:textId="77777777" w:rsidR="00895AAA" w:rsidRDefault="00895AAA" w:rsidP="00F60ECE">
            <w:pPr>
              <w:spacing w:after="240"/>
              <w:jc w:val="center"/>
            </w:pPr>
            <w:r>
              <w:t>0.93</w:t>
            </w:r>
          </w:p>
        </w:tc>
      </w:tr>
      <w:tr w:rsidR="00895AAA" w14:paraId="6154C974" w14:textId="77777777" w:rsidTr="00030CF4">
        <w:trPr>
          <w:trHeight w:val="260"/>
          <w:jc w:val="center"/>
        </w:trPr>
        <w:tc>
          <w:tcPr>
            <w:tcW w:w="1705" w:type="dxa"/>
            <w:vAlign w:val="center"/>
          </w:tcPr>
          <w:p w14:paraId="60864C56" w14:textId="77777777" w:rsidR="00895AAA" w:rsidRDefault="00895AAA" w:rsidP="00F60ECE">
            <w:pPr>
              <w:spacing w:after="240"/>
              <w:jc w:val="center"/>
            </w:pPr>
            <w:r>
              <w:t>XGBoost</w:t>
            </w:r>
          </w:p>
        </w:tc>
        <w:tc>
          <w:tcPr>
            <w:tcW w:w="1260" w:type="dxa"/>
            <w:vAlign w:val="center"/>
          </w:tcPr>
          <w:p w14:paraId="1B2B7927" w14:textId="77777777" w:rsidR="00895AAA" w:rsidRDefault="00895AAA" w:rsidP="00F60ECE">
            <w:pPr>
              <w:spacing w:after="240"/>
              <w:jc w:val="center"/>
            </w:pPr>
            <w:r>
              <w:t>0.91</w:t>
            </w:r>
          </w:p>
        </w:tc>
        <w:tc>
          <w:tcPr>
            <w:tcW w:w="1260" w:type="dxa"/>
            <w:vAlign w:val="center"/>
          </w:tcPr>
          <w:p w14:paraId="6DD394F2" w14:textId="77777777" w:rsidR="00895AAA" w:rsidRDefault="00895AAA" w:rsidP="00F60ECE">
            <w:pPr>
              <w:spacing w:after="240"/>
              <w:jc w:val="center"/>
            </w:pPr>
            <w:r>
              <w:t>0.51</w:t>
            </w:r>
          </w:p>
        </w:tc>
        <w:tc>
          <w:tcPr>
            <w:tcW w:w="908" w:type="dxa"/>
            <w:vAlign w:val="center"/>
          </w:tcPr>
          <w:p w14:paraId="69060890" w14:textId="77777777" w:rsidR="00895AAA" w:rsidRDefault="00895AAA" w:rsidP="00F60ECE">
            <w:pPr>
              <w:spacing w:after="240"/>
              <w:jc w:val="center"/>
            </w:pPr>
            <w:r>
              <w:t>0.78</w:t>
            </w:r>
          </w:p>
        </w:tc>
        <w:tc>
          <w:tcPr>
            <w:tcW w:w="892" w:type="dxa"/>
            <w:vAlign w:val="center"/>
          </w:tcPr>
          <w:p w14:paraId="278377DF" w14:textId="77777777" w:rsidR="00895AAA" w:rsidRDefault="00895AAA" w:rsidP="00F60ECE">
            <w:pPr>
              <w:spacing w:after="240"/>
              <w:jc w:val="center"/>
            </w:pPr>
            <w:r>
              <w:t>0.61</w:t>
            </w:r>
          </w:p>
        </w:tc>
        <w:tc>
          <w:tcPr>
            <w:tcW w:w="1170" w:type="dxa"/>
            <w:vAlign w:val="center"/>
          </w:tcPr>
          <w:p w14:paraId="799A6DA4" w14:textId="77777777" w:rsidR="00895AAA" w:rsidRDefault="00895AAA" w:rsidP="00F60ECE">
            <w:pPr>
              <w:spacing w:after="240"/>
              <w:jc w:val="center"/>
            </w:pPr>
            <w:r>
              <w:t>0.68</w:t>
            </w:r>
          </w:p>
        </w:tc>
        <w:tc>
          <w:tcPr>
            <w:tcW w:w="1260" w:type="dxa"/>
            <w:vAlign w:val="center"/>
          </w:tcPr>
          <w:p w14:paraId="346D1F4B" w14:textId="77777777" w:rsidR="00895AAA" w:rsidRDefault="00895AAA" w:rsidP="00F60ECE">
            <w:pPr>
              <w:spacing w:after="240"/>
              <w:jc w:val="center"/>
            </w:pPr>
            <w:r>
              <w:t>0.93</w:t>
            </w:r>
          </w:p>
        </w:tc>
      </w:tr>
    </w:tbl>
    <w:p w14:paraId="43A892D7" w14:textId="3AA8558F" w:rsidR="00A5133A" w:rsidRDefault="00A5133A" w:rsidP="00E059EF">
      <w:pPr>
        <w:spacing w:before="100" w:beforeAutospacing="1"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b/>
          <w:bCs/>
          <w:sz w:val="24"/>
          <w:szCs w:val="24"/>
          <w:lang w:val="en-US"/>
        </w:rPr>
        <w:lastRenderedPageBreak/>
        <w:t xml:space="preserve">Table 2. </w:t>
      </w:r>
      <w:r w:rsidRPr="0077337F">
        <w:rPr>
          <w:rFonts w:ascii="Times New Roman" w:eastAsia="Times New Roman" w:hAnsi="Times New Roman" w:cs="Times New Roman"/>
          <w:sz w:val="24"/>
          <w:szCs w:val="24"/>
          <w:lang w:val="en-US"/>
        </w:rPr>
        <w:t>Supervised model performance on the provider hold-out set.</w:t>
      </w:r>
      <w:r w:rsidRPr="00A5133A">
        <w:rPr>
          <w:rFonts w:ascii="Times New Roman" w:eastAsia="Times New Roman" w:hAnsi="Times New Roman" w:cs="Times New Roman"/>
          <w:sz w:val="24"/>
          <w:szCs w:val="24"/>
          <w:lang w:val="en-US"/>
        </w:rPr>
        <w:t xml:space="preserve"> Classification performance of logistic regression (elastic-net), Random Forests, </w:t>
      </w:r>
      <w:proofErr w:type="spellStart"/>
      <w:r w:rsidRPr="00A5133A">
        <w:rPr>
          <w:rFonts w:ascii="Times New Roman" w:eastAsia="Times New Roman" w:hAnsi="Times New Roman" w:cs="Times New Roman"/>
          <w:sz w:val="24"/>
          <w:szCs w:val="24"/>
          <w:lang w:val="en-US"/>
        </w:rPr>
        <w:t>ExtraTrees</w:t>
      </w:r>
      <w:proofErr w:type="spellEnd"/>
      <w:r w:rsidRPr="00A5133A">
        <w:rPr>
          <w:rFonts w:ascii="Times New Roman" w:eastAsia="Times New Roman" w:hAnsi="Times New Roman" w:cs="Times New Roman"/>
          <w:sz w:val="24"/>
          <w:szCs w:val="24"/>
          <w:lang w:val="en-US"/>
        </w:rPr>
        <w:t>, LightGBM, XGBoost, CatBoost, and a multilayer perceptron, reported as accuracy, precision, recall, F1-score, area under the precision–recall curve (PR-AUC), and area under the ROC curve (ROC-AUC).</w:t>
      </w:r>
    </w:p>
    <w:p w14:paraId="7B53BD42" w14:textId="5B8F040C" w:rsidR="00C44040" w:rsidRPr="00A5133A" w:rsidRDefault="00714167" w:rsidP="00F60ECE">
      <w:pPr>
        <w:spacing w:after="240" w:line="360" w:lineRule="auto"/>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14:anchorId="189B273D" wp14:editId="0A8C03C5">
            <wp:extent cx="3693381" cy="2093705"/>
            <wp:effectExtent l="0" t="0" r="2540" b="1905"/>
            <wp:docPr id="541189111" name="Picture 8"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89111" name="Picture 8" descr="A white rectangular object with black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718703" cy="2108059"/>
                    </a:xfrm>
                    <a:prstGeom prst="rect">
                      <a:avLst/>
                    </a:prstGeom>
                  </pic:spPr>
                </pic:pic>
              </a:graphicData>
            </a:graphic>
          </wp:inline>
        </w:drawing>
      </w:r>
    </w:p>
    <w:p w14:paraId="3E1A2B79" w14:textId="242602CA" w:rsidR="00F60ECE" w:rsidRPr="00A5133A" w:rsidRDefault="00A5133A" w:rsidP="00F60ECE">
      <w:pPr>
        <w:spacing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b/>
          <w:bCs/>
          <w:sz w:val="24"/>
          <w:szCs w:val="24"/>
          <w:lang w:val="en-US"/>
        </w:rPr>
        <w:t xml:space="preserve">Figure </w:t>
      </w:r>
      <w:r w:rsidR="00E059EF">
        <w:rPr>
          <w:rFonts w:ascii="Times New Roman" w:eastAsia="Times New Roman" w:hAnsi="Times New Roman" w:cs="Times New Roman"/>
          <w:b/>
          <w:bCs/>
          <w:sz w:val="24"/>
          <w:szCs w:val="24"/>
          <w:lang w:val="en-US"/>
        </w:rPr>
        <w:t>5</w:t>
      </w:r>
      <w:r w:rsidRPr="00A5133A">
        <w:rPr>
          <w:rFonts w:ascii="Times New Roman" w:eastAsia="Times New Roman" w:hAnsi="Times New Roman" w:cs="Times New Roman"/>
          <w:b/>
          <w:bCs/>
          <w:sz w:val="24"/>
          <w:szCs w:val="24"/>
          <w:lang w:val="en-US"/>
        </w:rPr>
        <w:t xml:space="preserve">. </w:t>
      </w:r>
      <w:r w:rsidRPr="0077337F">
        <w:rPr>
          <w:rFonts w:ascii="Times New Roman" w:eastAsia="Times New Roman" w:hAnsi="Times New Roman" w:cs="Times New Roman"/>
          <w:sz w:val="24"/>
          <w:szCs w:val="24"/>
          <w:lang w:val="en-US"/>
        </w:rPr>
        <w:t>Distribution of provider fraud risk scores.</w:t>
      </w:r>
      <w:r w:rsidRPr="00A5133A">
        <w:rPr>
          <w:rFonts w:ascii="Times New Roman" w:eastAsia="Times New Roman" w:hAnsi="Times New Roman" w:cs="Times New Roman"/>
          <w:sz w:val="24"/>
          <w:szCs w:val="24"/>
          <w:lang w:val="en-US"/>
        </w:rPr>
        <w:t xml:space="preserve"> Histogram or density plots of logistic regression fraud risk scores for labeled providers, stratified by true fraud label, illustrating separation between non-fraudulent providers (scores near zero) and fraudulent providers (scores shifted toward higher values).</w:t>
      </w:r>
    </w:p>
    <w:p w14:paraId="671182C4" w14:textId="25D279F0" w:rsidR="00266567" w:rsidRDefault="00A5133A" w:rsidP="00266567">
      <w:pPr>
        <w:spacing w:line="360" w:lineRule="auto"/>
        <w:rPr>
          <w:rFonts w:ascii="Times New Roman" w:eastAsia="Times New Roman" w:hAnsi="Times New Roman" w:cs="Times New Roman"/>
          <w:b/>
          <w:bCs/>
          <w:i/>
          <w:iCs/>
          <w:sz w:val="24"/>
          <w:szCs w:val="24"/>
          <w:lang w:val="en-US"/>
        </w:rPr>
      </w:pPr>
      <w:r w:rsidRPr="00A5133A">
        <w:rPr>
          <w:rFonts w:ascii="Times New Roman" w:eastAsia="Times New Roman" w:hAnsi="Times New Roman" w:cs="Times New Roman"/>
          <w:b/>
          <w:bCs/>
          <w:i/>
          <w:iCs/>
          <w:sz w:val="24"/>
          <w:szCs w:val="24"/>
          <w:lang w:val="en-US"/>
        </w:rPr>
        <w:t>4.4 Provider fraud-type clusters</w:t>
      </w:r>
    </w:p>
    <w:p w14:paraId="28F062EB" w14:textId="5B1A01C0" w:rsidR="00E33CCB" w:rsidRDefault="00E33CCB" w:rsidP="00266567">
      <w:pPr>
        <w:spacing w:line="360" w:lineRule="auto"/>
        <w:rPr>
          <w:rFonts w:ascii="Times New Roman" w:eastAsia="Times New Roman" w:hAnsi="Times New Roman" w:cs="Times New Roman"/>
          <w:sz w:val="24"/>
          <w:szCs w:val="24"/>
        </w:rPr>
      </w:pPr>
      <w:r w:rsidRPr="00E33CCB">
        <w:rPr>
          <w:rFonts w:ascii="Times New Roman" w:eastAsia="Times New Roman" w:hAnsi="Times New Roman" w:cs="Times New Roman"/>
          <w:sz w:val="24"/>
          <w:szCs w:val="24"/>
        </w:rPr>
        <w:t xml:space="preserve">To characterize provider-level fraud patterns, we defined a high-risk universe of 570 providers by combining labeled fraudulent training providers with test providers whose logistic regression fraud score exceeded a threshold, then applied HDBSCAN to standardized provider features. HDBSCAN identified four clusters and labeled 334 providers as noise, indicating many high-risk providers do not belong to any dense group. A PCA projection (Figure </w:t>
      </w:r>
      <w:r w:rsidR="00E059EF">
        <w:rPr>
          <w:rFonts w:ascii="Times New Roman" w:eastAsia="Times New Roman" w:hAnsi="Times New Roman" w:cs="Times New Roman"/>
          <w:sz w:val="24"/>
          <w:szCs w:val="24"/>
        </w:rPr>
        <w:t>6</w:t>
      </w:r>
      <w:r w:rsidRPr="00E33CCB">
        <w:rPr>
          <w:rFonts w:ascii="Times New Roman" w:eastAsia="Times New Roman" w:hAnsi="Times New Roman" w:cs="Times New Roman"/>
          <w:sz w:val="24"/>
          <w:szCs w:val="24"/>
        </w:rPr>
        <w:t xml:space="preserve">) shows compact regions for clusters and a diffuse cloud of noise. The largest cluster (Cluster 3, 180 providers) includes moderate-volume providers with reimbursement and inpatient activity and elevated inpatient reimbursement and length-of-stay z-scores but modest duplicate and overcharge counts. Cluster 1 (36 providers) comprises high-revenue providers with more extreme inpatient z-scores and signs of upcoding, an “inpatient </w:t>
      </w:r>
      <w:proofErr w:type="spellStart"/>
      <w:r w:rsidRPr="00E33CCB">
        <w:rPr>
          <w:rFonts w:ascii="Times New Roman" w:eastAsia="Times New Roman" w:hAnsi="Times New Roman" w:cs="Times New Roman"/>
          <w:sz w:val="24"/>
          <w:szCs w:val="24"/>
        </w:rPr>
        <w:t>overcharger</w:t>
      </w:r>
      <w:proofErr w:type="spellEnd"/>
      <w:r w:rsidRPr="00E33CCB">
        <w:rPr>
          <w:rFonts w:ascii="Times New Roman" w:eastAsia="Times New Roman" w:hAnsi="Times New Roman" w:cs="Times New Roman"/>
          <w:sz w:val="24"/>
          <w:szCs w:val="24"/>
        </w:rPr>
        <w:t>” pattern. Cluster 0 and Cluster 2 (10 providers each) capture high-volume outpatient billers with duplicates and overcharge flags or large panels and small-ticket overbilling. Table 3 summarizes these archetypes.</w:t>
      </w:r>
    </w:p>
    <w:p w14:paraId="094F6685" w14:textId="77777777" w:rsidR="00E33CCB" w:rsidRPr="00E33CCB" w:rsidRDefault="00E33CCB" w:rsidP="00266567">
      <w:pPr>
        <w:spacing w:line="360" w:lineRule="auto"/>
        <w:rPr>
          <w:rFonts w:ascii="Times New Roman" w:eastAsia="Times New Roman" w:hAnsi="Times New Roman" w:cs="Times New Roman"/>
          <w:sz w:val="24"/>
          <w:szCs w:val="24"/>
          <w:lang w:val="en-US"/>
        </w:rPr>
      </w:pPr>
    </w:p>
    <w:p w14:paraId="0CB6F7B5" w14:textId="3D7A413B" w:rsidR="00C44040" w:rsidRPr="00A5133A" w:rsidRDefault="00C44040" w:rsidP="00F60ECE">
      <w:pPr>
        <w:spacing w:after="240" w:line="360" w:lineRule="auto"/>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14:anchorId="162554F2" wp14:editId="69EED5C6">
            <wp:extent cx="2961861" cy="2213485"/>
            <wp:effectExtent l="0" t="0" r="0" b="0"/>
            <wp:docPr id="312499968"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499968" name="Picture 7" descr="A screenshot of a graph&#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81987" cy="2228525"/>
                    </a:xfrm>
                    <a:prstGeom prst="rect">
                      <a:avLst/>
                    </a:prstGeom>
                  </pic:spPr>
                </pic:pic>
              </a:graphicData>
            </a:graphic>
          </wp:inline>
        </w:drawing>
      </w:r>
    </w:p>
    <w:p w14:paraId="7E1B0D9F" w14:textId="20153DC1" w:rsidR="00266567" w:rsidRDefault="00A5133A" w:rsidP="00F60ECE">
      <w:pPr>
        <w:spacing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b/>
          <w:bCs/>
          <w:sz w:val="24"/>
          <w:szCs w:val="24"/>
          <w:lang w:val="en-US"/>
        </w:rPr>
        <w:t xml:space="preserve">Figure </w:t>
      </w:r>
      <w:r w:rsidR="00E059EF">
        <w:rPr>
          <w:rFonts w:ascii="Times New Roman" w:eastAsia="Times New Roman" w:hAnsi="Times New Roman" w:cs="Times New Roman"/>
          <w:b/>
          <w:bCs/>
          <w:sz w:val="24"/>
          <w:szCs w:val="24"/>
          <w:lang w:val="en-US"/>
        </w:rPr>
        <w:t>6</w:t>
      </w:r>
      <w:r w:rsidRPr="00A5133A">
        <w:rPr>
          <w:rFonts w:ascii="Times New Roman" w:eastAsia="Times New Roman" w:hAnsi="Times New Roman" w:cs="Times New Roman"/>
          <w:b/>
          <w:bCs/>
          <w:sz w:val="24"/>
          <w:szCs w:val="24"/>
          <w:lang w:val="en-US"/>
        </w:rPr>
        <w:t>. Clusters of high-risk providers.</w:t>
      </w:r>
      <w:r w:rsidRPr="00A5133A">
        <w:rPr>
          <w:rFonts w:ascii="Times New Roman" w:eastAsia="Times New Roman" w:hAnsi="Times New Roman" w:cs="Times New Roman"/>
          <w:sz w:val="24"/>
          <w:szCs w:val="24"/>
          <w:lang w:val="en-US"/>
        </w:rPr>
        <w:t xml:space="preserve"> Two-dimensional PCA projection of standardized provider-level features for high-risk providers, </w:t>
      </w:r>
      <w:r w:rsidR="00980E92" w:rsidRPr="00A5133A">
        <w:rPr>
          <w:rFonts w:ascii="Times New Roman" w:eastAsia="Times New Roman" w:hAnsi="Times New Roman" w:cs="Times New Roman"/>
          <w:sz w:val="24"/>
          <w:szCs w:val="24"/>
          <w:lang w:val="en-US"/>
        </w:rPr>
        <w:t>colored</w:t>
      </w:r>
      <w:r w:rsidRPr="00A5133A">
        <w:rPr>
          <w:rFonts w:ascii="Times New Roman" w:eastAsia="Times New Roman" w:hAnsi="Times New Roman" w:cs="Times New Roman"/>
          <w:sz w:val="24"/>
          <w:szCs w:val="24"/>
          <w:lang w:val="en-US"/>
        </w:rPr>
        <w:t xml:space="preserve"> by HDBSCAN cluster label, with noise providers shown in grey.</w:t>
      </w:r>
    </w:p>
    <w:tbl>
      <w:tblPr>
        <w:tblStyle w:val="TableGrid"/>
        <w:tblW w:w="9512" w:type="dxa"/>
        <w:tblLook w:val="04A0" w:firstRow="1" w:lastRow="0" w:firstColumn="1" w:lastColumn="0" w:noHBand="0" w:noVBand="1"/>
      </w:tblPr>
      <w:tblGrid>
        <w:gridCol w:w="856"/>
        <w:gridCol w:w="1363"/>
        <w:gridCol w:w="1523"/>
        <w:gridCol w:w="1696"/>
        <w:gridCol w:w="2203"/>
        <w:gridCol w:w="2269"/>
      </w:tblGrid>
      <w:tr w:rsidR="008153EB" w:rsidRPr="008153EB" w14:paraId="7AEF134D" w14:textId="77777777" w:rsidTr="00EA22F1">
        <w:trPr>
          <w:trHeight w:val="303"/>
        </w:trPr>
        <w:tc>
          <w:tcPr>
            <w:tcW w:w="821" w:type="dxa"/>
            <w:noWrap/>
            <w:vAlign w:val="center"/>
            <w:hideMark/>
          </w:tcPr>
          <w:p w14:paraId="17C2F024"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cluster</w:t>
            </w:r>
          </w:p>
        </w:tc>
        <w:tc>
          <w:tcPr>
            <w:tcW w:w="1308" w:type="dxa"/>
            <w:noWrap/>
            <w:vAlign w:val="center"/>
            <w:hideMark/>
          </w:tcPr>
          <w:p w14:paraId="2C835F1C"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proofErr w:type="spellStart"/>
            <w:r w:rsidRPr="008153EB">
              <w:rPr>
                <w:rFonts w:ascii="Times New Roman" w:eastAsia="Times New Roman" w:hAnsi="Times New Roman" w:cs="Times New Roman"/>
                <w:sz w:val="24"/>
                <w:szCs w:val="24"/>
                <w:lang w:val="en"/>
              </w:rPr>
              <w:t>n_providers</w:t>
            </w:r>
            <w:proofErr w:type="spellEnd"/>
          </w:p>
        </w:tc>
        <w:tc>
          <w:tcPr>
            <w:tcW w:w="1462" w:type="dxa"/>
            <w:noWrap/>
            <w:vAlign w:val="center"/>
            <w:hideMark/>
          </w:tcPr>
          <w:p w14:paraId="46E47A55"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proofErr w:type="spellStart"/>
            <w:r w:rsidRPr="008153EB">
              <w:rPr>
                <w:rFonts w:ascii="Times New Roman" w:eastAsia="Times New Roman" w:hAnsi="Times New Roman" w:cs="Times New Roman"/>
                <w:sz w:val="24"/>
                <w:szCs w:val="24"/>
                <w:lang w:val="en"/>
              </w:rPr>
              <w:t>n_train_fraud</w:t>
            </w:r>
            <w:proofErr w:type="spellEnd"/>
          </w:p>
        </w:tc>
        <w:tc>
          <w:tcPr>
            <w:tcW w:w="1628" w:type="dxa"/>
            <w:noWrap/>
            <w:vAlign w:val="center"/>
            <w:hideMark/>
          </w:tcPr>
          <w:p w14:paraId="4635DB75"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proofErr w:type="spellStart"/>
            <w:r w:rsidRPr="008153EB">
              <w:rPr>
                <w:rFonts w:ascii="Times New Roman" w:eastAsia="Times New Roman" w:hAnsi="Times New Roman" w:cs="Times New Roman"/>
                <w:sz w:val="24"/>
                <w:szCs w:val="24"/>
                <w:lang w:val="en"/>
              </w:rPr>
              <w:t>n_test_highrisk</w:t>
            </w:r>
            <w:proofErr w:type="spellEnd"/>
          </w:p>
        </w:tc>
        <w:tc>
          <w:tcPr>
            <w:tcW w:w="2115" w:type="dxa"/>
            <w:noWrap/>
            <w:vAlign w:val="center"/>
            <w:hideMark/>
          </w:tcPr>
          <w:p w14:paraId="1B30E369"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median_reimb_365d</w:t>
            </w:r>
          </w:p>
        </w:tc>
        <w:tc>
          <w:tcPr>
            <w:tcW w:w="2178" w:type="dxa"/>
            <w:noWrap/>
            <w:vAlign w:val="center"/>
            <w:hideMark/>
          </w:tcPr>
          <w:p w14:paraId="3D90E6B2"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median_claims_365d</w:t>
            </w:r>
          </w:p>
        </w:tc>
      </w:tr>
      <w:tr w:rsidR="008153EB" w:rsidRPr="008153EB" w14:paraId="0032621C" w14:textId="77777777" w:rsidTr="00EA22F1">
        <w:trPr>
          <w:trHeight w:val="303"/>
        </w:trPr>
        <w:tc>
          <w:tcPr>
            <w:tcW w:w="821" w:type="dxa"/>
            <w:noWrap/>
            <w:vAlign w:val="center"/>
            <w:hideMark/>
          </w:tcPr>
          <w:p w14:paraId="40C46C9B"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1308" w:type="dxa"/>
            <w:noWrap/>
            <w:vAlign w:val="center"/>
            <w:hideMark/>
          </w:tcPr>
          <w:p w14:paraId="4A87450F"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w:t>
            </w:r>
          </w:p>
        </w:tc>
        <w:tc>
          <w:tcPr>
            <w:tcW w:w="1462" w:type="dxa"/>
            <w:noWrap/>
            <w:vAlign w:val="center"/>
            <w:hideMark/>
          </w:tcPr>
          <w:p w14:paraId="4271269E"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w:t>
            </w:r>
          </w:p>
        </w:tc>
        <w:tc>
          <w:tcPr>
            <w:tcW w:w="1628" w:type="dxa"/>
            <w:noWrap/>
            <w:vAlign w:val="center"/>
            <w:hideMark/>
          </w:tcPr>
          <w:p w14:paraId="09E350E5"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2115" w:type="dxa"/>
            <w:noWrap/>
            <w:vAlign w:val="center"/>
            <w:hideMark/>
          </w:tcPr>
          <w:p w14:paraId="70A31E55"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252570</w:t>
            </w:r>
          </w:p>
        </w:tc>
        <w:tc>
          <w:tcPr>
            <w:tcW w:w="2178" w:type="dxa"/>
            <w:noWrap/>
            <w:vAlign w:val="center"/>
            <w:hideMark/>
          </w:tcPr>
          <w:p w14:paraId="3CCF851C"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309</w:t>
            </w:r>
          </w:p>
        </w:tc>
      </w:tr>
      <w:tr w:rsidR="008153EB" w:rsidRPr="008153EB" w14:paraId="4E113158" w14:textId="77777777" w:rsidTr="00EA22F1">
        <w:trPr>
          <w:trHeight w:val="303"/>
        </w:trPr>
        <w:tc>
          <w:tcPr>
            <w:tcW w:w="821" w:type="dxa"/>
            <w:noWrap/>
            <w:vAlign w:val="center"/>
            <w:hideMark/>
          </w:tcPr>
          <w:p w14:paraId="27EA84F8"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w:t>
            </w:r>
          </w:p>
        </w:tc>
        <w:tc>
          <w:tcPr>
            <w:tcW w:w="1308" w:type="dxa"/>
            <w:noWrap/>
            <w:vAlign w:val="center"/>
            <w:hideMark/>
          </w:tcPr>
          <w:p w14:paraId="6AFBEBCB"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36</w:t>
            </w:r>
          </w:p>
        </w:tc>
        <w:tc>
          <w:tcPr>
            <w:tcW w:w="1462" w:type="dxa"/>
            <w:noWrap/>
            <w:vAlign w:val="center"/>
            <w:hideMark/>
          </w:tcPr>
          <w:p w14:paraId="5D91C0D5"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36</w:t>
            </w:r>
          </w:p>
        </w:tc>
        <w:tc>
          <w:tcPr>
            <w:tcW w:w="1628" w:type="dxa"/>
            <w:noWrap/>
            <w:vAlign w:val="center"/>
            <w:hideMark/>
          </w:tcPr>
          <w:p w14:paraId="3B9F8F69"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2115" w:type="dxa"/>
            <w:noWrap/>
            <w:vAlign w:val="center"/>
            <w:hideMark/>
          </w:tcPr>
          <w:p w14:paraId="734D756D"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490880</w:t>
            </w:r>
          </w:p>
        </w:tc>
        <w:tc>
          <w:tcPr>
            <w:tcW w:w="2178" w:type="dxa"/>
            <w:noWrap/>
            <w:vAlign w:val="center"/>
            <w:hideMark/>
          </w:tcPr>
          <w:p w14:paraId="7D9EBEF8"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140</w:t>
            </w:r>
          </w:p>
        </w:tc>
      </w:tr>
      <w:tr w:rsidR="008153EB" w:rsidRPr="008153EB" w14:paraId="7733AC96" w14:textId="77777777" w:rsidTr="00EA22F1">
        <w:trPr>
          <w:trHeight w:val="303"/>
        </w:trPr>
        <w:tc>
          <w:tcPr>
            <w:tcW w:w="821" w:type="dxa"/>
            <w:noWrap/>
            <w:vAlign w:val="center"/>
            <w:hideMark/>
          </w:tcPr>
          <w:p w14:paraId="049EE38D"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2</w:t>
            </w:r>
          </w:p>
        </w:tc>
        <w:tc>
          <w:tcPr>
            <w:tcW w:w="1308" w:type="dxa"/>
            <w:noWrap/>
            <w:vAlign w:val="center"/>
            <w:hideMark/>
          </w:tcPr>
          <w:p w14:paraId="5E8C3EE2"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w:t>
            </w:r>
          </w:p>
        </w:tc>
        <w:tc>
          <w:tcPr>
            <w:tcW w:w="1462" w:type="dxa"/>
            <w:noWrap/>
            <w:vAlign w:val="center"/>
            <w:hideMark/>
          </w:tcPr>
          <w:p w14:paraId="455559D0"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w:t>
            </w:r>
          </w:p>
        </w:tc>
        <w:tc>
          <w:tcPr>
            <w:tcW w:w="1628" w:type="dxa"/>
            <w:noWrap/>
            <w:vAlign w:val="center"/>
            <w:hideMark/>
          </w:tcPr>
          <w:p w14:paraId="7663681C"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2115" w:type="dxa"/>
            <w:noWrap/>
            <w:vAlign w:val="center"/>
            <w:hideMark/>
          </w:tcPr>
          <w:p w14:paraId="5E9DFB6C"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390030</w:t>
            </w:r>
          </w:p>
        </w:tc>
        <w:tc>
          <w:tcPr>
            <w:tcW w:w="2178" w:type="dxa"/>
            <w:noWrap/>
            <w:vAlign w:val="center"/>
            <w:hideMark/>
          </w:tcPr>
          <w:p w14:paraId="6DC344CF"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1336</w:t>
            </w:r>
          </w:p>
        </w:tc>
      </w:tr>
      <w:tr w:rsidR="008153EB" w:rsidRPr="008153EB" w14:paraId="72456534" w14:textId="77777777" w:rsidTr="00EA22F1">
        <w:trPr>
          <w:trHeight w:val="168"/>
        </w:trPr>
        <w:tc>
          <w:tcPr>
            <w:tcW w:w="821" w:type="dxa"/>
            <w:noWrap/>
            <w:vAlign w:val="center"/>
            <w:hideMark/>
          </w:tcPr>
          <w:p w14:paraId="1470EC35"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w:t>
            </w:r>
          </w:p>
        </w:tc>
        <w:tc>
          <w:tcPr>
            <w:tcW w:w="1308" w:type="dxa"/>
            <w:noWrap/>
            <w:vAlign w:val="center"/>
            <w:hideMark/>
          </w:tcPr>
          <w:p w14:paraId="4B226E84"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180</w:t>
            </w:r>
          </w:p>
        </w:tc>
        <w:tc>
          <w:tcPr>
            <w:tcW w:w="1462" w:type="dxa"/>
            <w:noWrap/>
            <w:vAlign w:val="center"/>
            <w:hideMark/>
          </w:tcPr>
          <w:p w14:paraId="02F69FD0"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180</w:t>
            </w:r>
          </w:p>
        </w:tc>
        <w:tc>
          <w:tcPr>
            <w:tcW w:w="1628" w:type="dxa"/>
            <w:noWrap/>
            <w:vAlign w:val="center"/>
            <w:hideMark/>
          </w:tcPr>
          <w:p w14:paraId="4A5DAA94"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2115" w:type="dxa"/>
            <w:noWrap/>
            <w:vAlign w:val="center"/>
            <w:hideMark/>
          </w:tcPr>
          <w:p w14:paraId="0665DC91"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210265</w:t>
            </w:r>
          </w:p>
        </w:tc>
        <w:tc>
          <w:tcPr>
            <w:tcW w:w="2178" w:type="dxa"/>
            <w:noWrap/>
            <w:vAlign w:val="center"/>
            <w:hideMark/>
          </w:tcPr>
          <w:p w14:paraId="0CCB6744"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108</w:t>
            </w:r>
          </w:p>
        </w:tc>
      </w:tr>
    </w:tbl>
    <w:p w14:paraId="38E7F01B" w14:textId="3E788994" w:rsidR="00A5133A" w:rsidRPr="00A5133A" w:rsidRDefault="00A5133A" w:rsidP="00E07F55">
      <w:pPr>
        <w:spacing w:before="100" w:beforeAutospacing="1"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b/>
          <w:bCs/>
          <w:sz w:val="24"/>
          <w:szCs w:val="24"/>
          <w:lang w:val="en-US"/>
        </w:rPr>
        <w:t xml:space="preserve">Table 3. </w:t>
      </w:r>
      <w:r w:rsidRPr="0077337F">
        <w:rPr>
          <w:rFonts w:ascii="Times New Roman" w:eastAsia="Times New Roman" w:hAnsi="Times New Roman" w:cs="Times New Roman"/>
          <w:sz w:val="24"/>
          <w:szCs w:val="24"/>
          <w:lang w:val="en-US"/>
        </w:rPr>
        <w:t>Summary of provider fraud-type clusters.</w:t>
      </w:r>
      <w:r w:rsidRPr="00A5133A">
        <w:rPr>
          <w:rFonts w:ascii="Times New Roman" w:eastAsia="Times New Roman" w:hAnsi="Times New Roman" w:cs="Times New Roman"/>
          <w:sz w:val="24"/>
          <w:szCs w:val="24"/>
          <w:lang w:val="en-US"/>
        </w:rPr>
        <w:t xml:space="preserve"> For each provider cluster identified by HDBSCAN, the table reports the number of providers, the fraction originating from labeled training frauds versus high-scored test providers, and median values of key features such as annual reimbursement, claim volume, peer-normalized z-scores, and counts of duplicate, upcoding, and overcharge flags.</w:t>
      </w:r>
    </w:p>
    <w:p w14:paraId="0000000D" w14:textId="3CDB7EC2" w:rsidR="00003EE0" w:rsidRPr="0077337F" w:rsidRDefault="00000000" w:rsidP="00F60ECE">
      <w:pPr>
        <w:pStyle w:val="Heading1"/>
        <w:spacing w:before="0" w:after="240"/>
        <w:rPr>
          <w:rFonts w:ascii="Times New Roman" w:hAnsi="Times New Roman" w:cs="Times New Roman"/>
          <w:b/>
          <w:bCs/>
          <w:sz w:val="28"/>
          <w:szCs w:val="28"/>
        </w:rPr>
      </w:pPr>
      <w:r w:rsidRPr="0077337F">
        <w:rPr>
          <w:rFonts w:ascii="Times New Roman" w:hAnsi="Times New Roman" w:cs="Times New Roman"/>
          <w:b/>
          <w:bCs/>
          <w:sz w:val="28"/>
          <w:szCs w:val="28"/>
        </w:rPr>
        <w:lastRenderedPageBreak/>
        <w:t>5. Discussion/Conclusion</w:t>
      </w:r>
    </w:p>
    <w:p w14:paraId="3A159384" w14:textId="097D4324" w:rsidR="00BE0214" w:rsidRDefault="00BE0214" w:rsidP="00252507">
      <w:pPr>
        <w:spacing w:after="100" w:afterAutospacing="1" w:line="360" w:lineRule="auto"/>
        <w:rPr>
          <w:rFonts w:ascii="Times New Roman" w:hAnsi="Times New Roman" w:cs="Times New Roman"/>
          <w:sz w:val="24"/>
          <w:szCs w:val="24"/>
        </w:rPr>
      </w:pPr>
      <w:r w:rsidRPr="00BE0214">
        <w:rPr>
          <w:rFonts w:ascii="Times New Roman" w:hAnsi="Times New Roman" w:cs="Times New Roman"/>
          <w:sz w:val="24"/>
          <w:szCs w:val="24"/>
        </w:rPr>
        <w:t>This work developed an end-to-end fraud analytics pipeline on Medicare-like claims that combines SQL-based feature engineering, supervised provider classification, and unsupervised pattern discovery at both claim and provider levels. This integrated, multi-paradigm design aligns with recent surveys and position papers that argue for combining rules, supervised models, and unsupervised anomaly detection rather than relying on single-model solutions [3], [8], [12], [14]. Our finding that a regularized logistic regression model can match more complex tree-based and neural models is consistent with evidence that “classical” approaches remain strong baselines for healthcare fraud when supported by robust feature engineering [3], [8], [11], while deep learning offers additional gains in some insurance settings [7]. The use of HDBSCAN, clustering, and association rules to characterize heterogeneous fraud patterns at the claim and provider level mirrors contemporary work on unsupervised anomaly detection and multivariate clustering in health insurance data [1], [2],</w:t>
      </w:r>
      <w:r w:rsidR="00252507">
        <w:rPr>
          <w:rFonts w:ascii="Times New Roman" w:hAnsi="Times New Roman" w:cs="Times New Roman"/>
          <w:sz w:val="24"/>
          <w:szCs w:val="24"/>
        </w:rPr>
        <w:t xml:space="preserve"> [5],</w:t>
      </w:r>
      <w:r w:rsidRPr="00BE0214">
        <w:rPr>
          <w:rFonts w:ascii="Times New Roman" w:hAnsi="Times New Roman" w:cs="Times New Roman"/>
          <w:sz w:val="24"/>
          <w:szCs w:val="24"/>
        </w:rPr>
        <w:t xml:space="preserve"> [13], [15].</w:t>
      </w:r>
    </w:p>
    <w:p w14:paraId="0C08B966" w14:textId="6325BECC" w:rsidR="00BE0214" w:rsidRPr="00BE0214" w:rsidRDefault="00BE0214" w:rsidP="00BE0214">
      <w:pPr>
        <w:spacing w:after="100" w:afterAutospacing="1" w:line="360" w:lineRule="auto"/>
        <w:rPr>
          <w:rFonts w:ascii="Times New Roman" w:hAnsi="Times New Roman" w:cs="Times New Roman"/>
          <w:sz w:val="24"/>
          <w:szCs w:val="24"/>
        </w:rPr>
      </w:pPr>
      <w:r w:rsidRPr="00BE0214">
        <w:rPr>
          <w:rFonts w:ascii="Times New Roman" w:hAnsi="Times New Roman" w:cs="Times New Roman"/>
          <w:sz w:val="24"/>
          <w:szCs w:val="24"/>
        </w:rPr>
        <w:t>Overall, the results suggest that carefully engineered SQL features, interpretable linear models, and targeted unsupervised analyses can deliver competitive provider-level fraud detection while yielding meaningful fraud-type archetypes. Rather than proposing a single novel algorithm, our contribution is to demonstrate how supervised risk scoring, rule-based indicators, and unsupervised clustering can be orchestrated into a transparent, reproducible pipeline that reflects current best practices and research directions in healthcare fraud analytics [3], [8], [12], [14].</w:t>
      </w:r>
    </w:p>
    <w:p w14:paraId="1B1C08DD" w14:textId="441529E3" w:rsidR="0077337F" w:rsidRPr="00C7181C" w:rsidRDefault="0077337F" w:rsidP="0054509F">
      <w:pPr>
        <w:spacing w:line="360" w:lineRule="auto"/>
        <w:rPr>
          <w:rFonts w:ascii="Times New Roman" w:hAnsi="Times New Roman" w:cs="Times New Roman"/>
          <w:b/>
          <w:sz w:val="24"/>
          <w:szCs w:val="24"/>
        </w:rPr>
      </w:pPr>
      <w:r w:rsidRPr="00C7181C">
        <w:rPr>
          <w:rFonts w:ascii="Times New Roman" w:hAnsi="Times New Roman" w:cs="Times New Roman"/>
          <w:b/>
          <w:sz w:val="24"/>
          <w:szCs w:val="24"/>
        </w:rPr>
        <w:t>Author Contributions</w:t>
      </w:r>
    </w:p>
    <w:p w14:paraId="3B9C958E" w14:textId="30B58396" w:rsidR="0077337F" w:rsidRPr="00C7181C" w:rsidRDefault="0077337F" w:rsidP="0054509F">
      <w:pPr>
        <w:spacing w:line="360" w:lineRule="auto"/>
        <w:rPr>
          <w:rFonts w:ascii="Times New Roman" w:hAnsi="Times New Roman" w:cs="Times New Roman"/>
          <w:sz w:val="24"/>
          <w:szCs w:val="24"/>
        </w:rPr>
      </w:pPr>
      <w:r w:rsidRPr="00C425E4">
        <w:rPr>
          <w:rFonts w:ascii="Times New Roman" w:hAnsi="Times New Roman" w:cs="Times New Roman"/>
          <w:b/>
          <w:bCs/>
          <w:sz w:val="24"/>
          <w:szCs w:val="24"/>
        </w:rPr>
        <w:t>Zayed Uddin</w:t>
      </w:r>
      <w:r w:rsidRPr="00C7181C">
        <w:rPr>
          <w:rFonts w:ascii="Times New Roman" w:hAnsi="Times New Roman" w:cs="Times New Roman"/>
          <w:sz w:val="24"/>
          <w:szCs w:val="24"/>
        </w:rPr>
        <w:t xml:space="preserve">: conceptualization, </w:t>
      </w:r>
      <w:r>
        <w:rPr>
          <w:rFonts w:ascii="Times New Roman" w:hAnsi="Times New Roman" w:cs="Times New Roman"/>
          <w:sz w:val="24"/>
          <w:szCs w:val="24"/>
        </w:rPr>
        <w:t xml:space="preserve">resources, data analysis, </w:t>
      </w:r>
      <w:r w:rsidR="0054509F">
        <w:rPr>
          <w:rFonts w:ascii="Times New Roman" w:hAnsi="Times New Roman" w:cs="Times New Roman"/>
          <w:sz w:val="24"/>
          <w:szCs w:val="24"/>
        </w:rPr>
        <w:t>project organization</w:t>
      </w:r>
      <w:r>
        <w:rPr>
          <w:rFonts w:ascii="Times New Roman" w:hAnsi="Times New Roman" w:cs="Times New Roman"/>
          <w:sz w:val="24"/>
          <w:szCs w:val="24"/>
        </w:rPr>
        <w:t xml:space="preserve">, validation, </w:t>
      </w:r>
      <w:r w:rsidRPr="00C7181C">
        <w:rPr>
          <w:rFonts w:ascii="Times New Roman" w:hAnsi="Times New Roman" w:cs="Times New Roman"/>
          <w:sz w:val="24"/>
          <w:szCs w:val="24"/>
        </w:rPr>
        <w:t xml:space="preserve">writing– original draft, writing– review and editing. </w:t>
      </w:r>
      <w:r>
        <w:rPr>
          <w:rFonts w:ascii="Times New Roman" w:hAnsi="Times New Roman" w:cs="Times New Roman"/>
          <w:b/>
          <w:sz w:val="24"/>
          <w:szCs w:val="24"/>
        </w:rPr>
        <w:t>Md Mishkat</w:t>
      </w:r>
      <w:r w:rsidRPr="00B5666E">
        <w:rPr>
          <w:rFonts w:ascii="Times New Roman" w:hAnsi="Times New Roman" w:cs="Times New Roman"/>
          <w:b/>
          <w:sz w:val="24"/>
          <w:szCs w:val="24"/>
        </w:rPr>
        <w:t>:</w:t>
      </w:r>
      <w:r w:rsidRPr="00C7181C">
        <w:rPr>
          <w:rFonts w:ascii="Times New Roman" w:hAnsi="Times New Roman" w:cs="Times New Roman"/>
          <w:sz w:val="24"/>
          <w:szCs w:val="24"/>
        </w:rPr>
        <w:t xml:space="preserve"> conceptualization</w:t>
      </w:r>
      <w:r>
        <w:rPr>
          <w:rFonts w:ascii="Times New Roman" w:hAnsi="Times New Roman" w:cs="Times New Roman"/>
          <w:sz w:val="24"/>
          <w:szCs w:val="24"/>
        </w:rPr>
        <w:t>,</w:t>
      </w:r>
      <w:r>
        <w:rPr>
          <w:rFonts w:ascii="Times New Roman" w:hAnsi="Times New Roman" w:cs="Times New Roman"/>
          <w:sz w:val="24"/>
          <w:szCs w:val="24"/>
        </w:rPr>
        <w:t xml:space="preserve"> validation, </w:t>
      </w:r>
      <w:r w:rsidRPr="00C7181C">
        <w:rPr>
          <w:rFonts w:ascii="Times New Roman" w:hAnsi="Times New Roman" w:cs="Times New Roman"/>
          <w:sz w:val="24"/>
          <w:szCs w:val="24"/>
        </w:rPr>
        <w:t>writing– original draft, writing– review and editing.</w:t>
      </w:r>
      <w:r>
        <w:rPr>
          <w:rFonts w:ascii="Times New Roman" w:hAnsi="Times New Roman" w:cs="Times New Roman"/>
          <w:sz w:val="24"/>
          <w:szCs w:val="24"/>
        </w:rPr>
        <w:t xml:space="preserve"> </w:t>
      </w:r>
      <w:r>
        <w:rPr>
          <w:rFonts w:ascii="Times New Roman" w:hAnsi="Times New Roman" w:cs="Times New Roman"/>
          <w:b/>
          <w:bCs/>
          <w:sz w:val="24"/>
          <w:szCs w:val="24"/>
        </w:rPr>
        <w:t xml:space="preserve">Ulugbek </w:t>
      </w:r>
      <w:r w:rsidRPr="0077337F">
        <w:rPr>
          <w:rFonts w:ascii="Times New Roman" w:eastAsia="Times New Roman" w:hAnsi="Times New Roman" w:cs="Times New Roman"/>
          <w:b/>
          <w:bCs/>
          <w:sz w:val="24"/>
          <w:szCs w:val="24"/>
        </w:rPr>
        <w:t>Abdurakhmonov</w:t>
      </w:r>
      <w:r>
        <w:rPr>
          <w:rFonts w:ascii="Times New Roman" w:hAnsi="Times New Roman" w:cs="Times New Roman"/>
          <w:b/>
          <w:bCs/>
          <w:sz w:val="24"/>
          <w:szCs w:val="24"/>
        </w:rPr>
        <w:t xml:space="preserve">: </w:t>
      </w:r>
      <w:r>
        <w:rPr>
          <w:rFonts w:ascii="Times New Roman" w:hAnsi="Times New Roman" w:cs="Times New Roman"/>
          <w:sz w:val="24"/>
          <w:szCs w:val="24"/>
        </w:rPr>
        <w:t>v</w:t>
      </w:r>
      <w:r w:rsidRPr="0077337F">
        <w:rPr>
          <w:rFonts w:ascii="Times New Roman" w:hAnsi="Times New Roman" w:cs="Times New Roman"/>
          <w:sz w:val="24"/>
          <w:szCs w:val="24"/>
        </w:rPr>
        <w:t>alidation</w:t>
      </w:r>
      <w:r>
        <w:rPr>
          <w:rFonts w:ascii="Times New Roman" w:hAnsi="Times New Roman" w:cs="Times New Roman"/>
          <w:b/>
          <w:bCs/>
          <w:sz w:val="24"/>
          <w:szCs w:val="24"/>
        </w:rPr>
        <w:t xml:space="preserve">, </w:t>
      </w:r>
      <w:r>
        <w:rPr>
          <w:rFonts w:ascii="Times New Roman" w:hAnsi="Times New Roman" w:cs="Times New Roman"/>
          <w:sz w:val="24"/>
          <w:szCs w:val="24"/>
        </w:rPr>
        <w:t>writing draft, review and editing.</w:t>
      </w:r>
    </w:p>
    <w:p w14:paraId="01223791" w14:textId="77777777" w:rsidR="0077337F" w:rsidRPr="00C7181C" w:rsidRDefault="0077337F" w:rsidP="0077337F">
      <w:pPr>
        <w:spacing w:line="360" w:lineRule="auto"/>
        <w:rPr>
          <w:rFonts w:ascii="Times New Roman" w:hAnsi="Times New Roman" w:cs="Times New Roman"/>
          <w:b/>
          <w:sz w:val="24"/>
          <w:szCs w:val="24"/>
        </w:rPr>
      </w:pPr>
      <w:r w:rsidRPr="00C7181C">
        <w:rPr>
          <w:rFonts w:ascii="Times New Roman" w:hAnsi="Times New Roman" w:cs="Times New Roman"/>
          <w:b/>
          <w:sz w:val="24"/>
          <w:szCs w:val="24"/>
        </w:rPr>
        <w:t>Conflicts of Interest</w:t>
      </w:r>
    </w:p>
    <w:p w14:paraId="18BA5406" w14:textId="77777777" w:rsidR="0077337F" w:rsidRPr="00C7181C" w:rsidRDefault="0077337F" w:rsidP="0077337F">
      <w:pPr>
        <w:spacing w:line="360" w:lineRule="auto"/>
        <w:rPr>
          <w:rFonts w:ascii="Times New Roman" w:hAnsi="Times New Roman" w:cs="Times New Roman"/>
          <w:sz w:val="24"/>
          <w:szCs w:val="24"/>
        </w:rPr>
      </w:pPr>
      <w:r w:rsidRPr="00C7181C">
        <w:rPr>
          <w:rFonts w:ascii="Times New Roman" w:hAnsi="Times New Roman" w:cs="Times New Roman"/>
          <w:sz w:val="24"/>
          <w:szCs w:val="24"/>
        </w:rPr>
        <w:t>The authors declare no conflicts of interest.</w:t>
      </w:r>
      <w:r w:rsidRPr="00C7181C">
        <w:rPr>
          <w:rFonts w:ascii="Times New Roman" w:hAnsi="Times New Roman" w:cs="Times New Roman"/>
          <w:sz w:val="24"/>
          <w:szCs w:val="24"/>
        </w:rPr>
        <w:br/>
      </w:r>
      <w:r w:rsidRPr="00C7181C">
        <w:rPr>
          <w:rFonts w:ascii="Times New Roman" w:hAnsi="Times New Roman" w:cs="Times New Roman"/>
          <w:b/>
          <w:sz w:val="24"/>
          <w:szCs w:val="24"/>
        </w:rPr>
        <w:t>Sources of Funding</w:t>
      </w:r>
    </w:p>
    <w:p w14:paraId="61A10ED0" w14:textId="77777777" w:rsidR="0077337F" w:rsidRDefault="0077337F" w:rsidP="0077337F">
      <w:pPr>
        <w:spacing w:line="360" w:lineRule="auto"/>
        <w:rPr>
          <w:rFonts w:ascii="Times New Roman" w:hAnsi="Times New Roman" w:cs="Times New Roman"/>
          <w:sz w:val="24"/>
          <w:szCs w:val="24"/>
        </w:rPr>
      </w:pPr>
      <w:r w:rsidRPr="00C7181C">
        <w:rPr>
          <w:rFonts w:ascii="Times New Roman" w:hAnsi="Times New Roman" w:cs="Times New Roman"/>
          <w:sz w:val="24"/>
          <w:szCs w:val="24"/>
        </w:rPr>
        <w:t xml:space="preserve">All the authors declare to have received no financial support or sponsorship for this study. </w:t>
      </w:r>
    </w:p>
    <w:p w14:paraId="12DD04FD" w14:textId="77777777" w:rsidR="0077337F" w:rsidRDefault="0077337F" w:rsidP="0077337F">
      <w:pPr>
        <w:spacing w:line="360" w:lineRule="auto"/>
        <w:rPr>
          <w:rFonts w:ascii="Times New Roman" w:hAnsi="Times New Roman" w:cs="Times New Roman"/>
          <w:b/>
          <w:bCs/>
          <w:sz w:val="24"/>
          <w:szCs w:val="24"/>
        </w:rPr>
      </w:pPr>
    </w:p>
    <w:p w14:paraId="4241022A" w14:textId="2D6B926C" w:rsidR="00EA22F1" w:rsidRPr="0077337F" w:rsidRDefault="00000000" w:rsidP="0077337F">
      <w:pPr>
        <w:spacing w:line="360" w:lineRule="auto"/>
        <w:rPr>
          <w:rFonts w:ascii="Times New Roman" w:hAnsi="Times New Roman" w:cs="Times New Roman"/>
          <w:sz w:val="24"/>
          <w:szCs w:val="24"/>
        </w:rPr>
      </w:pPr>
      <w:r w:rsidRPr="00EA22F1">
        <w:rPr>
          <w:rFonts w:ascii="Times New Roman" w:hAnsi="Times New Roman" w:cs="Times New Roman"/>
          <w:b/>
          <w:bCs/>
          <w:sz w:val="24"/>
          <w:szCs w:val="24"/>
        </w:rPr>
        <w:lastRenderedPageBreak/>
        <w:t>References</w:t>
      </w:r>
      <w:r w:rsidR="00EA22F1">
        <w:rPr>
          <w:rFonts w:ascii="Times New Roman" w:hAnsi="Times New Roman" w:cs="Times New Roman"/>
          <w:b/>
          <w:bCs/>
          <w:sz w:val="24"/>
          <w:szCs w:val="24"/>
        </w:rPr>
        <w:t>:</w:t>
      </w:r>
    </w:p>
    <w:p w14:paraId="7F957538" w14:textId="21106344"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[1] M. </w:t>
      </w:r>
      <w:proofErr w:type="spellStart"/>
      <w:r w:rsidRPr="001858CC">
        <w:rPr>
          <w:rFonts w:ascii="Times New Roman" w:eastAsia="Times New Roman" w:hAnsi="Times New Roman" w:cs="Times New Roman"/>
          <w:sz w:val="24"/>
          <w:szCs w:val="24"/>
        </w:rPr>
        <w:t>Bairy</w:t>
      </w:r>
      <w:proofErr w:type="spellEnd"/>
      <w:r w:rsidRPr="001858CC">
        <w:rPr>
          <w:rFonts w:ascii="Times New Roman" w:eastAsia="Times New Roman" w:hAnsi="Times New Roman" w:cs="Times New Roman"/>
          <w:sz w:val="24"/>
          <w:szCs w:val="24"/>
        </w:rPr>
        <w:t xml:space="preserve">, B. </w:t>
      </w:r>
      <w:proofErr w:type="spellStart"/>
      <w:r w:rsidRPr="001858CC">
        <w:rPr>
          <w:rFonts w:ascii="Times New Roman" w:eastAsia="Times New Roman" w:hAnsi="Times New Roman" w:cs="Times New Roman"/>
          <w:sz w:val="24"/>
          <w:szCs w:val="24"/>
        </w:rPr>
        <w:t>Muniyal</w:t>
      </w:r>
      <w:proofErr w:type="spellEnd"/>
      <w:r w:rsidRPr="001858CC">
        <w:rPr>
          <w:rFonts w:ascii="Times New Roman" w:eastAsia="Times New Roman" w:hAnsi="Times New Roman" w:cs="Times New Roman"/>
          <w:sz w:val="24"/>
          <w:szCs w:val="24"/>
        </w:rPr>
        <w:t xml:space="preserve">, and N. P. Shetty, “Enhancing healthcare data integrity: Fraud detection using unsupervised learning techniques,” Int. J. </w:t>
      </w:r>
      <w:proofErr w:type="spellStart"/>
      <w:r w:rsidRPr="001858CC">
        <w:rPr>
          <w:rFonts w:ascii="Times New Roman" w:eastAsia="Times New Roman" w:hAnsi="Times New Roman" w:cs="Times New Roman"/>
          <w:sz w:val="24"/>
          <w:szCs w:val="24"/>
        </w:rPr>
        <w:t>Comput</w:t>
      </w:r>
      <w:proofErr w:type="spellEnd"/>
      <w:r w:rsidRPr="001858CC">
        <w:rPr>
          <w:rFonts w:ascii="Times New Roman" w:eastAsia="Times New Roman" w:hAnsi="Times New Roman" w:cs="Times New Roman"/>
          <w:sz w:val="24"/>
          <w:szCs w:val="24"/>
        </w:rPr>
        <w:t xml:space="preserve">. Appl., vol. 46, no. 11, pp. 1006–1019, 2024,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10.1080/1206212X.2024.2408262.</w:t>
      </w:r>
    </w:p>
    <w:p w14:paraId="6CC3E5AD" w14:textId="0CBCE91E"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[2] H. De Meulemeester, F. De Smet, J. van Dorst, E. </w:t>
      </w:r>
      <w:proofErr w:type="spellStart"/>
      <w:r w:rsidRPr="001858CC">
        <w:rPr>
          <w:rFonts w:ascii="Times New Roman" w:eastAsia="Times New Roman" w:hAnsi="Times New Roman" w:cs="Times New Roman"/>
          <w:sz w:val="24"/>
          <w:szCs w:val="24"/>
        </w:rPr>
        <w:t>Derroitte</w:t>
      </w:r>
      <w:proofErr w:type="spellEnd"/>
      <w:r w:rsidRPr="001858CC">
        <w:rPr>
          <w:rFonts w:ascii="Times New Roman" w:eastAsia="Times New Roman" w:hAnsi="Times New Roman" w:cs="Times New Roman"/>
          <w:sz w:val="24"/>
          <w:szCs w:val="24"/>
        </w:rPr>
        <w:t xml:space="preserve">, and B. De Moor, “Explainable unsupervised anomaly detection for healthcare insurance data,” BMC Med. Inform. </w:t>
      </w:r>
      <w:proofErr w:type="spellStart"/>
      <w:r w:rsidRPr="001858CC">
        <w:rPr>
          <w:rFonts w:ascii="Times New Roman" w:eastAsia="Times New Roman" w:hAnsi="Times New Roman" w:cs="Times New Roman"/>
          <w:sz w:val="24"/>
          <w:szCs w:val="24"/>
        </w:rPr>
        <w:t>Decis</w:t>
      </w:r>
      <w:proofErr w:type="spellEnd"/>
      <w:r w:rsidRPr="001858CC">
        <w:rPr>
          <w:rFonts w:ascii="Times New Roman" w:eastAsia="Times New Roman" w:hAnsi="Times New Roman" w:cs="Times New Roman"/>
          <w:sz w:val="24"/>
          <w:szCs w:val="24"/>
        </w:rPr>
        <w:t xml:space="preserve">. Mak., vol. 25, art. 14, 2025,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10.1186/s12911-024-02823-6.</w:t>
      </w:r>
    </w:p>
    <w:p w14:paraId="1ED95AB6" w14:textId="09A576EC"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[3] A. du Preez, S. Bhattacharya, P. Beling, and E. Bowen, “Fraud detection in healthcare claims using machine learning: A systematic review,” </w:t>
      </w:r>
      <w:proofErr w:type="spellStart"/>
      <w:r w:rsidRPr="001858CC">
        <w:rPr>
          <w:rFonts w:ascii="Times New Roman" w:eastAsia="Times New Roman" w:hAnsi="Times New Roman" w:cs="Times New Roman"/>
          <w:sz w:val="24"/>
          <w:szCs w:val="24"/>
        </w:rPr>
        <w:t>Artif</w:t>
      </w:r>
      <w:proofErr w:type="spellEnd"/>
      <w:r w:rsidRPr="001858CC">
        <w:rPr>
          <w:rFonts w:ascii="Times New Roman" w:eastAsia="Times New Roman" w:hAnsi="Times New Roman" w:cs="Times New Roman"/>
          <w:sz w:val="24"/>
          <w:szCs w:val="24"/>
        </w:rPr>
        <w:t xml:space="preserve">. Intell. Med., vol. 160, art. 103061, 2025,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10.1016/j.artmed.2024.103061.</w:t>
      </w:r>
    </w:p>
    <w:p w14:paraId="4233A44A" w14:textId="4647ED54"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[4] G. </w:t>
      </w:r>
      <w:proofErr w:type="spellStart"/>
      <w:r w:rsidRPr="001858CC">
        <w:rPr>
          <w:rFonts w:ascii="Times New Roman" w:eastAsia="Times New Roman" w:hAnsi="Times New Roman" w:cs="Times New Roman"/>
          <w:sz w:val="24"/>
          <w:szCs w:val="24"/>
        </w:rPr>
        <w:t>Saldamli</w:t>
      </w:r>
      <w:proofErr w:type="spellEnd"/>
      <w:r w:rsidRPr="001858CC">
        <w:rPr>
          <w:rFonts w:ascii="Times New Roman" w:eastAsia="Times New Roman" w:hAnsi="Times New Roman" w:cs="Times New Roman"/>
          <w:sz w:val="24"/>
          <w:szCs w:val="24"/>
        </w:rPr>
        <w:t xml:space="preserve"> et al., “Health care insurance fraud detection using blockchain,” in Proc. 7th Int. Conf. </w:t>
      </w:r>
      <w:proofErr w:type="spellStart"/>
      <w:r w:rsidRPr="001858CC">
        <w:rPr>
          <w:rFonts w:ascii="Times New Roman" w:eastAsia="Times New Roman" w:hAnsi="Times New Roman" w:cs="Times New Roman"/>
          <w:sz w:val="24"/>
          <w:szCs w:val="24"/>
        </w:rPr>
        <w:t>Softw</w:t>
      </w:r>
      <w:proofErr w:type="spellEnd"/>
      <w:r w:rsidRPr="001858CC">
        <w:rPr>
          <w:rFonts w:ascii="Times New Roman" w:eastAsia="Times New Roman" w:hAnsi="Times New Roman" w:cs="Times New Roman"/>
          <w:sz w:val="24"/>
          <w:szCs w:val="24"/>
        </w:rPr>
        <w:t xml:space="preserve">. Defined Syst. (SDS), 2020, pp. 145–152,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10.1109/SDS49854.2020.9143900.</w:t>
      </w:r>
    </w:p>
    <w:p w14:paraId="77D55678" w14:textId="506889A7"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[5] Z. Hamid, F. Khalique, S. Mahmood, A. Daud, A. Bukhari, and B. </w:t>
      </w:r>
      <w:proofErr w:type="spellStart"/>
      <w:r w:rsidRPr="001858CC">
        <w:rPr>
          <w:rFonts w:ascii="Times New Roman" w:eastAsia="Times New Roman" w:hAnsi="Times New Roman" w:cs="Times New Roman"/>
          <w:sz w:val="24"/>
          <w:szCs w:val="24"/>
        </w:rPr>
        <w:t>Alshemaimri</w:t>
      </w:r>
      <w:proofErr w:type="spellEnd"/>
      <w:r w:rsidRPr="001858CC">
        <w:rPr>
          <w:rFonts w:ascii="Times New Roman" w:eastAsia="Times New Roman" w:hAnsi="Times New Roman" w:cs="Times New Roman"/>
          <w:sz w:val="24"/>
          <w:szCs w:val="24"/>
        </w:rPr>
        <w:t xml:space="preserve">, “Healthcare insurance fraud detection using data mining,” BMC Med. Inform. </w:t>
      </w:r>
      <w:proofErr w:type="spellStart"/>
      <w:r w:rsidRPr="001858CC">
        <w:rPr>
          <w:rFonts w:ascii="Times New Roman" w:eastAsia="Times New Roman" w:hAnsi="Times New Roman" w:cs="Times New Roman"/>
          <w:sz w:val="24"/>
          <w:szCs w:val="24"/>
        </w:rPr>
        <w:t>Decis</w:t>
      </w:r>
      <w:proofErr w:type="spellEnd"/>
      <w:r w:rsidRPr="001858CC">
        <w:rPr>
          <w:rFonts w:ascii="Times New Roman" w:eastAsia="Times New Roman" w:hAnsi="Times New Roman" w:cs="Times New Roman"/>
          <w:sz w:val="24"/>
          <w:szCs w:val="24"/>
        </w:rPr>
        <w:t xml:space="preserve">. Mak., vol. 24, art. 112, 2024,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10.1186/s12911-024-02512-4.</w:t>
      </w:r>
    </w:p>
    <w:p w14:paraId="4FB5B88B" w14:textId="5575B936"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[6] </w:t>
      </w:r>
      <w:proofErr w:type="spellStart"/>
      <w:r w:rsidRPr="001858CC">
        <w:rPr>
          <w:rFonts w:ascii="Times New Roman" w:eastAsia="Times New Roman" w:hAnsi="Times New Roman" w:cs="Times New Roman"/>
          <w:sz w:val="24"/>
          <w:szCs w:val="24"/>
        </w:rPr>
        <w:t>Kanksha</w:t>
      </w:r>
      <w:proofErr w:type="spellEnd"/>
      <w:r w:rsidRPr="001858CC">
        <w:rPr>
          <w:rFonts w:ascii="Times New Roman" w:eastAsia="Times New Roman" w:hAnsi="Times New Roman" w:cs="Times New Roman"/>
          <w:sz w:val="24"/>
          <w:szCs w:val="24"/>
        </w:rPr>
        <w:t xml:space="preserve">, A. Bhaskar, S. Pande, R. Malik, and A. </w:t>
      </w:r>
      <w:proofErr w:type="spellStart"/>
      <w:r w:rsidRPr="001858CC">
        <w:rPr>
          <w:rFonts w:ascii="Times New Roman" w:eastAsia="Times New Roman" w:hAnsi="Times New Roman" w:cs="Times New Roman"/>
          <w:sz w:val="24"/>
          <w:szCs w:val="24"/>
        </w:rPr>
        <w:t>Khamparia</w:t>
      </w:r>
      <w:proofErr w:type="spellEnd"/>
      <w:r w:rsidRPr="001858CC">
        <w:rPr>
          <w:rFonts w:ascii="Times New Roman" w:eastAsia="Times New Roman" w:hAnsi="Times New Roman" w:cs="Times New Roman"/>
          <w:sz w:val="24"/>
          <w:szCs w:val="24"/>
        </w:rPr>
        <w:t xml:space="preserve">, “An intelligent unsupervised technique for fraud detection in health care systems,” Intell. </w:t>
      </w:r>
      <w:proofErr w:type="spellStart"/>
      <w:r w:rsidRPr="001858CC">
        <w:rPr>
          <w:rFonts w:ascii="Times New Roman" w:eastAsia="Times New Roman" w:hAnsi="Times New Roman" w:cs="Times New Roman"/>
          <w:sz w:val="24"/>
          <w:szCs w:val="24"/>
        </w:rPr>
        <w:t>Decis</w:t>
      </w:r>
      <w:proofErr w:type="spellEnd"/>
      <w:r w:rsidRPr="001858CC">
        <w:rPr>
          <w:rFonts w:ascii="Times New Roman" w:eastAsia="Times New Roman" w:hAnsi="Times New Roman" w:cs="Times New Roman"/>
          <w:sz w:val="24"/>
          <w:szCs w:val="24"/>
        </w:rPr>
        <w:t xml:space="preserve">. Technol., vol. 15, no. 1, pp. 127–139, Feb. 2021,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10.3233/IDT-200052.</w:t>
      </w:r>
    </w:p>
    <w:p w14:paraId="7CDA80F9" w14:textId="204F3BE3"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[7] P. A. Kumar and S. </w:t>
      </w:r>
      <w:proofErr w:type="spellStart"/>
      <w:r w:rsidRPr="001858CC">
        <w:rPr>
          <w:rFonts w:ascii="Times New Roman" w:eastAsia="Times New Roman" w:hAnsi="Times New Roman" w:cs="Times New Roman"/>
          <w:sz w:val="24"/>
          <w:szCs w:val="24"/>
        </w:rPr>
        <w:t>Sountharrajan</w:t>
      </w:r>
      <w:proofErr w:type="spellEnd"/>
      <w:r w:rsidRPr="001858CC">
        <w:rPr>
          <w:rFonts w:ascii="Times New Roman" w:eastAsia="Times New Roman" w:hAnsi="Times New Roman" w:cs="Times New Roman"/>
          <w:sz w:val="24"/>
          <w:szCs w:val="24"/>
        </w:rPr>
        <w:t xml:space="preserve">, “Insurance claims estimation and fraud detection with optimized deep learning techniques,” Sci. Rep., vol. 15, art. 27296, 2025,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10.1038/s41598-025-12848-0.</w:t>
      </w:r>
    </w:p>
    <w:p w14:paraId="48C6BE52" w14:textId="1AB94331"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[8] N. Kumaraswamy, M. K. Markey, T. Ekin, J. C. Barner, and K. Rascati, “Healthcare fraud data mining methods: A look back and look ahead,” </w:t>
      </w:r>
      <w:proofErr w:type="spellStart"/>
      <w:r w:rsidRPr="001858CC">
        <w:rPr>
          <w:rFonts w:ascii="Times New Roman" w:eastAsia="Times New Roman" w:hAnsi="Times New Roman" w:cs="Times New Roman"/>
          <w:sz w:val="24"/>
          <w:szCs w:val="24"/>
        </w:rPr>
        <w:t>Perspect</w:t>
      </w:r>
      <w:proofErr w:type="spellEnd"/>
      <w:r w:rsidRPr="001858CC">
        <w:rPr>
          <w:rFonts w:ascii="Times New Roman" w:eastAsia="Times New Roman" w:hAnsi="Times New Roman" w:cs="Times New Roman"/>
          <w:sz w:val="24"/>
          <w:szCs w:val="24"/>
        </w:rPr>
        <w:t>. Health Inf. Manag., vol. 19, no. 1, p. 1i, 2022.</w:t>
      </w:r>
    </w:p>
    <w:p w14:paraId="50426638" w14:textId="50536C77"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[9] Q. Liu and M. A. </w:t>
      </w:r>
      <w:proofErr w:type="spellStart"/>
      <w:r w:rsidRPr="001858CC">
        <w:rPr>
          <w:rFonts w:ascii="Times New Roman" w:eastAsia="Times New Roman" w:hAnsi="Times New Roman" w:cs="Times New Roman"/>
          <w:sz w:val="24"/>
          <w:szCs w:val="24"/>
        </w:rPr>
        <w:t>Vasarhelyi</w:t>
      </w:r>
      <w:proofErr w:type="spellEnd"/>
      <w:r w:rsidRPr="001858CC">
        <w:rPr>
          <w:rFonts w:ascii="Times New Roman" w:eastAsia="Times New Roman" w:hAnsi="Times New Roman" w:cs="Times New Roman"/>
          <w:sz w:val="24"/>
          <w:szCs w:val="24"/>
        </w:rPr>
        <w:t>, “Healthcare fraud detection: A survey and a clustering model incorporating geo-location information,” in Proc. 29th World Continuous Auditing and Reporting Symp. (WCARS), Brisbane, Australia, Nov. 21–22, 2013.</w:t>
      </w:r>
    </w:p>
    <w:p w14:paraId="3BF3DE4F" w14:textId="2B74FDE1"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[10] I. Matloob, S. A. Khan, and H. U. Rahman, “Sequence mining and prediction-based healthcare fraud detection methodology,” IEEE Access, vol. 8, pp. 143256–143273, 2020,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10.1109/ACCESS.2020.3013962.</w:t>
      </w:r>
    </w:p>
    <w:p w14:paraId="5A56F7CC" w14:textId="423C62C0"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lastRenderedPageBreak/>
        <w:t xml:space="preserve">[11] E. </w:t>
      </w:r>
      <w:proofErr w:type="spellStart"/>
      <w:r w:rsidRPr="001858CC">
        <w:rPr>
          <w:rFonts w:ascii="Times New Roman" w:eastAsia="Times New Roman" w:hAnsi="Times New Roman" w:cs="Times New Roman"/>
          <w:sz w:val="24"/>
          <w:szCs w:val="24"/>
        </w:rPr>
        <w:t>Nabrawi</w:t>
      </w:r>
      <w:proofErr w:type="spellEnd"/>
      <w:r w:rsidRPr="001858CC">
        <w:rPr>
          <w:rFonts w:ascii="Times New Roman" w:eastAsia="Times New Roman" w:hAnsi="Times New Roman" w:cs="Times New Roman"/>
          <w:sz w:val="24"/>
          <w:szCs w:val="24"/>
        </w:rPr>
        <w:t xml:space="preserve"> and A. Alanazi, “Fraud detection in healthcare insurance claims using machine learning,” Risks, vol. 11, no. 9, art. 160, 2023,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10.3390/risks11090160.</w:t>
      </w:r>
    </w:p>
    <w:p w14:paraId="5AD1C38A" w14:textId="21A53A91"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[12] K. Razzaq and M. Shah, “Next-generation machine learning in healthcare fraud detection: Current trends, challenges, and future research directions,” Information, vol. 16, no. 9, art. 730, 2025,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10.3390/info16090730.</w:t>
      </w:r>
    </w:p>
    <w:p w14:paraId="198EE292" w14:textId="3CF5F0BA"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[13] L. </w:t>
      </w:r>
      <w:proofErr w:type="spellStart"/>
      <w:r w:rsidRPr="001858CC">
        <w:rPr>
          <w:rFonts w:ascii="Times New Roman" w:eastAsia="Times New Roman" w:hAnsi="Times New Roman" w:cs="Times New Roman"/>
          <w:sz w:val="24"/>
          <w:szCs w:val="24"/>
        </w:rPr>
        <w:t>Settipalli</w:t>
      </w:r>
      <w:proofErr w:type="spellEnd"/>
      <w:r w:rsidRPr="001858CC">
        <w:rPr>
          <w:rFonts w:ascii="Times New Roman" w:eastAsia="Times New Roman" w:hAnsi="Times New Roman" w:cs="Times New Roman"/>
          <w:sz w:val="24"/>
          <w:szCs w:val="24"/>
        </w:rPr>
        <w:t xml:space="preserve"> and G. R. Gangadharan, “WMTDBC: An unsupervised multivariate analysis model for fraud detection in health insurance claims,” Expert Syst. Appl., vol. 215, art. 119259, 2023,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10.1016/j.eswa.2022.119259.</w:t>
      </w:r>
    </w:p>
    <w:p w14:paraId="46D1172F" w14:textId="49BA662F"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[14] A. Y. B. R. </w:t>
      </w:r>
      <w:proofErr w:type="spellStart"/>
      <w:r w:rsidRPr="001858CC">
        <w:rPr>
          <w:rFonts w:ascii="Times New Roman" w:eastAsia="Times New Roman" w:hAnsi="Times New Roman" w:cs="Times New Roman"/>
          <w:sz w:val="24"/>
          <w:szCs w:val="24"/>
        </w:rPr>
        <w:t>Thaifur</w:t>
      </w:r>
      <w:proofErr w:type="spellEnd"/>
      <w:r w:rsidRPr="001858CC">
        <w:rPr>
          <w:rFonts w:ascii="Times New Roman" w:eastAsia="Times New Roman" w:hAnsi="Times New Roman" w:cs="Times New Roman"/>
          <w:sz w:val="24"/>
          <w:szCs w:val="24"/>
        </w:rPr>
        <w:t xml:space="preserve">, M. A. Maidin, A. I. </w:t>
      </w:r>
      <w:proofErr w:type="spellStart"/>
      <w:r w:rsidRPr="001858CC">
        <w:rPr>
          <w:rFonts w:ascii="Times New Roman" w:eastAsia="Times New Roman" w:hAnsi="Times New Roman" w:cs="Times New Roman"/>
          <w:sz w:val="24"/>
          <w:szCs w:val="24"/>
        </w:rPr>
        <w:t>Sidin</w:t>
      </w:r>
      <w:proofErr w:type="spellEnd"/>
      <w:r w:rsidRPr="001858CC">
        <w:rPr>
          <w:rFonts w:ascii="Times New Roman" w:eastAsia="Times New Roman" w:hAnsi="Times New Roman" w:cs="Times New Roman"/>
          <w:sz w:val="24"/>
          <w:szCs w:val="24"/>
        </w:rPr>
        <w:t xml:space="preserve">, and A. Razak, “How to detect healthcare fraud? A systematic review,” Gac. Sanit., vol. 35, suppl. 2, pp. 441–449, 2021,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10.1016/j.gaceta.2021.07.022.</w:t>
      </w:r>
    </w:p>
    <w:p w14:paraId="00000026" w14:textId="5E7333D9" w:rsidR="00003EE0"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[15] M. C. Massi, F. Ieva, and E. Lettieri, “Data mining application to healthcare fraud detection: A two-step unsupervised clustering method for outlier detection with administrative databases,” BMC Med. Inform. </w:t>
      </w:r>
      <w:proofErr w:type="spellStart"/>
      <w:r w:rsidRPr="001858CC">
        <w:rPr>
          <w:rFonts w:ascii="Times New Roman" w:eastAsia="Times New Roman" w:hAnsi="Times New Roman" w:cs="Times New Roman"/>
          <w:sz w:val="24"/>
          <w:szCs w:val="24"/>
        </w:rPr>
        <w:t>Decis</w:t>
      </w:r>
      <w:proofErr w:type="spellEnd"/>
      <w:r w:rsidRPr="001858CC">
        <w:rPr>
          <w:rFonts w:ascii="Times New Roman" w:eastAsia="Times New Roman" w:hAnsi="Times New Roman" w:cs="Times New Roman"/>
          <w:sz w:val="24"/>
          <w:szCs w:val="24"/>
        </w:rPr>
        <w:t xml:space="preserve">. Mak., vol. 20, art. 160, 2020,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10.1186/s12911-020-01143-9.</w:t>
      </w:r>
    </w:p>
    <w:sectPr w:rsidR="00003EE0" w:rsidRPr="001858CC">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D770E" w14:textId="77777777" w:rsidR="00B0736E" w:rsidRDefault="00B0736E" w:rsidP="00FF07ED">
      <w:pPr>
        <w:spacing w:line="240" w:lineRule="auto"/>
      </w:pPr>
      <w:r>
        <w:separator/>
      </w:r>
    </w:p>
  </w:endnote>
  <w:endnote w:type="continuationSeparator" w:id="0">
    <w:p w14:paraId="2D485082" w14:textId="77777777" w:rsidR="00B0736E" w:rsidRDefault="00B0736E" w:rsidP="00FF07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CA08775D-D25D-4F8B-A80F-1DCCF21C0858}"/>
    <w:embedBold r:id="rId2" w:fontKey="{963FA485-5DD8-4577-9BCF-2F5648547FF0}"/>
  </w:font>
  <w:font w:name="Calibri">
    <w:panose1 w:val="020F0502020204030204"/>
    <w:charset w:val="00"/>
    <w:family w:val="swiss"/>
    <w:pitch w:val="variable"/>
    <w:sig w:usb0="E4002EFF" w:usb1="C200247B" w:usb2="00000009" w:usb3="00000000" w:csb0="000001FF" w:csb1="00000000"/>
    <w:embedRegular r:id="rId3" w:fontKey="{5D0034A9-3927-44A8-98A1-08F8AC2C6BBE}"/>
    <w:embedBold r:id="rId4" w:fontKey="{8D49FAA1-E926-4E91-ACBB-F0E17ABD356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ABB5D" w14:textId="77777777" w:rsidR="00B0736E" w:rsidRDefault="00B0736E" w:rsidP="00FF07ED">
      <w:pPr>
        <w:spacing w:line="240" w:lineRule="auto"/>
      </w:pPr>
      <w:r>
        <w:separator/>
      </w:r>
    </w:p>
  </w:footnote>
  <w:footnote w:type="continuationSeparator" w:id="0">
    <w:p w14:paraId="366B0C68" w14:textId="77777777" w:rsidR="00B0736E" w:rsidRDefault="00B0736E" w:rsidP="00FF07ED">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EE0"/>
    <w:rsid w:val="00003EE0"/>
    <w:rsid w:val="00030CF4"/>
    <w:rsid w:val="00031A6B"/>
    <w:rsid w:val="000A78E8"/>
    <w:rsid w:val="000C490C"/>
    <w:rsid w:val="0012442C"/>
    <w:rsid w:val="00147157"/>
    <w:rsid w:val="0016581C"/>
    <w:rsid w:val="001858CC"/>
    <w:rsid w:val="00190042"/>
    <w:rsid w:val="001B78DE"/>
    <w:rsid w:val="00215AEF"/>
    <w:rsid w:val="0024172A"/>
    <w:rsid w:val="00252507"/>
    <w:rsid w:val="00266567"/>
    <w:rsid w:val="002C5D5E"/>
    <w:rsid w:val="00300698"/>
    <w:rsid w:val="00331220"/>
    <w:rsid w:val="004006B0"/>
    <w:rsid w:val="004100F3"/>
    <w:rsid w:val="00466C06"/>
    <w:rsid w:val="00475B94"/>
    <w:rsid w:val="004907CD"/>
    <w:rsid w:val="004A2F83"/>
    <w:rsid w:val="004B1344"/>
    <w:rsid w:val="004B78FD"/>
    <w:rsid w:val="004E0045"/>
    <w:rsid w:val="004E74F5"/>
    <w:rsid w:val="0050313E"/>
    <w:rsid w:val="00525A33"/>
    <w:rsid w:val="0054509F"/>
    <w:rsid w:val="00562CA6"/>
    <w:rsid w:val="005A48BF"/>
    <w:rsid w:val="005E738C"/>
    <w:rsid w:val="005F68C8"/>
    <w:rsid w:val="00666B08"/>
    <w:rsid w:val="00666EAD"/>
    <w:rsid w:val="006C3EB7"/>
    <w:rsid w:val="006F6A93"/>
    <w:rsid w:val="00714167"/>
    <w:rsid w:val="00743021"/>
    <w:rsid w:val="0075103F"/>
    <w:rsid w:val="00752513"/>
    <w:rsid w:val="0077337F"/>
    <w:rsid w:val="007B4152"/>
    <w:rsid w:val="007C33BC"/>
    <w:rsid w:val="007D0706"/>
    <w:rsid w:val="008153EB"/>
    <w:rsid w:val="00895AAA"/>
    <w:rsid w:val="008F4673"/>
    <w:rsid w:val="00921C4E"/>
    <w:rsid w:val="0092230A"/>
    <w:rsid w:val="00961195"/>
    <w:rsid w:val="00980E92"/>
    <w:rsid w:val="0099226F"/>
    <w:rsid w:val="009B407B"/>
    <w:rsid w:val="009E36B0"/>
    <w:rsid w:val="00A21936"/>
    <w:rsid w:val="00A2675E"/>
    <w:rsid w:val="00A41183"/>
    <w:rsid w:val="00A5133A"/>
    <w:rsid w:val="00A719C0"/>
    <w:rsid w:val="00AB3535"/>
    <w:rsid w:val="00AF1323"/>
    <w:rsid w:val="00B0736E"/>
    <w:rsid w:val="00B134E6"/>
    <w:rsid w:val="00B40840"/>
    <w:rsid w:val="00BC62F8"/>
    <w:rsid w:val="00BE0214"/>
    <w:rsid w:val="00C44040"/>
    <w:rsid w:val="00C44501"/>
    <w:rsid w:val="00C63579"/>
    <w:rsid w:val="00C84A01"/>
    <w:rsid w:val="00CA7F4D"/>
    <w:rsid w:val="00CC62F9"/>
    <w:rsid w:val="00CF48EC"/>
    <w:rsid w:val="00D06341"/>
    <w:rsid w:val="00D36175"/>
    <w:rsid w:val="00D83B35"/>
    <w:rsid w:val="00D87CE6"/>
    <w:rsid w:val="00DA3B76"/>
    <w:rsid w:val="00DC1E75"/>
    <w:rsid w:val="00DE5BA8"/>
    <w:rsid w:val="00E059EF"/>
    <w:rsid w:val="00E07F55"/>
    <w:rsid w:val="00E33CCB"/>
    <w:rsid w:val="00E91925"/>
    <w:rsid w:val="00EA22F1"/>
    <w:rsid w:val="00EA22F2"/>
    <w:rsid w:val="00EB01E0"/>
    <w:rsid w:val="00EB6B67"/>
    <w:rsid w:val="00EC1D80"/>
    <w:rsid w:val="00F31D8C"/>
    <w:rsid w:val="00F43E4E"/>
    <w:rsid w:val="00F60ECE"/>
    <w:rsid w:val="00F7593F"/>
    <w:rsid w:val="00FC1A8F"/>
    <w:rsid w:val="00FF07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2D2AC1"/>
  <w15:docId w15:val="{BA3802A0-2B9B-4477-AC94-A1767750D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6F6A93"/>
    <w:rPr>
      <w:color w:val="0000FF" w:themeColor="hyperlink"/>
      <w:u w:val="single"/>
    </w:rPr>
  </w:style>
  <w:style w:type="character" w:styleId="UnresolvedMention">
    <w:name w:val="Unresolved Mention"/>
    <w:basedOn w:val="DefaultParagraphFont"/>
    <w:uiPriority w:val="99"/>
    <w:semiHidden/>
    <w:unhideWhenUsed/>
    <w:rsid w:val="006F6A93"/>
    <w:rPr>
      <w:color w:val="605E5C"/>
      <w:shd w:val="clear" w:color="auto" w:fill="E1DFDD"/>
    </w:rPr>
  </w:style>
  <w:style w:type="paragraph" w:styleId="NormalWeb">
    <w:name w:val="Normal (Web)"/>
    <w:basedOn w:val="Normal"/>
    <w:uiPriority w:val="99"/>
    <w:semiHidden/>
    <w:unhideWhenUsed/>
    <w:rsid w:val="005F68C8"/>
    <w:rPr>
      <w:rFonts w:ascii="Times New Roman" w:hAnsi="Times New Roman" w:cs="Times New Roman"/>
      <w:sz w:val="24"/>
      <w:szCs w:val="24"/>
    </w:rPr>
  </w:style>
  <w:style w:type="table" w:styleId="LightGrid-Accent1">
    <w:name w:val="Light Grid Accent 1"/>
    <w:basedOn w:val="TableNormal"/>
    <w:uiPriority w:val="62"/>
    <w:rsid w:val="00921C4E"/>
    <w:pPr>
      <w:spacing w:line="240" w:lineRule="auto"/>
    </w:pPr>
    <w:rPr>
      <w:rFonts w:asciiTheme="minorHAnsi" w:eastAsiaTheme="minorEastAsia" w:hAnsiTheme="minorHAnsi" w:cstheme="minorBidi"/>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eader">
    <w:name w:val="header"/>
    <w:basedOn w:val="Normal"/>
    <w:link w:val="HeaderChar"/>
    <w:uiPriority w:val="99"/>
    <w:unhideWhenUsed/>
    <w:rsid w:val="00FF07ED"/>
    <w:pPr>
      <w:tabs>
        <w:tab w:val="center" w:pos="4680"/>
        <w:tab w:val="right" w:pos="9360"/>
      </w:tabs>
      <w:spacing w:line="240" w:lineRule="auto"/>
    </w:pPr>
  </w:style>
  <w:style w:type="character" w:customStyle="1" w:styleId="HeaderChar">
    <w:name w:val="Header Char"/>
    <w:basedOn w:val="DefaultParagraphFont"/>
    <w:link w:val="Header"/>
    <w:uiPriority w:val="99"/>
    <w:rsid w:val="00FF07ED"/>
  </w:style>
  <w:style w:type="paragraph" w:styleId="Footer">
    <w:name w:val="footer"/>
    <w:basedOn w:val="Normal"/>
    <w:link w:val="FooterChar"/>
    <w:uiPriority w:val="99"/>
    <w:unhideWhenUsed/>
    <w:rsid w:val="00FF07ED"/>
    <w:pPr>
      <w:tabs>
        <w:tab w:val="center" w:pos="4680"/>
        <w:tab w:val="right" w:pos="9360"/>
      </w:tabs>
      <w:spacing w:line="240" w:lineRule="auto"/>
    </w:pPr>
  </w:style>
  <w:style w:type="character" w:customStyle="1" w:styleId="FooterChar">
    <w:name w:val="Footer Char"/>
    <w:basedOn w:val="DefaultParagraphFont"/>
    <w:link w:val="Footer"/>
    <w:uiPriority w:val="99"/>
    <w:rsid w:val="00FF07ED"/>
  </w:style>
  <w:style w:type="table" w:styleId="TableGrid">
    <w:name w:val="Table Grid"/>
    <w:basedOn w:val="TableNormal"/>
    <w:uiPriority w:val="59"/>
    <w:rsid w:val="00895AAA"/>
    <w:pPr>
      <w:spacing w:line="240" w:lineRule="auto"/>
    </w:pPr>
    <w:rPr>
      <w:rFonts w:asciiTheme="minorHAnsi" w:eastAsiaTheme="minorEastAsia" w:hAnsiTheme="minorHAnsi" w:cstheme="minorBid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E36B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mishkatfamily@gmail.com" TargetMode="Externa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zayed.md.uddin273@gmail.com" TargetMode="Externa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hyperlink" Target="mailto:srajeev@coppin.edu"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ulugbekabdurakhmonov.tennis@gmail.com" TargetMode="Externa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6C4207-C84B-4CE9-A3B3-760E86AA4E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7240</TotalTime>
  <Pages>14</Pages>
  <Words>3916</Words>
  <Characters>23187</Characters>
  <Application>Microsoft Office Word</Application>
  <DocSecurity>0</DocSecurity>
  <Lines>445</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Uddin, Zayed Mohammed - (STUDENT)</cp:lastModifiedBy>
  <cp:revision>34</cp:revision>
  <dcterms:created xsi:type="dcterms:W3CDTF">2025-11-27T19:07:00Z</dcterms:created>
  <dcterms:modified xsi:type="dcterms:W3CDTF">2025-12-10T21:23:00Z</dcterms:modified>
</cp:coreProperties>
</file>