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0D127" w14:textId="05073ACB" w:rsidR="00A603E8" w:rsidRPr="00A603E8" w:rsidRDefault="00A603E8" w:rsidP="00A603E8">
      <w:pPr>
        <w:numPr>
          <w:ilvl w:val="0"/>
          <w:numId w:val="1"/>
        </w:numPr>
      </w:pPr>
      <w:r w:rsidRPr="00A603E8">
        <w:rPr>
          <w:b/>
          <w:bCs/>
        </w:rPr>
        <w:t>Detection unit: Provider first, claims second</w:t>
      </w:r>
      <w:r w:rsidRPr="00A603E8">
        <w:br/>
        <w:t xml:space="preserve">Think of the </w:t>
      </w:r>
      <w:r w:rsidRPr="00A603E8">
        <w:rPr>
          <w:b/>
          <w:bCs/>
        </w:rPr>
        <w:t>provider</w:t>
      </w:r>
      <w:r w:rsidRPr="00A603E8">
        <w:t xml:space="preserve"> (clinic or doctor) as the main thing we score. Individual </w:t>
      </w:r>
      <w:r w:rsidRPr="00A603E8">
        <w:rPr>
          <w:b/>
          <w:bCs/>
        </w:rPr>
        <w:t>claims</w:t>
      </w:r>
      <w:r w:rsidRPr="00A603E8">
        <w:t xml:space="preserve"> are still used, for example, and supporting evidence, but decisions are made at the provider level. Why? Fraud patterns (like upcoding or repeat duplicates) usually show up </w:t>
      </w:r>
      <w:r w:rsidRPr="00A603E8">
        <w:rPr>
          <w:b/>
          <w:bCs/>
        </w:rPr>
        <w:t>across many claims</w:t>
      </w:r>
      <w:r w:rsidRPr="00A603E8">
        <w:t xml:space="preserve"> by the same provider, not just one. Agencies also track provider-level sanctions (e.g., OIG exclusions), which makes evaluation and weak labels more practical. </w:t>
      </w:r>
    </w:p>
    <w:p w14:paraId="3DA4998A" w14:textId="77777777" w:rsidR="00A603E8" w:rsidRPr="00A603E8" w:rsidRDefault="00A603E8" w:rsidP="00A603E8">
      <w:pPr>
        <w:numPr>
          <w:ilvl w:val="0"/>
          <w:numId w:val="1"/>
        </w:numPr>
      </w:pPr>
      <w:r w:rsidRPr="00A603E8">
        <w:rPr>
          <w:b/>
          <w:bCs/>
        </w:rPr>
        <w:t>Fraud types to start with: duplicate billing, upcoding/misrepresentation, overcharging</w:t>
      </w:r>
      <w:r w:rsidRPr="00A603E8">
        <w:br/>
        <w:t>These are the “big three” that are well-defined, common, and measurable from claims:</w:t>
      </w:r>
    </w:p>
    <w:p w14:paraId="6EA321D7" w14:textId="77777777" w:rsidR="00A603E8" w:rsidRPr="00A603E8" w:rsidRDefault="00A603E8" w:rsidP="00A603E8">
      <w:pPr>
        <w:numPr>
          <w:ilvl w:val="0"/>
          <w:numId w:val="2"/>
        </w:numPr>
      </w:pPr>
      <w:r w:rsidRPr="00A603E8">
        <w:rPr>
          <w:b/>
          <w:bCs/>
        </w:rPr>
        <w:t>Duplicate billing</w:t>
      </w:r>
      <w:r w:rsidRPr="00A603E8">
        <w:t xml:space="preserve"> (same service billed multiple times),</w:t>
      </w:r>
    </w:p>
    <w:p w14:paraId="035625BA" w14:textId="77777777" w:rsidR="00A603E8" w:rsidRPr="00A603E8" w:rsidRDefault="00A603E8" w:rsidP="00A603E8">
      <w:pPr>
        <w:numPr>
          <w:ilvl w:val="0"/>
          <w:numId w:val="2"/>
        </w:numPr>
      </w:pPr>
      <w:r w:rsidRPr="00A603E8">
        <w:rPr>
          <w:b/>
          <w:bCs/>
        </w:rPr>
        <w:t>Upcoding/misuse of codes</w:t>
      </w:r>
      <w:r w:rsidRPr="00A603E8">
        <w:t xml:space="preserve"> (billing a higher level than performed),</w:t>
      </w:r>
    </w:p>
    <w:p w14:paraId="1AF20459" w14:textId="55D13C21" w:rsidR="00A603E8" w:rsidRPr="00A603E8" w:rsidRDefault="00A603E8" w:rsidP="00A603E8">
      <w:pPr>
        <w:numPr>
          <w:ilvl w:val="0"/>
          <w:numId w:val="2"/>
        </w:numPr>
      </w:pPr>
      <w:r w:rsidRPr="00A603E8">
        <w:rPr>
          <w:b/>
          <w:bCs/>
        </w:rPr>
        <w:t>Overcharging/outlier pricing</w:t>
      </w:r>
      <w:r w:rsidRPr="00A603E8">
        <w:t xml:space="preserve"> (amounts out of line with peers).</w:t>
      </w:r>
      <w:r w:rsidRPr="00A603E8">
        <w:br/>
        <w:t>They’re widely recognized by CMS/OIG/FBI guidance, so you’ll find rules and examples to anchor features and baselines.</w:t>
      </w:r>
    </w:p>
    <w:p w14:paraId="519D9183" w14:textId="22CFA1EE" w:rsidR="00A603E8" w:rsidRPr="00A603E8" w:rsidRDefault="00A603E8" w:rsidP="00A603E8">
      <w:pPr>
        <w:numPr>
          <w:ilvl w:val="0"/>
          <w:numId w:val="3"/>
        </w:numPr>
      </w:pPr>
      <w:r w:rsidRPr="00A603E8">
        <w:rPr>
          <w:b/>
          <w:bCs/>
        </w:rPr>
        <w:t>Primary metric: Precision@K (Providers)</w:t>
      </w:r>
      <w:r w:rsidRPr="00A603E8">
        <w:br/>
        <w:t xml:space="preserve">We judge success by: “Among the </w:t>
      </w:r>
      <w:r w:rsidRPr="00A603E8">
        <w:rPr>
          <w:b/>
          <w:bCs/>
        </w:rPr>
        <w:t>top K</w:t>
      </w:r>
      <w:r w:rsidRPr="00A603E8">
        <w:t xml:space="preserve"> providers we flag, how many are truly suspicious?” This matches real life where your audit team can only review a </w:t>
      </w:r>
      <w:r w:rsidRPr="00A603E8">
        <w:rPr>
          <w:b/>
          <w:bCs/>
        </w:rPr>
        <w:t>fixed number</w:t>
      </w:r>
      <w:r w:rsidRPr="00A603E8">
        <w:t xml:space="preserve"> (budget) each cycle. Precision@K is the right fit for “rank the riskiest first,” and we’ll also track PR-curve/AUCPR for overall performance on imbalanced data.</w:t>
      </w:r>
    </w:p>
    <w:p w14:paraId="24E43DDC" w14:textId="77777777" w:rsidR="00A603E8" w:rsidRPr="00A603E8" w:rsidRDefault="00A603E8" w:rsidP="00A603E8">
      <w:pPr>
        <w:numPr>
          <w:ilvl w:val="0"/>
          <w:numId w:val="3"/>
        </w:numPr>
      </w:pPr>
      <w:r w:rsidRPr="00A603E8">
        <w:rPr>
          <w:b/>
          <w:bCs/>
        </w:rPr>
        <w:t>Secondary metrics: FP per 1,000 claims, Recall at the audit budget, AUCPR</w:t>
      </w:r>
    </w:p>
    <w:p w14:paraId="6325F0A5" w14:textId="4AF6874E" w:rsidR="00A603E8" w:rsidRPr="00A603E8" w:rsidRDefault="00A603E8" w:rsidP="00A603E8">
      <w:pPr>
        <w:numPr>
          <w:ilvl w:val="0"/>
          <w:numId w:val="4"/>
        </w:numPr>
      </w:pPr>
      <w:r w:rsidRPr="00A603E8">
        <w:rPr>
          <w:b/>
          <w:bCs/>
        </w:rPr>
        <w:t>False positives per 1,000 claims</w:t>
      </w:r>
      <w:r w:rsidRPr="00A603E8">
        <w:t xml:space="preserve"> keep noise manageable for reviewers.</w:t>
      </w:r>
    </w:p>
    <w:p w14:paraId="418DCDF9" w14:textId="77777777" w:rsidR="00A603E8" w:rsidRPr="00A603E8" w:rsidRDefault="00A603E8" w:rsidP="00A603E8">
      <w:pPr>
        <w:numPr>
          <w:ilvl w:val="0"/>
          <w:numId w:val="4"/>
        </w:numPr>
      </w:pPr>
      <w:r w:rsidRPr="00A603E8">
        <w:rPr>
          <w:b/>
          <w:bCs/>
        </w:rPr>
        <w:t>Recall at budget</w:t>
      </w:r>
      <w:r w:rsidRPr="00A603E8">
        <w:t xml:space="preserve"> checks how many true baddies we catch in the chunk we review.</w:t>
      </w:r>
    </w:p>
    <w:p w14:paraId="78238FBD" w14:textId="2B6D2B46" w:rsidR="00A603E8" w:rsidRPr="00A603E8" w:rsidRDefault="00A603E8" w:rsidP="00A603E8">
      <w:pPr>
        <w:numPr>
          <w:ilvl w:val="0"/>
          <w:numId w:val="4"/>
        </w:numPr>
      </w:pPr>
      <w:r w:rsidRPr="00A603E8">
        <w:rPr>
          <w:b/>
          <w:bCs/>
        </w:rPr>
        <w:t>AUCPR</w:t>
      </w:r>
      <w:r w:rsidRPr="00A603E8">
        <w:t xml:space="preserve"> is the standard for imbalanced fraud problems (better than ROC here).</w:t>
      </w:r>
    </w:p>
    <w:p w14:paraId="074E2E0A" w14:textId="75B97389" w:rsidR="00A603E8" w:rsidRPr="00A603E8" w:rsidRDefault="00A603E8" w:rsidP="00A603E8">
      <w:pPr>
        <w:numPr>
          <w:ilvl w:val="0"/>
          <w:numId w:val="5"/>
        </w:numPr>
      </w:pPr>
      <w:r w:rsidRPr="00A603E8">
        <w:rPr>
          <w:b/>
          <w:bCs/>
        </w:rPr>
        <w:t>Audit budget (simulation): ~100 providers/month + ~300 claims/month</w:t>
      </w:r>
      <w:r w:rsidRPr="00A603E8">
        <w:br/>
        <w:t>We pick realistic round numbers so we can tune thresholds practically</w:t>
      </w:r>
      <w:r>
        <w:t xml:space="preserve">. </w:t>
      </w:r>
      <w:r w:rsidRPr="00A603E8">
        <w:t xml:space="preserve">It forces the model to surface </w:t>
      </w:r>
      <w:r w:rsidRPr="00A603E8">
        <w:rPr>
          <w:b/>
          <w:bCs/>
        </w:rPr>
        <w:t>quality over quantity</w:t>
      </w:r>
      <w:r w:rsidRPr="00A603E8">
        <w:t>—the first 100 should be strong. (Budget-bounded evaluation is industry-standard in fraud ops.)</w:t>
      </w:r>
    </w:p>
    <w:p w14:paraId="5D48EA28" w14:textId="77777777" w:rsidR="00A603E8" w:rsidRPr="00A603E8" w:rsidRDefault="00A603E8" w:rsidP="00A603E8">
      <w:pPr>
        <w:numPr>
          <w:ilvl w:val="0"/>
          <w:numId w:val="5"/>
        </w:numPr>
      </w:pPr>
      <w:r w:rsidRPr="00A603E8">
        <w:rPr>
          <w:b/>
          <w:bCs/>
        </w:rPr>
        <w:t xml:space="preserve">Baselines to </w:t>
      </w:r>
      <w:proofErr w:type="gramStart"/>
      <w:r w:rsidRPr="00A603E8">
        <w:rPr>
          <w:b/>
          <w:bCs/>
        </w:rPr>
        <w:t>beat:</w:t>
      </w:r>
      <w:proofErr w:type="gramEnd"/>
      <w:r w:rsidRPr="00A603E8">
        <w:rPr>
          <w:b/>
          <w:bCs/>
        </w:rPr>
        <w:t xml:space="preserve"> rules-only, random, and peer z-scores</w:t>
      </w:r>
      <w:r w:rsidRPr="00A603E8">
        <w:br/>
        <w:t>We’ll compare the ML system to:</w:t>
      </w:r>
    </w:p>
    <w:p w14:paraId="514BE708" w14:textId="77777777" w:rsidR="00A603E8" w:rsidRPr="00A603E8" w:rsidRDefault="00A603E8" w:rsidP="00A603E8">
      <w:pPr>
        <w:numPr>
          <w:ilvl w:val="0"/>
          <w:numId w:val="6"/>
        </w:numPr>
      </w:pPr>
      <w:r w:rsidRPr="00A603E8">
        <w:rPr>
          <w:b/>
          <w:bCs/>
        </w:rPr>
        <w:t>Rules-only</w:t>
      </w:r>
      <w:r w:rsidRPr="00A603E8">
        <w:t xml:space="preserve"> (duplicates, code misuse, outlier charges),</w:t>
      </w:r>
    </w:p>
    <w:p w14:paraId="67EB0A53" w14:textId="77777777" w:rsidR="00A603E8" w:rsidRPr="00A603E8" w:rsidRDefault="00A603E8" w:rsidP="00A603E8">
      <w:pPr>
        <w:numPr>
          <w:ilvl w:val="0"/>
          <w:numId w:val="6"/>
        </w:numPr>
      </w:pPr>
      <w:r w:rsidRPr="00A603E8">
        <w:rPr>
          <w:b/>
          <w:bCs/>
        </w:rPr>
        <w:lastRenderedPageBreak/>
        <w:t>Random</w:t>
      </w:r>
      <w:r w:rsidRPr="00A603E8">
        <w:t xml:space="preserve"> (sanity check),</w:t>
      </w:r>
    </w:p>
    <w:p w14:paraId="3EF80BFC" w14:textId="162E954F" w:rsidR="00A603E8" w:rsidRPr="00A603E8" w:rsidRDefault="00A603E8" w:rsidP="00A603E8">
      <w:pPr>
        <w:numPr>
          <w:ilvl w:val="0"/>
          <w:numId w:val="6"/>
        </w:numPr>
      </w:pPr>
      <w:r w:rsidRPr="00A603E8">
        <w:rPr>
          <w:b/>
          <w:bCs/>
        </w:rPr>
        <w:t>Peer z-scores</w:t>
      </w:r>
      <w:r w:rsidRPr="00A603E8">
        <w:t xml:space="preserve"> (simple statistical outlier vs specialty/DRG).</w:t>
      </w:r>
      <w:r w:rsidRPr="00A603E8">
        <w:br/>
        <w:t>These are common, defensible yardsticks in healthcare fraud mining literature.</w:t>
      </w:r>
    </w:p>
    <w:p w14:paraId="4CF0A9B9" w14:textId="7E9A3675" w:rsidR="00A603E8" w:rsidRPr="00A603E8" w:rsidRDefault="00A603E8" w:rsidP="00A603E8">
      <w:pPr>
        <w:numPr>
          <w:ilvl w:val="0"/>
          <w:numId w:val="7"/>
        </w:numPr>
      </w:pPr>
      <w:r w:rsidRPr="00A603E8">
        <w:rPr>
          <w:b/>
          <w:bCs/>
        </w:rPr>
        <w:t>Interpretability: SHAP + rule hit list + peer comparison card</w:t>
      </w:r>
      <w:r w:rsidRPr="00A603E8">
        <w:br/>
        <w:t>Every flagged provider should come with a “why”: top contributing features (SHAP), which rules they tripped, and where they stand vs peers. SHAP is a widely accepted framework for per-prediction explanations and is well documented in healthcare ML tutorials.</w:t>
      </w:r>
    </w:p>
    <w:p w14:paraId="47ABFC9E" w14:textId="77777777" w:rsidR="00A603E8" w:rsidRPr="00A603E8" w:rsidRDefault="00A603E8" w:rsidP="00A603E8">
      <w:pPr>
        <w:numPr>
          <w:ilvl w:val="0"/>
          <w:numId w:val="7"/>
        </w:numPr>
      </w:pPr>
      <w:r w:rsidRPr="00A603E8">
        <w:rPr>
          <w:b/>
          <w:bCs/>
        </w:rPr>
        <w:t>Fairness &amp; governance checks</w:t>
      </w:r>
      <w:r w:rsidRPr="00A603E8">
        <w:br/>
        <w:t>We’ll monitor performance across demographic/geography slices (e.g., region, age bands, dual-eligibility) and keep sensible hard filters (e.g., don’t mis-flag excluded/provider-status artifacts). This aligns with how program integrity and exclusion lists are handled operationally (e.g., OIG’s LEIE).</w:t>
      </w:r>
    </w:p>
    <w:p w14:paraId="00F6CE7A" w14:textId="77777777" w:rsidR="00F2290D" w:rsidRDefault="00F2290D"/>
    <w:sectPr w:rsidR="00F22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B42DE"/>
    <w:multiLevelType w:val="multilevel"/>
    <w:tmpl w:val="F2B807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C5FE3"/>
    <w:multiLevelType w:val="multilevel"/>
    <w:tmpl w:val="830CC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6A0ADE"/>
    <w:multiLevelType w:val="multilevel"/>
    <w:tmpl w:val="429A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861FD"/>
    <w:multiLevelType w:val="multilevel"/>
    <w:tmpl w:val="DDC6A3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1373E8"/>
    <w:multiLevelType w:val="multilevel"/>
    <w:tmpl w:val="DBCC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5226E"/>
    <w:multiLevelType w:val="multilevel"/>
    <w:tmpl w:val="39FE31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687448"/>
    <w:multiLevelType w:val="multilevel"/>
    <w:tmpl w:val="9FB0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910729">
    <w:abstractNumId w:val="1"/>
  </w:num>
  <w:num w:numId="2" w16cid:durableId="240262829">
    <w:abstractNumId w:val="2"/>
  </w:num>
  <w:num w:numId="3" w16cid:durableId="915432570">
    <w:abstractNumId w:val="0"/>
  </w:num>
  <w:num w:numId="4" w16cid:durableId="452945712">
    <w:abstractNumId w:val="6"/>
  </w:num>
  <w:num w:numId="5" w16cid:durableId="1733847209">
    <w:abstractNumId w:val="5"/>
  </w:num>
  <w:num w:numId="6" w16cid:durableId="694044764">
    <w:abstractNumId w:val="4"/>
  </w:num>
  <w:num w:numId="7" w16cid:durableId="54594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65E"/>
    <w:rsid w:val="005B365E"/>
    <w:rsid w:val="006C3474"/>
    <w:rsid w:val="00A603E8"/>
    <w:rsid w:val="00DB2BDF"/>
    <w:rsid w:val="00F2290D"/>
    <w:rsid w:val="00FF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726A9"/>
  <w15:chartTrackingRefBased/>
  <w15:docId w15:val="{1C17763F-FB30-4FAB-AA20-D3FA498DE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6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03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03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2</Pages>
  <Words>422</Words>
  <Characters>2483</Characters>
  <Application>Microsoft Office Word</Application>
  <DocSecurity>0</DocSecurity>
  <Lines>45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Uddin, Zayed Mohammed - (STUDENT)</dc:creator>
  <cp:keywords/>
  <dc:description/>
  <cp:lastModifiedBy>Uddin, Zayed Mohammed - (STUDENT)</cp:lastModifiedBy>
  <cp:revision>3</cp:revision>
  <dcterms:created xsi:type="dcterms:W3CDTF">2025-10-07T22:27:00Z</dcterms:created>
  <dcterms:modified xsi:type="dcterms:W3CDTF">2025-10-08T11:38:00Z</dcterms:modified>
</cp:coreProperties>
</file>