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jy3pc4iardt" w:id="0"/>
      <w:bookmarkEnd w:id="0"/>
      <w:r w:rsidDel="00000000" w:rsidR="00000000" w:rsidRPr="00000000">
        <w:rPr>
          <w:rtl w:val="0"/>
        </w:rPr>
        <w:t xml:space="preserve">Kirklees Healthy Working Life Service Finder — Option Appraisal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Option Appraisal evaluates the potential development, hosting, and rollout models for the </w:t>
      </w:r>
      <w:r w:rsidDel="00000000" w:rsidR="00000000" w:rsidRPr="00000000">
        <w:rPr>
          <w:b w:val="1"/>
          <w:bCs w:val="1"/>
          <w:rtl w:val="0"/>
        </w:rPr>
        <w:t xml:space="preserve">Kirklees Service Finder</w:t>
      </w:r>
      <w:r w:rsidDel="00000000" w:rsidR="00000000" w:rsidRPr="00000000">
        <w:rPr>
          <w:rtl w:val="0"/>
        </w:rPr>
        <w:t xml:space="preserve">, a platform designed to connect residents and professionals with vital community resources.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y45b16dtz9a" w:id="1"/>
      <w:bookmarkEnd w:id="1"/>
      <w:r w:rsidDel="00000000" w:rsidR="00000000" w:rsidRPr="00000000">
        <w:rPr>
          <w:rtl w:val="0"/>
        </w:rPr>
        <w:t xml:space="preserve">Strategic Context &amp; Constraints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Kirklees </w:t>
      </w:r>
      <w:r w:rsidDel="00000000" w:rsidR="00000000" w:rsidRPr="00000000">
        <w:rPr>
          <w:rtl w:val="0"/>
        </w:rPr>
        <w:t xml:space="preserve">Healthy Working Life </w:t>
      </w:r>
      <w:r w:rsidDel="00000000" w:rsidR="00000000" w:rsidRPr="00000000">
        <w:rPr>
          <w:rtl w:val="0"/>
        </w:rPr>
        <w:t xml:space="preserve">Service Finder is envisioned as a central digital utility. Its implementation is guided by several critical parameters: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Must be completely </w:t>
      </w:r>
      <w:r w:rsidDel="00000000" w:rsidR="00000000" w:rsidRPr="00000000">
        <w:rPr>
          <w:b w:val="1"/>
          <w:bCs w:val="1"/>
          <w:rtl w:val="0"/>
        </w:rPr>
        <w:t xml:space="preserve">free to use</w:t>
      </w:r>
      <w:r w:rsidDel="00000000" w:rsidR="00000000" w:rsidRPr="00000000">
        <w:rPr>
          <w:rtl w:val="0"/>
        </w:rPr>
        <w:t xml:space="preserve"> for frontline staff across local partners (NHS, Kirklees Council, Third Sector Leaders / Voluntary Sector, Wellness Works) and accessible directly to the public.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Functionality:</w:t>
      </w:r>
      <w:r w:rsidDel="00000000" w:rsidR="00000000" w:rsidRPr="00000000">
        <w:rPr>
          <w:rtl w:val="0"/>
        </w:rPr>
        <w:t xml:space="preserve"> Automated web/directory scraping, AI-driven RAG (Retrieval-Augmented Generation) querying, curated service database, privacy-first session handling, and expansion beyond initial "Work and Health" priorities.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3ac79abzby9r" w:id="2"/>
      <w:bookmarkEnd w:id="2"/>
      <w:r w:rsidDel="00000000" w:rsidR="00000000" w:rsidRPr="00000000">
        <w:rPr>
          <w:rtl w:val="0"/>
        </w:rPr>
        <w:t xml:space="preserve">Option Appraisal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following models represent the three primary pathways for technical realization: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1:</w:t>
      </w:r>
      <w:r w:rsidDel="00000000" w:rsidR="00000000" w:rsidRPr="00000000">
        <w:rPr>
          <w:rtl w:val="0"/>
        </w:rPr>
        <w:t xml:space="preserve"> Fully In-House Self-Hosted Stack (Recommended)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2:</w:t>
      </w:r>
      <w:r w:rsidDel="00000000" w:rsidR="00000000" w:rsidRPr="00000000">
        <w:rPr>
          <w:rtl w:val="0"/>
        </w:rPr>
        <w:t xml:space="preserve"> Shared Cloud / Hybrid (e.g., Azure)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3:</w:t>
      </w:r>
      <w:r w:rsidDel="00000000" w:rsidR="00000000" w:rsidRPr="00000000">
        <w:rPr>
          <w:rtl w:val="0"/>
        </w:rPr>
        <w:t xml:space="preserve"> Managed SaaS / External Vendor Model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lt70eca0bhuj" w:id="3"/>
      <w:bookmarkEnd w:id="3"/>
      <w:r w:rsidDel="00000000" w:rsidR="00000000" w:rsidRPr="00000000">
        <w:rPr>
          <w:rtl w:val="0"/>
        </w:rPr>
        <w:t xml:space="preserve">Option 1: Fully Self-Hosted, Open-Source Infrastructure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d998vz9eeer" w:id="4"/>
      <w:bookmarkEnd w:id="4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model prioritizes long-term sustainability, full data sovereignty, and freedom from vendor lock-in by deploying open-source components on dedicated infrastructure. By maintaining total control over the software stack and database, the organization retains complete ownership of its IP, user data, and system architecture.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bg12oyf340f" w:id="5"/>
      <w:bookmarkEnd w:id="5"/>
      <w:r w:rsidDel="00000000" w:rsidR="00000000" w:rsidRPr="00000000">
        <w:rPr>
          <w:rtl w:val="0"/>
        </w:rPr>
        <w:t xml:space="preserve">Technical Architecture &amp; Core Components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Framework:</w:t>
      </w:r>
      <w:r w:rsidDel="00000000" w:rsidR="00000000" w:rsidRPr="00000000">
        <w:rPr>
          <w:rtl w:val="0"/>
        </w:rPr>
        <w:t xml:space="preserve"> Built using light, modern open-source web frameworks and spatial libraries (e.g., Astro/Node.js with Leaflet or MapLibre GL) to deliver fast, responsive rendering.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&amp; Spatial Data:</w:t>
      </w:r>
      <w:r w:rsidDel="00000000" w:rsidR="00000000" w:rsidRPr="00000000">
        <w:rPr>
          <w:rtl w:val="0"/>
        </w:rPr>
        <w:t xml:space="preserve"> Managed via PostgreSQL with the PostGIS extension and pgvector, providing enterprise-grade spatial indexing and vector search.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 &amp; Hosting:</w:t>
      </w:r>
      <w:r w:rsidDel="00000000" w:rsidR="00000000" w:rsidRPr="00000000">
        <w:rPr>
          <w:rtl w:val="0"/>
        </w:rPr>
        <w:t xml:space="preserve"> Deployed using Docker containers hosted on dedicated virtual private servers (VPS) or local infrastructure behind secure reverse proxies (e.g., Nginx).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RAG Pipeline:</w:t>
      </w:r>
      <w:r w:rsidDel="00000000" w:rsidR="00000000" w:rsidRPr="00000000">
        <w:rPr>
          <w:rtl w:val="0"/>
        </w:rPr>
        <w:t xml:space="preserve"> FastAPI/Node.js backend, Crawlee scraping workers, and local LLM execution via Ollama.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daiiw8csueo0" w:id="6"/>
      <w:bookmarkEnd w:id="6"/>
      <w:r w:rsidDel="00000000" w:rsidR="00000000" w:rsidRPr="00000000">
        <w:rPr>
          <w:rtl w:val="0"/>
        </w:rPr>
        <w:t xml:space="preserve">Resource &amp; Technical Input Procurement Strategy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ensure robust implementation, technical capacity will be secured through four primary routes: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Freelance &amp; Contractor Support:</w:t>
      </w:r>
      <w:r w:rsidDel="00000000" w:rsidR="00000000" w:rsidRPr="00000000">
        <w:rPr>
          <w:rtl w:val="0"/>
        </w:rPr>
        <w:t xml:space="preserve"> Engaging external engineers on a short-term basis for core architectural setups and initial deployment pipelines.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In-House Capacity Building:</w:t>
      </w:r>
      <w:r w:rsidDel="00000000" w:rsidR="00000000" w:rsidRPr="00000000">
        <w:rPr>
          <w:rtl w:val="0"/>
        </w:rPr>
        <w:t xml:space="preserve"> Upskilling existing internal IT personnel through direct involvement in configuration and documentation.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Open-Source Community Integration:</w:t>
      </w:r>
      <w:r w:rsidDel="00000000" w:rsidR="00000000" w:rsidRPr="00000000">
        <w:rPr>
          <w:rtl w:val="0"/>
        </w:rPr>
        <w:t xml:space="preserve"> Utilizing specialized technical forums and expert consultancy reviews to validate architectural decisions.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Phased Technical Sourcing:</w:t>
      </w:r>
      <w:r w:rsidDel="00000000" w:rsidR="00000000" w:rsidRPr="00000000">
        <w:rPr>
          <w:rtl w:val="0"/>
        </w:rPr>
        <w:t xml:space="preserve"> Breaking the rollout into clearly defined, deliverable-driven phases to manage technical resource allocation in modular bursts.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n00yb29nf8q" w:id="7"/>
      <w:bookmarkEnd w:id="7"/>
      <w:r w:rsidDel="00000000" w:rsidR="00000000" w:rsidRPr="00000000">
        <w:rPr>
          <w:rtl w:val="0"/>
        </w:rPr>
        <w:t xml:space="preserve">Strategic &amp; Operational Value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Recurring AI API &amp; Licensing Overhead:</w:t>
      </w:r>
      <w:r w:rsidDel="00000000" w:rsidR="00000000" w:rsidRPr="00000000">
        <w:rPr>
          <w:rtl w:val="0"/>
        </w:rPr>
        <w:t xml:space="preserve"> Local LLM execution removes per-query token fees, ensuring long-term financial sustainability.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Data Sovereignty:</w:t>
      </w:r>
      <w:r w:rsidDel="00000000" w:rsidR="00000000" w:rsidRPr="00000000">
        <w:rPr>
          <w:rtl w:val="0"/>
        </w:rPr>
        <w:t xml:space="preserve"> Full compliance with data protection policies. No resident query data or interaction logs leave local infrastructure.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Customization:</w:t>
      </w:r>
      <w:r w:rsidDel="00000000" w:rsidR="00000000" w:rsidRPr="00000000">
        <w:rPr>
          <w:rtl w:val="0"/>
        </w:rPr>
        <w:t xml:space="preserve"> Total ownership over database schemas, scraping logic, and UI/UX without platform constraints.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n9pghj6a9z6" w:id="8"/>
      <w:bookmarkEnd w:id="8"/>
      <w:r w:rsidDel="00000000" w:rsidR="00000000" w:rsidRPr="00000000">
        <w:rPr>
          <w:rtl w:val="0"/>
        </w:rPr>
        <w:t xml:space="preserve">Cons &amp; Key Risks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Requires dedicated internal IT/dev capacity for initial setup and ongoing server upkeep.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Hardware-dependent inference speed; requires high-spec host machines for optimal performance.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mtizujaq3bjv" w:id="9"/>
      <w:bookmarkEnd w:id="9"/>
      <w:r w:rsidDel="00000000" w:rsidR="00000000" w:rsidRPr="00000000">
        <w:rPr>
          <w:rtl w:val="0"/>
        </w:rPr>
        <w:t xml:space="preserve">Resource Implications: Option 1</w:t>
      </w:r>
    </w:p>
    <w:tbl>
      <w:tblPr>
        <w:tblStyle w:val="Table1"/>
        <w:tblW w:w="105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Resource Category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Estimated Cost / Effort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/ Hardware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GPU-capable server host (e.g., dedicated NVIDIA RTX/A-series)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£2,500 – £5,000</w:t>
            </w:r>
            <w:r w:rsidDel="00000000" w:rsidR="00000000" w:rsidRPr="00000000">
              <w:rPr>
                <w:rtl w:val="0"/>
              </w:rPr>
              <w:t xml:space="preserve"> (One-off)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Core engineering, scraper engine, RAG integration, UI build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 – 1 FTE for 8–12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&amp; Licensing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Ubuntu Linux, Docker, PostgreSQL, Ollama, Open-source code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£0 /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Curation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Initial seed data validation &amp; ongoing source whitelisting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 FTE (Partner staff)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Year 1 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Capital &amp; staff allocation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~£3,000 – £8,000 + staff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cwki9h5bswyr" w:id="10"/>
      <w:bookmarkEnd w:id="10"/>
      <w:r w:rsidDel="00000000" w:rsidR="00000000" w:rsidRPr="00000000">
        <w:rPr>
          <w:rtl w:val="0"/>
        </w:rPr>
        <w:t xml:space="preserve">Option 2: Hybrid Cloud Architecture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Deploy the frontend UI on low-cost cloud web servers while utilizing cloud AI/embedding services (e.g., Azure OpenAI, Azure Cognitive Search) combined with cloud-hosted database instances.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gvwmnbyy616" w:id="11"/>
      <w:bookmarkEnd w:id="11"/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Rapid initial deployment leveraging managed cloud infrastructure.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Scales automatically without requiring local hardware investments.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61g3sagte0sp" w:id="12"/>
      <w:bookmarkEnd w:id="12"/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Query Costs:</w:t>
      </w:r>
      <w:r w:rsidDel="00000000" w:rsidR="00000000" w:rsidRPr="00000000">
        <w:rPr>
          <w:rtl w:val="0"/>
        </w:rPr>
        <w:t xml:space="preserve"> High public adoption directly increases monthly cloud token and vector database bills.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Lock-in:</w:t>
      </w:r>
      <w:r w:rsidDel="00000000" w:rsidR="00000000" w:rsidRPr="00000000">
        <w:rPr>
          <w:rtl w:val="0"/>
        </w:rPr>
        <w:t xml:space="preserve"> Dependency on proprietary cloud AI ecosystems and APIs.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Ongoing operational budget required permanently to keep the service free to use.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i0ms912jy5vb" w:id="13"/>
      <w:bookmarkEnd w:id="13"/>
      <w:r w:rsidDel="00000000" w:rsidR="00000000" w:rsidRPr="00000000">
        <w:rPr>
          <w:rtl w:val="0"/>
        </w:rPr>
        <w:t xml:space="preserve">Resource Implications: Option 2</w:t>
      </w:r>
    </w:p>
    <w:tbl>
      <w:tblPr>
        <w:tblStyle w:val="Table2"/>
        <w:tblW w:w="105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Resource Category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Estimated Cost / Effort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Web apps, database instances, vector search hosting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£2,400 – £4,800 /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API &amp; Fees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Per-query costs for LLM completions and embeddings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£1,200 – £3,600 /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Cloud setup, API pipeline integration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 FTE for 6–8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Year 1 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Setup + operational running costs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~£8,000 – £15,000+ (Recurring)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y8fmwsoc21bp" w:id="14"/>
      <w:bookmarkEnd w:id="14"/>
      <w:r w:rsidDel="00000000" w:rsidR="00000000" w:rsidRPr="00000000">
        <w:rPr>
          <w:rtl w:val="0"/>
        </w:rPr>
        <w:t xml:space="preserve">Option 3: Commercial SaaS / White-Label Partner Directory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Procure an off-the-shelf commercial AI directory platform or white-label service finder solution from an external enterprise software vendor.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jrk5avc4gr3o" w:id="15"/>
      <w:bookmarkEnd w:id="15"/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Turnkey solution with vendor-managed support, maintenance, and updates.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Minimizes initial development burden on internal public sector IT teams.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f5pmefhzjw0e" w:id="16"/>
      <w:bookmarkEnd w:id="16"/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High ongoing annual subscription and license fees.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Limited customizability for specific Kirklees partnership workflows.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Risk of dependency on external product roadmaps.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7i5chwvmebri" w:id="17"/>
      <w:bookmarkEnd w:id="17"/>
      <w:r w:rsidDel="00000000" w:rsidR="00000000" w:rsidRPr="00000000">
        <w:rPr>
          <w:rtl w:val="0"/>
        </w:rPr>
        <w:t xml:space="preserve">Resource Implications: Option 3</w:t>
      </w:r>
    </w:p>
    <w:tbl>
      <w:tblPr>
        <w:tblStyle w:val="Table3"/>
        <w:tblW w:w="105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Resource Category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Estimated Cost / Effort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Procurement &amp; Legal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Tendering, contract negotiation, vendor onboarding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staff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Licensing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Annual enterprise platform subscription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£15,000 – £35,000 /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Custom domain configuration, local dataset integration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£3,000 – £7,000 (One-off)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Year 1 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+ license fees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~£20,000 – £40,000+ per 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ezqs6g9ajshg" w:id="18"/>
      <w:bookmarkEnd w:id="18"/>
      <w:r w:rsidDel="00000000" w:rsidR="00000000" w:rsidRPr="00000000">
        <w:rPr>
          <w:rtl w:val="0"/>
        </w:rPr>
        <w:t xml:space="preserve">Summary &amp; Recommendation Matrix</w:t>
      </w:r>
    </w:p>
    <w:tbl>
      <w:tblPr>
        <w:tblStyle w:val="Table4"/>
        <w:tblW w:w="14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Option 1: Self-Hosted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Option 2: Hybrid Cloud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Option 3: Commercial SaaS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Cost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(Fixed/Low)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 (Variable)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  <w:t xml:space="preserve"> (High recurring)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Privacy &amp;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</w:t>
            </w:r>
            <w:r w:rsidDel="00000000" w:rsidR="00000000" w:rsidRPr="00000000">
              <w:rPr>
                <w:rtl w:val="0"/>
              </w:rPr>
              <w:t xml:space="preserve"> (Local)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 (Cloud)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  <w:t xml:space="preserve"> (Third-party)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(Full control)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(APIs)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  <w:t xml:space="preserve"> (Vendor limited)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Burden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 (In-house)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 (Shared)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  <w:t xml:space="preserve"> (Vendor managed)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kvi6vi1h24w3" w:id="19"/>
      <w:bookmarkEnd w:id="19"/>
      <w:r w:rsidDel="00000000" w:rsidR="00000000" w:rsidRPr="00000000">
        <w:rPr>
          <w:rtl w:val="0"/>
        </w:rPr>
        <w:t xml:space="preserve">Strategic Recommendation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(Self-Hosted Model)</w:t>
      </w:r>
      <w:r w:rsidDel="00000000" w:rsidR="00000000" w:rsidRPr="00000000">
        <w:rPr>
          <w:rtl w:val="0"/>
        </w:rPr>
        <w:t xml:space="preserve"> offers the most sustainable pathway for Kirklees. It delivers on the requirement for a </w:t>
      </w:r>
      <w:r w:rsidDel="00000000" w:rsidR="00000000" w:rsidRPr="00000000">
        <w:rPr>
          <w:b w:val="1"/>
          <w:bCs w:val="1"/>
          <w:rtl w:val="0"/>
        </w:rPr>
        <w:t xml:space="preserve">free-to-use community utility</w:t>
      </w:r>
      <w:r w:rsidDel="00000000" w:rsidR="00000000" w:rsidRPr="00000000">
        <w:rPr>
          <w:rtl w:val="0"/>
        </w:rPr>
        <w:t xml:space="preserve"> by avoiding per-query subscription fees or cloud token taxes as public adoption grows. By deploying containerized services on local infrastructure, the partnership maintains full ownership of its software and data while building a flexible tool capable of expanding seamlessly from "Work and Health" into broader social care and community sectors.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Appraisal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of Review: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Approval Signature: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949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f51b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0"/>
        <w:szCs w:val="20"/>
      </w:rPr>
      <w:tcPr>
        <w:shd w:fill="f5f7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0"/>
        <w:szCs w:val="20"/>
      </w:rPr>
      <w:tcPr>
        <w:shd w:fill="f5f7fa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0"/>
        <w:szCs w:val="20"/>
      </w:rPr>
      <w:tcPr>
        <w:shd w:fill="f5f7fa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0"/>
        <w:szCs w:val="20"/>
      </w:rPr>
      <w:tcPr>
        <w:shd w:fill="f5f7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