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left"/>
      </w:pPr>
      <w:r>
        <w:rPr>
          <w:b/>
          <w:bCs/>
          <w:color w:val="145C56"/>
          <w:sz w:val="18"/>
          <w:szCs w:val="18"/>
        </w:rPr>
        <w:t xml:space="preserve">FORMULAR PN-01 · AUSGABE 2026</w:t>
      </w:r>
    </w:p>
    <w:p>
      <w:pPr>
        <w:spacing w:after="260"/>
      </w:pPr>
      <w:r>
        <w:rPr>
          <w:b/>
          <w:bCs/>
          <w:color w:val="16221E"/>
          <w:sz w:val="44"/>
          <w:szCs w:val="44"/>
        </w:rPr>
        <w:t xml:space="preserve">Der Fahrplan für deine ersten Privatpatient:innen</w:t>
      </w:r>
    </w:p>
    <w:p>
      <w:pPr>
        <w:spacing w:after="500"/>
      </w:pPr>
      <w:r>
        <w:rPr>
          <w:color w:val="56645D"/>
          <w:sz w:val="24"/>
          <w:szCs w:val="24"/>
        </w:rPr>
        <w:t xml:space="preserve">Ein Selbstzahler-Starter-Kit für Physiotherapeut:innen, die nebenberuflich starten wollen — ohne Kassenzulassung, ohne eigene Praxis.</w:t>
      </w:r>
    </w:p>
    <w:p>
      <w:pPr>
        <w:spacing w:after="160" w:line="300"/>
      </w:pPr>
      <w:r>
        <w:rPr>
          <w:color w:val="16221E"/>
        </w:rPr>
        <w:t xml:space="preserve">Bevor's losgeht, kurz, warum's das hier gibt.</w:t>
      </w:r>
    </w:p>
    <w:p>
      <w:pPr>
        <w:spacing w:after="160" w:line="300"/>
      </w:pPr>
      <w:r>
        <w:rPr>
          <w:color w:val="16221E"/>
        </w:rPr>
        <w:t xml:space="preserve">Ich bin selbst angestellt in der Physiotherapie und behandle nebenberuflich Privatpatient:innen. Bevor ich damit angefangen habe, hab ich Wochen mit verstreuter Recherche verbracht: Behördenseiten, Foren, Versicherungsvergleiche, halb widersprüchliche Tipps von Kolleg:innen.</w:t>
      </w:r>
    </w:p>
    <w:p>
      <w:pPr>
        <w:spacing w:after="160" w:line="300"/>
      </w:pPr>
      <w:r>
        <w:rPr>
          <w:color w:val="16221E"/>
        </w:rPr>
        <w:t xml:space="preserve">Meine ersten Patient:innen kamen dann nicht über Werbung. Das waren Freunde, Familie, Leute aus dem Sportverein. Der Rest kam von allein, einfach weil die Behandlung gut war und sich das rumgesprochen hat. Später sind sogar Schulen, Städte und die Polizei auf mich zugekommen, weil mich jemand weiterempfohlen hatte.</w:t>
      </w:r>
    </w:p>
    <w:p>
      <w:pPr>
        <w:spacing w:after="160" w:line="300"/>
      </w:pPr>
      <w:r>
        <w:rPr>
          <w:color w:val="16221E"/>
        </w:rPr>
        <w:t xml:space="preserve">Diesen Fahrplan gibt's, damit du für den bürokratischen Teil nicht so lange brauchst wie ich. Zehn Kapitel, in der Reihenfolge, in der die Themen bei mir tatsächlich drangekommen sind. Dazu zwei fertige Vorlagen zum direkten Ausfüllen.</w:t>
      </w:r>
    </w:p>
    <w:p>
      <w:pPr>
        <w:pBdr>
          <w:left w:val="single" w:color="145C56" w:sz="18" w:space="8"/>
        </w:pBdr>
        <w:spacing w:after="220" w:before="120"/>
        <w:ind w:left="260"/>
      </w:pPr>
      <w:r>
        <w:rPr>
          <w:i/>
          <w:iCs/>
          <w:color w:val="56645D"/>
        </w:rPr>
        <w:t xml:space="preserve">Wichtig: Dieser Fahrplan ist Orientierung und fertige Vorlagen für genau einen Fall — nebenberuflich, ausschließlich Selbstzahler:innen und Privatrezepte, keine eigene Praxis, keine Kassenzulassung. Er ersetzt keine individuelle Steuerberatung, keine Rechtsberatung und keine medizinische Beratung. Angaben zu Preisen, Fristen und Paragraphen wurden sorgfältig recherchiert (Stand 2026), können sich aber ändern oder im Einzelfall abweichen. Im Zweifel bei der zuständigen Stelle nachfragen: Finanzamt, BGW, Datenschutzaufsicht, Steuerberater:in.</w:t>
      </w:r>
    </w:p>
    <w:p>
      <w:r>
        <w:br w:type="page"/>
      </w:r>
    </w:p>
    <w:p>
      <w:pPr>
        <w:pStyle w:val="Heading1"/>
        <w:pBdr>
          <w:bottom w:val="single" w:color="145C56" w:sz="6" w:space="6"/>
        </w:pBdr>
        <w:spacing w:after="200" w:before="420"/>
      </w:pPr>
      <w:r>
        <w:rPr>
          <w:b/>
          <w:bCs/>
          <w:color w:val="145C56"/>
          <w:sz w:val="30"/>
          <w:szCs w:val="30"/>
        </w:rPr>
        <w:t xml:space="preserve">Inhalt</w:t>
      </w:r>
    </w:p>
    <w:p>
      <w:pPr>
        <w:spacing w:after="120"/>
      </w:pPr>
      <w:r>
        <w:rPr>
          <w:color w:val="16221E"/>
        </w:rPr>
        <w:t xml:space="preserve">01  Bist du bereit? — ein kurzer Realitäts-Check</w:t>
      </w:r>
    </w:p>
    <w:p>
      <w:pPr>
        <w:spacing w:after="120"/>
      </w:pPr>
      <w:r>
        <w:rPr>
          <w:color w:val="16221E"/>
        </w:rPr>
        <w:t xml:space="preserve">02  Anmeldung &amp; Formalitäten</w:t>
      </w:r>
    </w:p>
    <w:p>
      <w:pPr>
        <w:spacing w:after="120"/>
      </w:pPr>
      <w:r>
        <w:rPr>
          <w:color w:val="16221E"/>
        </w:rPr>
        <w:t xml:space="preserve">03  Versicherungen</w:t>
      </w:r>
    </w:p>
    <w:p>
      <w:pPr>
        <w:spacing w:after="120"/>
      </w:pPr>
      <w:r>
        <w:rPr>
          <w:color w:val="16221E"/>
        </w:rPr>
        <w:t xml:space="preserve">04  Preise &amp; Kalkulation</w:t>
      </w:r>
    </w:p>
    <w:p>
      <w:pPr>
        <w:spacing w:after="120"/>
      </w:pPr>
      <w:r>
        <w:rPr>
          <w:color w:val="16221E"/>
        </w:rPr>
        <w:t xml:space="preserve">05  Rechnung — mit Vorlage</w:t>
      </w:r>
    </w:p>
    <w:p>
      <w:pPr>
        <w:spacing w:after="120"/>
      </w:pPr>
      <w:r>
        <w:rPr>
          <w:color w:val="16221E"/>
        </w:rPr>
        <w:t xml:space="preserve">06  Dokumentation — mit Vorlage</w:t>
      </w:r>
    </w:p>
    <w:p>
      <w:pPr>
        <w:spacing w:after="120"/>
      </w:pPr>
      <w:r>
        <w:rPr>
          <w:color w:val="16221E"/>
        </w:rPr>
        <w:t xml:space="preserve">07  Datenschutz-Grundlagen</w:t>
      </w:r>
    </w:p>
    <w:p>
      <w:pPr>
        <w:spacing w:after="120"/>
      </w:pPr>
      <w:r>
        <w:rPr>
          <w:color w:val="16221E"/>
        </w:rPr>
        <w:t xml:space="preserve">08  Erste Patient:innen gewinnen</w:t>
      </w:r>
    </w:p>
    <w:p>
      <w:pPr>
        <w:spacing w:after="120"/>
      </w:pPr>
      <w:r>
        <w:rPr>
          <w:color w:val="16221E"/>
        </w:rPr>
        <w:t xml:space="preserve">09  Die ersten 30 Tage</w:t>
      </w:r>
    </w:p>
    <w:p>
      <w:pPr>
        <w:spacing w:after="120"/>
      </w:pPr>
      <w:r>
        <w:rPr>
          <w:color w:val="16221E"/>
        </w:rPr>
        <w:t xml:space="preserve">10  Typische Anfänger-Fehler</w:t>
      </w:r>
    </w:p>
    <w:p>
      <w:r>
        <w:br w:type="page"/>
      </w:r>
    </w:p>
    <w:p>
      <w:pPr>
        <w:pStyle w:val="Heading1"/>
        <w:pBdr>
          <w:bottom w:val="single" w:color="145C56" w:sz="6" w:space="6"/>
        </w:pBdr>
        <w:spacing w:after="200" w:before="420"/>
      </w:pPr>
      <w:r>
        <w:rPr>
          <w:b/>
          <w:bCs/>
          <w:color w:val="145C56"/>
          <w:sz w:val="30"/>
          <w:szCs w:val="30"/>
        </w:rPr>
        <w:t xml:space="preserve">01 · Bist du bereit? Ein kurzer Realitäts-Check</w:t>
      </w:r>
    </w:p>
    <w:p>
      <w:pPr>
        <w:spacing w:after="160" w:line="300"/>
      </w:pPr>
      <w:r>
        <w:rPr>
          <w:color w:val="16221E"/>
        </w:rPr>
        <w:t xml:space="preserve">Bevor du irgendwas anmeldest: ein paar ehrliche Fragen an dich selbst. Die meisten davon kosten dich fünf Minuten Nachdenken und ersparen dir später Ärger.</w:t>
      </w:r>
    </w:p>
    <w:p>
      <w:pPr>
        <w:pStyle w:val="ListParagraph"/>
        <w:numPr>
          <w:ilvl w:val="0"/>
          <w:numId w:val="2"/>
        </w:numPr>
        <w:spacing w:after="100" w:line="290"/>
      </w:pPr>
      <w:r>
        <w:rPr>
          <w:color w:val="16221E"/>
        </w:rPr>
        <w:t xml:space="preserve">Steht in meinem Arbeitsvertrag etwas zu Nebentätigkeiten? Manche Verträge verlangen, dass du eine Nebentätigkeit meldest oder genehmigen lässt — das lohnt sich vorher nachzulesen, nicht hinterher zu erklären.</w:t>
      </w:r>
    </w:p>
    <w:p>
      <w:pPr>
        <w:pStyle w:val="ListParagraph"/>
        <w:numPr>
          <w:ilvl w:val="0"/>
          <w:numId w:val="2"/>
        </w:numPr>
        <w:spacing w:after="100" w:line="290"/>
      </w:pPr>
      <w:r>
        <w:rPr>
          <w:color w:val="16221E"/>
        </w:rPr>
        <w:t xml:space="preserve">Behandle ich möglicherweise Patient:innen, die auch bei meinem Arbeitgeber behandelt werden könnten? Das kann arbeitsrechtlich heikel werden, wenn es wie Konkurrenz zum Hauptjob aussieht.</w:t>
      </w:r>
    </w:p>
    <w:p>
      <w:pPr>
        <w:pStyle w:val="ListParagraph"/>
        <w:numPr>
          <w:ilvl w:val="0"/>
          <w:numId w:val="2"/>
        </w:numPr>
        <w:spacing w:after="100" w:line="290"/>
      </w:pPr>
      <w:r>
        <w:rPr>
          <w:color w:val="16221E"/>
        </w:rPr>
        <w:t xml:space="preserve">Hab ich realistisch drei bis fünf Stunden pro Woche übrig, ohne dass mein Hauptjob oder ich selbst darunter leiden?</w:t>
      </w:r>
    </w:p>
    <w:p>
      <w:pPr>
        <w:pStyle w:val="ListParagraph"/>
        <w:numPr>
          <w:ilvl w:val="0"/>
          <w:numId w:val="2"/>
        </w:numPr>
        <w:spacing w:after="100" w:line="290"/>
      </w:pPr>
      <w:r>
        <w:rPr>
          <w:color w:val="16221E"/>
        </w:rPr>
        <w:t xml:space="preserve">Bin ich bereit, für ein paar Monate zwei Rollen gleichzeitig zu tragen, auch an Abenden, an denen ich eigentlich müde bin?</w:t>
      </w:r>
    </w:p>
    <w:p>
      <w:pPr>
        <w:pBdr>
          <w:left w:val="single" w:color="145C56" w:sz="18" w:space="8"/>
        </w:pBdr>
        <w:spacing w:after="220" w:before="120"/>
        <w:ind w:left="260"/>
      </w:pPr>
      <w:r>
        <w:rPr>
          <w:i/>
          <w:iCs/>
          <w:color w:val="56645D"/>
        </w:rPr>
        <w:t xml:space="preserve">Wenn du bei einer der ersten beiden Fragen zögerst: kein Beinbruch, aber sprich es vorher mit deinem Arbeitgeber ab, wenn dein Vertrag das verlangt. Das ist die eine Sache in diesem Kapitel, die ich nicht überspringen würde.</w:t>
      </w:r>
    </w:p>
    <w:p>
      <w:r>
        <w:br w:type="page"/>
      </w:r>
    </w:p>
    <w:p>
      <w:pPr>
        <w:pStyle w:val="Heading1"/>
        <w:pBdr>
          <w:bottom w:val="single" w:color="145C56" w:sz="6" w:space="6"/>
        </w:pBdr>
        <w:spacing w:after="200" w:before="420"/>
      </w:pPr>
      <w:r>
        <w:rPr>
          <w:b/>
          <w:bCs/>
          <w:color w:val="145C56"/>
          <w:sz w:val="30"/>
          <w:szCs w:val="30"/>
        </w:rPr>
        <w:t xml:space="preserve">02 · Anmeldung &amp; Formalitäten</w:t>
      </w:r>
    </w:p>
    <w:p>
      <w:pPr>
        <w:spacing w:after="160" w:line="300"/>
      </w:pPr>
      <w:r>
        <w:rPr>
          <w:color w:val="16221E"/>
        </w:rPr>
        <w:t xml:space="preserve">Die gute Nachricht zuerst: Physiotherapeut:innen zählen zu den sogenannten Katalogberufen, den Freien Berufen nach § 18 EStG. Das bedeutet in der Regel: kein Gang zum Gewerbeamt. Du meldest dich direkt beim Finanzamt an.</w:t>
      </w:r>
    </w:p>
    <w:p>
      <w:pPr>
        <w:spacing w:after="160" w:line="300"/>
      </w:pPr>
      <w:r>
        <w:rPr>
          <w:color w:val="16221E"/>
        </w:rPr>
        <w:t xml:space="preserve">Ausnahme, die viele nicht kennen: Verkaufst du nennenswert Produkte nebenher, zum Beispiel Kinesiotape oder Massagegeräte, kann das Finanzamt diesen Teil als gewerblich einstufen. Im Zweifel einmal kurz nachfragen, bevor du sowas ins Angebot nimmst.</w:t>
      </w:r>
    </w:p>
    <w:p>
      <w:pPr>
        <w:spacing w:after="160" w:line="300"/>
      </w:pPr>
      <w:r>
        <w:rPr>
          <w:color w:val="16221E"/>
        </w:rPr>
        <w:t xml:space="preserve">So in etwa lief es bei mir, in dieser Reihenfolge:</w:t>
      </w:r>
    </w:p>
    <w:p>
      <w:pPr>
        <w:pStyle w:val="ListParagraph"/>
        <w:numPr>
          <w:ilvl w:val="0"/>
          <w:numId w:val="3"/>
        </w:numPr>
        <w:spacing w:after="100" w:line="290"/>
      </w:pPr>
      <w:r>
        <w:rPr>
          <w:color w:val="16221E"/>
        </w:rPr>
        <w:t xml:space="preserve">Arbeitsvertrag geprüft und, falls nötig, die Nebentätigkeit beim Arbeitgeber angezeigt.</w:t>
      </w:r>
    </w:p>
    <w:p>
      <w:pPr>
        <w:pStyle w:val="ListParagraph"/>
        <w:numPr>
          <w:ilvl w:val="0"/>
          <w:numId w:val="3"/>
        </w:numPr>
        <w:spacing w:after="100" w:line="290"/>
      </w:pPr>
      <w:r>
        <w:rPr>
          <w:color w:val="16221E"/>
        </w:rPr>
        <w:t xml:space="preserve">Fragebogen zur steuerlichen Erfassung online über ELSTER ausgefüllt. Das ist die eigentliche Anmeldung deiner selbstständigen Tätigkeit beim Finanzamt, kein Umweg über ein Amt.</w:t>
      </w:r>
    </w:p>
    <w:p>
      <w:pPr>
        <w:pStyle w:val="ListParagraph"/>
        <w:numPr>
          <w:ilvl w:val="0"/>
          <w:numId w:val="3"/>
        </w:numPr>
        <w:spacing w:after="100" w:line="290"/>
      </w:pPr>
      <w:r>
        <w:rPr>
          <w:color w:val="16221E"/>
        </w:rPr>
        <w:t xml:space="preserve">Anmeldung bei der BGW, der Berufsgenossenschaft für Gesundheitsdienst und Wohlfahrtspflege. Das ist Pflicht für alle selbstständigen Physiotherapeut:innen, auch ohne eigenes Personal, und muss innerhalb einer Woche nach Aufnahme der Tätigkeit erfolgen.</w:t>
      </w:r>
    </w:p>
    <w:p>
      <w:pPr>
        <w:pStyle w:val="ListParagraph"/>
        <w:numPr>
          <w:ilvl w:val="0"/>
          <w:numId w:val="3"/>
        </w:numPr>
        <w:spacing w:after="100" w:line="290"/>
      </w:pPr>
      <w:r>
        <w:rPr>
          <w:color w:val="16221E"/>
        </w:rPr>
        <w:t xml:space="preserve">Berufshaftpflicht abgeschlossen, bevor die erste Behandlung stattfindet (mehr dazu in Kapitel 03).</w:t>
      </w:r>
    </w:p>
    <w:p>
      <w:pPr>
        <w:pStyle w:val="ListParagraph"/>
        <w:numPr>
          <w:ilvl w:val="0"/>
          <w:numId w:val="3"/>
        </w:numPr>
        <w:spacing w:after="100" w:line="290"/>
      </w:pPr>
      <w:r>
        <w:rPr>
          <w:color w:val="16221E"/>
        </w:rPr>
        <w:t xml:space="preserve">Ein separates Konto für die Einnahmen eingerichtet. Rechtlich zwingend ist das als Freiberufler:in nicht, aber für die eigene Übersicht und die Steuererklärung eine der besten fünf Minuten, die du investieren kannst.</w:t>
      </w:r>
    </w:p>
    <w:p>
      <w:pPr>
        <w:pStyle w:val="ListParagraph"/>
        <w:numPr>
          <w:ilvl w:val="0"/>
          <w:numId w:val="3"/>
        </w:numPr>
        <w:spacing w:after="100" w:line="290"/>
      </w:pPr>
      <w:r>
        <w:rPr>
          <w:color w:val="16221E"/>
        </w:rPr>
        <w:t xml:space="preserve">Rechnungs- und Dokumentationsvorlage vorbereitet (Kapitel 05 und 06), bevor die erste Patientin oder der erste Patient kommt.</w:t>
      </w:r>
    </w:p>
    <w:p>
      <w:pPr>
        <w:pBdr>
          <w:left w:val="single" w:color="145C56" w:sz="18" w:space="8"/>
        </w:pBdr>
        <w:spacing w:after="220" w:before="120"/>
        <w:ind w:left="260"/>
      </w:pPr>
      <w:r>
        <w:rPr>
          <w:i/>
          <w:iCs/>
          <w:color w:val="56645D"/>
        </w:rPr>
        <w:t xml:space="preserve">Je nach Bundesland und Kommune kann zusätzlich eine Meldung beim Gesundheitsamt verlangt werden, besonders wenn du in eigenen Räumen behandelst statt nur bei Hausbesuchen. Das ist regional unterschiedlich genug geregelt, dass eine kurze Nachfrage bei deiner Kommune schneller geht, als hier eine allgemeingültige Antwort zu suchen.</w:t>
      </w:r>
    </w:p>
    <w:p>
      <w:r>
        <w:br w:type="page"/>
      </w:r>
    </w:p>
    <w:p>
      <w:pPr>
        <w:pStyle w:val="Heading1"/>
        <w:pBdr>
          <w:bottom w:val="single" w:color="145C56" w:sz="6" w:space="6"/>
        </w:pBdr>
        <w:spacing w:after="200" w:before="420"/>
      </w:pPr>
      <w:r>
        <w:rPr>
          <w:b/>
          <w:bCs/>
          <w:color w:val="145C56"/>
          <w:sz w:val="30"/>
          <w:szCs w:val="30"/>
        </w:rPr>
        <w:t xml:space="preserve">03 · Versicherungen</w:t>
      </w:r>
    </w:p>
    <w:p>
      <w:pPr>
        <w:spacing w:after="160" w:line="300"/>
      </w:pPr>
      <w:r>
        <w:rPr>
          <w:color w:val="16221E"/>
        </w:rPr>
        <w:t xml:space="preserve">Vier Versicherungsfragen kommen bei so gut wie jedem Gespräch zu diesem Thema auf. Der Reihe nach:</w:t>
      </w:r>
    </w:p>
    <w:p>
      <w:pPr>
        <w:spacing w:after="160" w:line="300"/>
      </w:pPr>
      <w:r>
        <w:rPr>
          <w:b/>
          <w:bCs/>
          <w:color w:val="16221E"/>
        </w:rPr>
        <w:t xml:space="preserve">Berufshaftpflicht. </w:t>
      </w:r>
      <w:r>
        <w:rPr>
          <w:color w:val="16221E"/>
        </w:rPr>
        <w:t xml:space="preserve">Gesetzlich nicht vorgeschrieben, in der Praxis aber unverzichtbar — sie deckt Personen-, Sach- und Vermögensschäden ab. Am Markt gibt es Tarife schon ab etwa 100 bis 120 Euro im Jahr, mit Verbandsrabatt über VPT, IFK oder ähnliche teils günstiger. Üblich sind Deckungssummen ab drei Millionen Euro pro Schadensfall. Gib bei der Beantragung an, dass du nebenberuflich mit geringem Stundenumfang arbeitest — das senkt den Beitrag oft spürbar.</w:t>
      </w:r>
    </w:p>
    <w:p>
      <w:pPr>
        <w:spacing w:after="160" w:line="300"/>
      </w:pPr>
      <w:r>
        <w:rPr>
          <w:b/>
          <w:bCs/>
          <w:color w:val="16221E"/>
        </w:rPr>
        <w:t xml:space="preserve">Krankenversicherung. </w:t>
      </w:r>
      <w:r>
        <w:rPr>
          <w:color w:val="16221E"/>
        </w:rPr>
        <w:t xml:space="preserve">Solange deine Selbstständigkeit klar nebenberuflich bleibt, bleibst du in der Regel über deinen Hauptjob als Arbeitnehmer:in pflichtversichert. Trotzdem lohnt sich eine kurze Rückfrage bei deiner Krankenkasse, damit die Nebentätigkeit später nicht als hauptberuflich umgedeutet wird — das hätte Folgen für deinen Beitrag.</w:t>
      </w:r>
    </w:p>
    <w:p>
      <w:pPr>
        <w:spacing w:after="160" w:line="300"/>
      </w:pPr>
      <w:r>
        <w:rPr>
          <w:b/>
          <w:bCs/>
          <w:color w:val="16221E"/>
        </w:rPr>
        <w:t xml:space="preserve">Rentenversicherung. </w:t>
      </w:r>
      <w:r>
        <w:rPr>
          <w:color w:val="16221E"/>
        </w:rPr>
        <w:t xml:space="preserve">Physiotherapeut:innen unterliegen als Selbstständige in der Regel nicht der gesetzlichen Rentenversicherungspflicht, anders als zum Beispiel Hebammen. Eine Ausnahme kann entstehen, wenn du faktisch nur für einen einzigen Auftraggeber arbeitest und dabei wie angestellt eingebunden bist — dazu mehr in Kapitel 10 unter Scheinselbstständigkeit.</w:t>
      </w:r>
    </w:p>
    <w:p>
      <w:pPr>
        <w:spacing w:after="160" w:line="300"/>
      </w:pPr>
      <w:r>
        <w:rPr>
          <w:b/>
          <w:bCs/>
          <w:color w:val="16221E"/>
        </w:rPr>
        <w:t xml:space="preserve">Rechtsschutz. </w:t>
      </w:r>
      <w:r>
        <w:rPr>
          <w:color w:val="16221E"/>
        </w:rPr>
        <w:t xml:space="preserve">Kein Muss, aber falls du ohnehin schon eine private Rechtsschutzversicherung hast, lohnt sich ein Blick, ob sich der berufliche Bereich für wenig Aufpreis mitversichern lässt.</w:t>
      </w:r>
    </w:p>
    <w:p>
      <w:r>
        <w:br w:type="page"/>
      </w:r>
    </w:p>
    <w:p>
      <w:pPr>
        <w:pStyle w:val="Heading1"/>
        <w:pBdr>
          <w:bottom w:val="single" w:color="145C56" w:sz="6" w:space="6"/>
        </w:pBdr>
        <w:spacing w:after="200" w:before="420"/>
      </w:pPr>
      <w:r>
        <w:rPr>
          <w:b/>
          <w:bCs/>
          <w:color w:val="145C56"/>
          <w:sz w:val="30"/>
          <w:szCs w:val="30"/>
        </w:rPr>
        <w:t xml:space="preserve">04 · Preise &amp; Kalkulation</w:t>
      </w:r>
    </w:p>
    <w:p>
      <w:pPr>
        <w:spacing w:after="160" w:line="300"/>
      </w:pPr>
      <w:r>
        <w:rPr>
          <w:color w:val="16221E"/>
        </w:rPr>
        <w:t xml:space="preserve">Dein Stundenlohn im Angestelltenverhältnis ist ein Startpunkt, aber kein Preis, den du 1:1 übernehmen solltest. Als Selbstständige:r trägst du zusätzlich: Versicherung, Steuer-Rücklage, Fahrtzeit, Material, und es gibt keine Lohnfortzahlung, wenn du krank wirst.</w:t>
      </w:r>
    </w:p>
    <w:p>
      <w:pPr>
        <w:spacing w:after="160" w:line="300"/>
      </w:pPr>
      <w:r>
        <w:rPr>
          <w:color w:val="16221E"/>
        </w:rPr>
        <w:t xml:space="preserve">Am Markt bewegen sich Preise für eine Hausbesuchs-Einheit von etwa 30 bis 45 Minuten häufig irgendwo zwischen 60 und 90 Euro, je nach Region und Leistung. Das ist eine grobe Richtgröße aus der Praxis, keine feste Empfehlung — Stadt und Land, und die Bundesländer, unterscheiden sich hier spürbar.</w:t>
      </w:r>
    </w:p>
    <w:p>
      <w:pPr>
        <w:spacing w:after="160" w:line="300"/>
      </w:pPr>
      <w:r>
        <w:rPr>
          <w:b/>
          <w:bCs/>
          <w:color w:val="16221E"/>
        </w:rPr>
        <w:t xml:space="preserve">Steuerrücklage. </w:t>
      </w:r>
      <w:r>
        <w:rPr>
          <w:color w:val="16221E"/>
        </w:rPr>
        <w:t xml:space="preserve">Leg 25 bis 30 Prozent deiner Nebeneinkünfte konsequent zur Seite. Dein Nebeneinkommen wird zu deinem Angestelltengehalt addiert und mit deinem persönlichen Grenzsteuersatz versteuert — bei einem soliden Gehalt liegt der oft schon bei 30 bis 42 Prozent. Die Nachzahlung im Folgejahr überrascht sonst fast jeden einmal.</w:t>
      </w:r>
    </w:p>
    <w:p>
      <w:pPr>
        <w:spacing w:after="160" w:line="300"/>
      </w:pPr>
      <w:r>
        <w:rPr>
          <w:b/>
          <w:bCs/>
          <w:color w:val="16221E"/>
        </w:rPr>
        <w:t xml:space="preserve">Fahrtzeit einrechnen. </w:t>
      </w:r>
      <w:r>
        <w:rPr>
          <w:color w:val="16221E"/>
        </w:rPr>
        <w:t xml:space="preserve">Wer nur die reine Behandlungszeit bepreist und Anfahrt, Parkplatzsuche und Vor- und Nachbereitung verschenkt, verkauft sich unter Wert. Rechne das bewusst mit ein, auch wenn es sich am Anfang ungewohnt anfühlt, dafür Geld zu verlangen.</w:t>
      </w:r>
    </w:p>
    <w:p>
      <w:r>
        <w:br w:type="page"/>
      </w:r>
    </w:p>
    <w:p>
      <w:pPr>
        <w:pStyle w:val="Heading1"/>
        <w:pBdr>
          <w:bottom w:val="single" w:color="145C56" w:sz="6" w:space="6"/>
        </w:pBdr>
        <w:spacing w:after="200" w:before="420"/>
      </w:pPr>
      <w:r>
        <w:rPr>
          <w:b/>
          <w:bCs/>
          <w:color w:val="145C56"/>
          <w:sz w:val="30"/>
          <w:szCs w:val="30"/>
        </w:rPr>
        <w:t xml:space="preserve">05 · Rechnung</w:t>
      </w:r>
    </w:p>
    <w:p>
      <w:pPr>
        <w:spacing w:after="160" w:line="300"/>
      </w:pPr>
      <w:r>
        <w:rPr>
          <w:color w:val="16221E"/>
        </w:rPr>
        <w:t xml:space="preserve">Eine Rechnung, die vor dem Finanzamt besteht, braucht nach § 14 UStG bestimmte Pflichtangaben. Das klingt bürokratischer, als es ist — im Grunde sind es zehn Felder, die du einmal als Vorlage anlegst und danach nur noch ausfüllst.</w:t>
      </w:r>
    </w:p>
    <w:p>
      <w:pPr>
        <w:spacing w:after="160" w:line="300"/>
      </w:pPr>
      <w:r>
        <w:rPr>
          <w:color w:val="16221E"/>
        </w:rPr>
        <w:t xml:space="preserve">Ein Punkt, den viele am Anfang nicht wissen: Physiotherapeutische Heilbehandlungen sind in aller Regel nach § 4 Nr. 14 UStG von der Umsatzsteuer befreit. Auf deiner Rechnung weist du deshalb keine Umsatzsteuer aus, sondern vermerkst den Befreiungsgrund als Hinweis. Rechnungskopien musst du zehn Jahre aufbewahren (§ 147 AO).</w:t>
      </w:r>
    </w:p>
    <w:p>
      <w:pPr>
        <w:pStyle w:val="Heading2"/>
        <w:spacing w:after="120" w:before="240"/>
      </w:pPr>
      <w:r>
        <w:rPr>
          <w:b/>
          <w:bCs/>
          <w:color w:val="16221E"/>
          <w:sz w:val="24"/>
          <w:szCs w:val="24"/>
        </w:rPr>
        <w:t xml:space="preserve">Vorlage: Rechnung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100"/>
              <w:left w:type="dxa" w:w="120"/>
              <w:bottom w:type="dxa" w:w="100"/>
              <w:right w:type="dxa" w:w="120"/>
            </w:tcMar>
            <w:vAlign w:val="center"/>
          </w:tcPr>
          <w:p>
            <w:r>
              <w:rPr>
                <w:b/>
                <w:bCs/>
                <w:color w:val="16221E"/>
                <w:sz w:val="20"/>
                <w:szCs w:val="20"/>
              </w:rPr>
              <w:t xml:space="preserve">Aussteller</w:t>
            </w:r>
          </w:p>
        </w:tc>
        <w:tc>
          <w:tcPr>
            <w:tcW w:type="dxa" w:w="6400"/>
            <w:tcMar>
              <w:top w:type="dxa" w:w="100"/>
              <w:left w:type="dxa" w:w="120"/>
              <w:bottom w:type="dxa" w:w="100"/>
              <w:right w:type="dxa" w:w="120"/>
            </w:tcMar>
            <w:vAlign w:val="center"/>
          </w:tcPr>
          <w:p>
            <w:r>
              <w:rPr>
                <w:b w:val="false"/>
                <w:bCs w:val="false"/>
                <w:color w:val="16221E"/>
                <w:sz w:val="20"/>
                <w:szCs w:val="20"/>
              </w:rPr>
              <w:t xml:space="preserve">[Dein Name, Anschrift, Steuernummer]</w:t>
            </w:r>
          </w:p>
        </w:tc>
      </w:tr>
      <w:tr>
        <w:tc>
          <w:tcPr>
            <w:tcW w:type="dxa" w:w="2600"/>
            <w:tcMar>
              <w:top w:type="dxa" w:w="100"/>
              <w:left w:type="dxa" w:w="120"/>
              <w:bottom w:type="dxa" w:w="100"/>
              <w:right w:type="dxa" w:w="120"/>
            </w:tcMar>
            <w:vAlign w:val="center"/>
          </w:tcPr>
          <w:p>
            <w:r>
              <w:rPr>
                <w:b/>
                <w:bCs/>
                <w:color w:val="16221E"/>
                <w:sz w:val="20"/>
                <w:szCs w:val="20"/>
              </w:rPr>
              <w:t xml:space="preserve">Empfänger</w:t>
            </w:r>
          </w:p>
        </w:tc>
        <w:tc>
          <w:tcPr>
            <w:tcW w:type="dxa" w:w="6400"/>
            <w:tcMar>
              <w:top w:type="dxa" w:w="100"/>
              <w:left w:type="dxa" w:w="120"/>
              <w:bottom w:type="dxa" w:w="100"/>
              <w:right w:type="dxa" w:w="120"/>
            </w:tcMar>
            <w:vAlign w:val="center"/>
          </w:tcPr>
          <w:p>
            <w:r>
              <w:rPr>
                <w:b w:val="false"/>
                <w:bCs w:val="false"/>
                <w:color w:val="16221E"/>
                <w:sz w:val="20"/>
                <w:szCs w:val="20"/>
              </w:rPr>
              <w:t xml:space="preserve">[Name und Anschrift der Patientin / des Patienten]</w:t>
            </w:r>
          </w:p>
        </w:tc>
      </w:tr>
      <w:tr>
        <w:tc>
          <w:tcPr>
            <w:tcW w:type="dxa" w:w="2600"/>
            <w:tcMar>
              <w:top w:type="dxa" w:w="100"/>
              <w:left w:type="dxa" w:w="120"/>
              <w:bottom w:type="dxa" w:w="100"/>
              <w:right w:type="dxa" w:w="120"/>
            </w:tcMar>
            <w:vAlign w:val="center"/>
          </w:tcPr>
          <w:p>
            <w:r>
              <w:rPr>
                <w:b/>
                <w:bCs/>
                <w:color w:val="16221E"/>
                <w:sz w:val="20"/>
                <w:szCs w:val="20"/>
              </w:rPr>
              <w:t xml:space="preserve">Rechnungsnummer</w:t>
            </w:r>
          </w:p>
        </w:tc>
        <w:tc>
          <w:tcPr>
            <w:tcW w:type="dxa" w:w="6400"/>
            <w:tcMar>
              <w:top w:type="dxa" w:w="100"/>
              <w:left w:type="dxa" w:w="120"/>
              <w:bottom w:type="dxa" w:w="100"/>
              <w:right w:type="dxa" w:w="120"/>
            </w:tcMar>
            <w:vAlign w:val="center"/>
          </w:tcPr>
          <w:p>
            <w:r>
              <w:rPr>
                <w:b w:val="false"/>
                <w:bCs w:val="false"/>
                <w:color w:val="16221E"/>
                <w:sz w:val="20"/>
                <w:szCs w:val="20"/>
              </w:rPr>
              <w:t xml:space="preserve">[fortlaufend, z. B. 2026-001]</w:t>
            </w:r>
          </w:p>
        </w:tc>
      </w:tr>
      <w:tr>
        <w:tc>
          <w:tcPr>
            <w:tcW w:type="dxa" w:w="2600"/>
            <w:tcMar>
              <w:top w:type="dxa" w:w="100"/>
              <w:left w:type="dxa" w:w="120"/>
              <w:bottom w:type="dxa" w:w="100"/>
              <w:right w:type="dxa" w:w="120"/>
            </w:tcMar>
            <w:vAlign w:val="center"/>
          </w:tcPr>
          <w:p>
            <w:r>
              <w:rPr>
                <w:b/>
                <w:bCs/>
                <w:color w:val="16221E"/>
                <w:sz w:val="20"/>
                <w:szCs w:val="20"/>
              </w:rPr>
              <w:t xml:space="preserve">Rechnungsdatum</w:t>
            </w:r>
          </w:p>
        </w:tc>
        <w:tc>
          <w:tcPr>
            <w:tcW w:type="dxa" w:w="6400"/>
            <w:tcMar>
              <w:top w:type="dxa" w:w="100"/>
              <w:left w:type="dxa" w:w="120"/>
              <w:bottom w:type="dxa" w:w="100"/>
              <w:right w:type="dxa" w:w="120"/>
            </w:tcMar>
            <w:vAlign w:val="center"/>
          </w:tcPr>
          <w:p>
            <w:r>
              <w:rPr>
                <w:b w:val="false"/>
                <w:bCs w:val="false"/>
                <w:color w:val="16221E"/>
                <w:sz w:val="20"/>
                <w:szCs w:val="20"/>
              </w:rPr>
              <w:t xml:space="preserve">[Datum der Ausstellung]</w:t>
            </w:r>
          </w:p>
        </w:tc>
      </w:tr>
      <w:tr>
        <w:tc>
          <w:tcPr>
            <w:tcW w:type="dxa" w:w="2600"/>
            <w:tcMar>
              <w:top w:type="dxa" w:w="100"/>
              <w:left w:type="dxa" w:w="120"/>
              <w:bottom w:type="dxa" w:w="100"/>
              <w:right w:type="dxa" w:w="120"/>
            </w:tcMar>
            <w:vAlign w:val="center"/>
          </w:tcPr>
          <w:p>
            <w:r>
              <w:rPr>
                <w:b/>
                <w:bCs/>
                <w:color w:val="16221E"/>
                <w:sz w:val="20"/>
                <w:szCs w:val="20"/>
              </w:rPr>
              <w:t xml:space="preserve">Leistungsdatum</w:t>
            </w:r>
          </w:p>
        </w:tc>
        <w:tc>
          <w:tcPr>
            <w:tcW w:type="dxa" w:w="6400"/>
            <w:tcMar>
              <w:top w:type="dxa" w:w="100"/>
              <w:left w:type="dxa" w:w="120"/>
              <w:bottom w:type="dxa" w:w="100"/>
              <w:right w:type="dxa" w:w="120"/>
            </w:tcMar>
            <w:vAlign w:val="center"/>
          </w:tcPr>
          <w:p>
            <w:r>
              <w:rPr>
                <w:b w:val="false"/>
                <w:bCs w:val="false"/>
                <w:color w:val="16221E"/>
                <w:sz w:val="20"/>
                <w:szCs w:val="20"/>
              </w:rPr>
              <w:t xml:space="preserve">[Datum der Behandlung]</w:t>
            </w:r>
          </w:p>
        </w:tc>
      </w:tr>
      <w:tr>
        <w:tc>
          <w:tcPr>
            <w:tcW w:type="dxa" w:w="2600"/>
            <w:tcMar>
              <w:top w:type="dxa" w:w="100"/>
              <w:left w:type="dxa" w:w="120"/>
              <w:bottom w:type="dxa" w:w="100"/>
              <w:right w:type="dxa" w:w="120"/>
            </w:tcMar>
            <w:vAlign w:val="center"/>
          </w:tcPr>
          <w:p>
            <w:r>
              <w:rPr>
                <w:b/>
                <w:bCs/>
                <w:color w:val="16221E"/>
                <w:sz w:val="20"/>
                <w:szCs w:val="20"/>
              </w:rPr>
              <w:t xml:space="preserve">Leistungsbeschreibung</w:t>
            </w:r>
          </w:p>
        </w:tc>
        <w:tc>
          <w:tcPr>
            <w:tcW w:type="dxa" w:w="6400"/>
            <w:tcMar>
              <w:top w:type="dxa" w:w="100"/>
              <w:left w:type="dxa" w:w="120"/>
              <w:bottom w:type="dxa" w:w="100"/>
              <w:right w:type="dxa" w:w="120"/>
            </w:tcMar>
            <w:vAlign w:val="center"/>
          </w:tcPr>
          <w:p>
            <w:r>
              <w:rPr>
                <w:b w:val="false"/>
                <w:bCs w:val="false"/>
                <w:color w:val="16221E"/>
                <w:sz w:val="20"/>
                <w:szCs w:val="20"/>
              </w:rPr>
              <w:t xml:space="preserve">[z. B. „Physiotherapeutische Behandlung, Hausbesuch, 45 Min.“]</w:t>
            </w:r>
          </w:p>
        </w:tc>
      </w:tr>
      <w:tr>
        <w:tc>
          <w:tcPr>
            <w:tcW w:type="dxa" w:w="2600"/>
            <w:tcMar>
              <w:top w:type="dxa" w:w="100"/>
              <w:left w:type="dxa" w:w="120"/>
              <w:bottom w:type="dxa" w:w="100"/>
              <w:right w:type="dxa" w:w="120"/>
            </w:tcMar>
            <w:vAlign w:val="center"/>
          </w:tcPr>
          <w:p>
            <w:r>
              <w:rPr>
                <w:b/>
                <w:bCs/>
                <w:color w:val="16221E"/>
                <w:sz w:val="20"/>
                <w:szCs w:val="20"/>
              </w:rPr>
              <w:t xml:space="preserve">Menge / Anzahl</w:t>
            </w:r>
          </w:p>
        </w:tc>
        <w:tc>
          <w:tcPr>
            <w:tcW w:type="dxa" w:w="6400"/>
            <w:tcMar>
              <w:top w:type="dxa" w:w="100"/>
              <w:left w:type="dxa" w:w="120"/>
              <w:bottom w:type="dxa" w:w="100"/>
              <w:right w:type="dxa" w:w="120"/>
            </w:tcMar>
            <w:vAlign w:val="center"/>
          </w:tcPr>
          <w:p>
            <w:r>
              <w:rPr>
                <w:b w:val="false"/>
                <w:bCs w:val="false"/>
                <w:color w:val="16221E"/>
                <w:sz w:val="20"/>
                <w:szCs w:val="20"/>
              </w:rPr>
              <w:t xml:space="preserve">[z. B. 1 Einheit]</w:t>
            </w:r>
          </w:p>
        </w:tc>
      </w:tr>
      <w:tr>
        <w:tc>
          <w:tcPr>
            <w:tcW w:type="dxa" w:w="2600"/>
            <w:tcMar>
              <w:top w:type="dxa" w:w="100"/>
              <w:left w:type="dxa" w:w="120"/>
              <w:bottom w:type="dxa" w:w="100"/>
              <w:right w:type="dxa" w:w="120"/>
            </w:tcMar>
            <w:vAlign w:val="center"/>
          </w:tcPr>
          <w:p>
            <w:r>
              <w:rPr>
                <w:b/>
                <w:bCs/>
                <w:color w:val="16221E"/>
                <w:sz w:val="20"/>
                <w:szCs w:val="20"/>
              </w:rPr>
              <w:t xml:space="preserve">Einzelpreis</w:t>
            </w:r>
          </w:p>
        </w:tc>
        <w:tc>
          <w:tcPr>
            <w:tcW w:type="dxa" w:w="6400"/>
            <w:tcMar>
              <w:top w:type="dxa" w:w="100"/>
              <w:left w:type="dxa" w:w="120"/>
              <w:bottom w:type="dxa" w:w="100"/>
              <w:right w:type="dxa" w:w="120"/>
            </w:tcMar>
            <w:vAlign w:val="center"/>
          </w:tcPr>
          <w:p>
            <w:r>
              <w:rPr>
                <w:b w:val="false"/>
                <w:bCs w:val="false"/>
                <w:color w:val="16221E"/>
                <w:sz w:val="20"/>
                <w:szCs w:val="20"/>
              </w:rPr>
              <w:t xml:space="preserve">[Betrag in Euro]</w:t>
            </w:r>
          </w:p>
        </w:tc>
      </w:tr>
      <w:tr>
        <w:tc>
          <w:tcPr>
            <w:tcW w:type="dxa" w:w="2600"/>
            <w:tcMar>
              <w:top w:type="dxa" w:w="100"/>
              <w:left w:type="dxa" w:w="120"/>
              <w:bottom w:type="dxa" w:w="100"/>
              <w:right w:type="dxa" w:w="120"/>
            </w:tcMar>
            <w:vAlign w:val="center"/>
          </w:tcPr>
          <w:p>
            <w:r>
              <w:rPr>
                <w:b/>
                <w:bCs/>
                <w:color w:val="16221E"/>
                <w:sz w:val="20"/>
                <w:szCs w:val="20"/>
              </w:rPr>
              <w:t xml:space="preserve">Gesamtbetrag</w:t>
            </w:r>
          </w:p>
        </w:tc>
        <w:tc>
          <w:tcPr>
            <w:tcW w:type="dxa" w:w="6400"/>
            <w:tcMar>
              <w:top w:type="dxa" w:w="100"/>
              <w:left w:type="dxa" w:w="120"/>
              <w:bottom w:type="dxa" w:w="100"/>
              <w:right w:type="dxa" w:w="120"/>
            </w:tcMar>
            <w:vAlign w:val="center"/>
          </w:tcPr>
          <w:p>
            <w:r>
              <w:rPr>
                <w:b w:val="false"/>
                <w:bCs w:val="false"/>
                <w:color w:val="16221E"/>
                <w:sz w:val="20"/>
                <w:szCs w:val="20"/>
              </w:rPr>
              <w:t xml:space="preserve">[Betrag in Euro]</w:t>
            </w:r>
          </w:p>
        </w:tc>
      </w:tr>
      <w:tr>
        <w:tc>
          <w:tcPr>
            <w:tcW w:type="dxa" w:w="2600"/>
            <w:tcMar>
              <w:top w:type="dxa" w:w="100"/>
              <w:left w:type="dxa" w:w="120"/>
              <w:bottom w:type="dxa" w:w="100"/>
              <w:right w:type="dxa" w:w="120"/>
            </w:tcMar>
            <w:vAlign w:val="center"/>
          </w:tcPr>
          <w:p>
            <w:r>
              <w:rPr>
                <w:b/>
                <w:bCs/>
                <w:color w:val="16221E"/>
                <w:sz w:val="20"/>
                <w:szCs w:val="20"/>
              </w:rPr>
              <w:t xml:space="preserve">Steuerhinweis</w:t>
            </w:r>
          </w:p>
        </w:tc>
        <w:tc>
          <w:tcPr>
            <w:tcW w:type="dxa" w:w="6400"/>
            <w:tcMar>
              <w:top w:type="dxa" w:w="100"/>
              <w:left w:type="dxa" w:w="120"/>
              <w:bottom w:type="dxa" w:w="100"/>
              <w:right w:type="dxa" w:w="120"/>
            </w:tcMar>
            <w:vAlign w:val="center"/>
          </w:tcPr>
          <w:p>
            <w:r>
              <w:rPr>
                <w:b w:val="false"/>
                <w:bCs w:val="false"/>
                <w:color w:val="16221E"/>
                <w:sz w:val="20"/>
                <w:szCs w:val="20"/>
              </w:rPr>
              <w:t xml:space="preserve">Steuerfreie Heilbehandlung gemäß § 4 Nr. 14 UStG — keine Umsatzsteuer ausgewiesen.</w:t>
            </w:r>
          </w:p>
        </w:tc>
      </w:tr>
      <w:tr>
        <w:tc>
          <w:tcPr>
            <w:tcW w:type="dxa" w:w="2600"/>
            <w:tcMar>
              <w:top w:type="dxa" w:w="100"/>
              <w:left w:type="dxa" w:w="120"/>
              <w:bottom w:type="dxa" w:w="100"/>
              <w:right w:type="dxa" w:w="120"/>
            </w:tcMar>
            <w:vAlign w:val="center"/>
          </w:tcPr>
          <w:p>
            <w:r>
              <w:rPr>
                <w:b/>
                <w:bCs/>
                <w:color w:val="16221E"/>
                <w:sz w:val="20"/>
                <w:szCs w:val="20"/>
              </w:rPr>
              <w:t xml:space="preserve">Zahlungsziel</w:t>
            </w:r>
          </w:p>
        </w:tc>
        <w:tc>
          <w:tcPr>
            <w:tcW w:type="dxa" w:w="6400"/>
            <w:tcMar>
              <w:top w:type="dxa" w:w="100"/>
              <w:left w:type="dxa" w:w="120"/>
              <w:bottom w:type="dxa" w:w="100"/>
              <w:right w:type="dxa" w:w="120"/>
            </w:tcMar>
            <w:vAlign w:val="center"/>
          </w:tcPr>
          <w:p>
            <w:r>
              <w:rPr>
                <w:b w:val="false"/>
                <w:bCs w:val="false"/>
                <w:color w:val="16221E"/>
                <w:sz w:val="20"/>
                <w:szCs w:val="20"/>
              </w:rPr>
              <w:t xml:space="preserve">[z. B. 14 Tage nach Rechnungsdatum]</w:t>
            </w:r>
          </w:p>
        </w:tc>
      </w:tr>
      <w:tr>
        <w:tc>
          <w:tcPr>
            <w:tcW w:type="dxa" w:w="2600"/>
            <w:tcMar>
              <w:top w:type="dxa" w:w="100"/>
              <w:left w:type="dxa" w:w="120"/>
              <w:bottom w:type="dxa" w:w="100"/>
              <w:right w:type="dxa" w:w="120"/>
            </w:tcMar>
            <w:vAlign w:val="center"/>
          </w:tcPr>
          <w:p>
            <w:r>
              <w:rPr>
                <w:b/>
                <w:bCs/>
                <w:color w:val="16221E"/>
                <w:sz w:val="20"/>
                <w:szCs w:val="20"/>
              </w:rPr>
              <w:t xml:space="preserve">Bankverbindung</w:t>
            </w:r>
          </w:p>
        </w:tc>
        <w:tc>
          <w:tcPr>
            <w:tcW w:type="dxa" w:w="6400"/>
            <w:tcMar>
              <w:top w:type="dxa" w:w="100"/>
              <w:left w:type="dxa" w:w="120"/>
              <w:bottom w:type="dxa" w:w="100"/>
              <w:right w:type="dxa" w:w="120"/>
            </w:tcMar>
            <w:vAlign w:val="center"/>
          </w:tcPr>
          <w:p>
            <w:r>
              <w:rPr>
                <w:b w:val="false"/>
                <w:bCs w:val="false"/>
                <w:color w:val="16221E"/>
                <w:sz w:val="20"/>
                <w:szCs w:val="20"/>
              </w:rPr>
              <w:t xml:space="preserve">[IBAN, Kontoinhaber:in]</w:t>
            </w:r>
          </w:p>
        </w:tc>
      </w:tr>
    </w:tbl>
    <w:p>
      <w:r>
        <w:br w:type="page"/>
      </w:r>
    </w:p>
    <w:p>
      <w:pPr>
        <w:pStyle w:val="Heading1"/>
        <w:pBdr>
          <w:bottom w:val="single" w:color="145C56" w:sz="6" w:space="6"/>
        </w:pBdr>
        <w:spacing w:after="200" w:before="420"/>
      </w:pPr>
      <w:r>
        <w:rPr>
          <w:b/>
          <w:bCs/>
          <w:color w:val="145C56"/>
          <w:sz w:val="30"/>
          <w:szCs w:val="30"/>
        </w:rPr>
        <w:t xml:space="preserve">06 · Dokumentation</w:t>
      </w:r>
    </w:p>
    <w:p>
      <w:pPr>
        <w:spacing w:after="160" w:line="300"/>
      </w:pPr>
      <w:r>
        <w:rPr>
          <w:color w:val="16221E"/>
        </w:rPr>
        <w:t xml:space="preserve">Auch bei Selbstzahler:innen gehört eine schriftliche Dokumentation dazu, nicht nur bei Kassenpatient:innen. Anamnese, Befund, Verlauf und Behandlungsziel schriftlich festzuhalten schützt dich im Streitfall und hilft dir selbst, den Überblick zu behalten, wenn aus zwei Patient:innen plötzlich zwanzig geworden sind.</w:t>
      </w:r>
    </w:p>
    <w:p>
      <w:pPr>
        <w:spacing w:after="160" w:line="300"/>
      </w:pPr>
      <w:r>
        <w:rPr>
          <w:color w:val="16221E"/>
        </w:rPr>
        <w:t xml:space="preserve">Die Aufbewahrungsfrist für Behandlungsdokumentation orientiert sich in der Regel an § 630f BGB und liegt bei mindestens zehn Jahren, bei minderjährigen Patient:innen entsprechend länger. Liegt eine ärztliche Verordnung vor, hebe auch diese als Nachweis auf.</w:t>
      </w:r>
    </w:p>
    <w:p>
      <w:pPr>
        <w:pStyle w:val="Heading2"/>
        <w:spacing w:after="120" w:before="240"/>
      </w:pPr>
      <w:r>
        <w:rPr>
          <w:b/>
          <w:bCs/>
          <w:color w:val="16221E"/>
          <w:sz w:val="24"/>
          <w:szCs w:val="24"/>
        </w:rPr>
        <w:t xml:space="preserve">Vorlage: Behandlungsdokumentation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gridCol w:w="2000"/>
      </w:tblGrid>
      <w:tr>
        <w:tc>
          <w:tcPr>
            <w:tcW w:type="dxa" w:w="1300"/>
            <w:shd w:fill="E2E9E5" w:val="clear"/>
            <w:tcMar>
              <w:top w:type="dxa" w:w="100"/>
              <w:left w:type="dxa" w:w="120"/>
              <w:bottom w:type="dxa" w:w="100"/>
              <w:right w:type="dxa" w:w="120"/>
            </w:tcMar>
            <w:vAlign w:val="center"/>
          </w:tcPr>
          <w:p>
            <w:r>
              <w:rPr>
                <w:b/>
                <w:bCs/>
                <w:color w:val="16221E"/>
                <w:sz w:val="20"/>
                <w:szCs w:val="20"/>
              </w:rPr>
              <w:t xml:space="preserve">Datum</w:t>
            </w:r>
          </w:p>
        </w:tc>
        <w:tc>
          <w:tcPr>
            <w:tcW w:type="dxa" w:w="1900"/>
            <w:shd w:fill="E2E9E5" w:val="clear"/>
            <w:tcMar>
              <w:top w:type="dxa" w:w="100"/>
              <w:left w:type="dxa" w:w="120"/>
              <w:bottom w:type="dxa" w:w="100"/>
              <w:right w:type="dxa" w:w="120"/>
            </w:tcMar>
            <w:vAlign w:val="center"/>
          </w:tcPr>
          <w:p>
            <w:r>
              <w:rPr>
                <w:b/>
                <w:bCs/>
                <w:color w:val="16221E"/>
                <w:sz w:val="20"/>
                <w:szCs w:val="20"/>
              </w:rPr>
              <w:t xml:space="preserve">Anamnese &amp; Befund</w:t>
            </w:r>
          </w:p>
        </w:tc>
        <w:tc>
          <w:tcPr>
            <w:tcW w:type="dxa" w:w="1900"/>
            <w:shd w:fill="E2E9E5" w:val="clear"/>
            <w:tcMar>
              <w:top w:type="dxa" w:w="100"/>
              <w:left w:type="dxa" w:w="120"/>
              <w:bottom w:type="dxa" w:w="100"/>
              <w:right w:type="dxa" w:w="120"/>
            </w:tcMar>
            <w:vAlign w:val="center"/>
          </w:tcPr>
          <w:p>
            <w:r>
              <w:rPr>
                <w:b/>
                <w:bCs/>
                <w:color w:val="16221E"/>
                <w:sz w:val="20"/>
                <w:szCs w:val="20"/>
              </w:rPr>
              <w:t xml:space="preserve">Behandlung</w:t>
            </w:r>
          </w:p>
        </w:tc>
        <w:tc>
          <w:tcPr>
            <w:tcW w:type="dxa" w:w="1900"/>
            <w:shd w:fill="E2E9E5" w:val="clear"/>
            <w:tcMar>
              <w:top w:type="dxa" w:w="100"/>
              <w:left w:type="dxa" w:w="120"/>
              <w:bottom w:type="dxa" w:w="100"/>
              <w:right w:type="dxa" w:w="120"/>
            </w:tcMar>
            <w:vAlign w:val="center"/>
          </w:tcPr>
          <w:p>
            <w:r>
              <w:rPr>
                <w:b/>
                <w:bCs/>
                <w:color w:val="16221E"/>
                <w:sz w:val="20"/>
                <w:szCs w:val="20"/>
              </w:rPr>
              <w:t xml:space="preserve">Verlauf / Reaktion</w:t>
            </w:r>
          </w:p>
        </w:tc>
        <w:tc>
          <w:tcPr>
            <w:tcW w:type="dxa" w:w="2000"/>
            <w:shd w:fill="E2E9E5" w:val="clear"/>
            <w:tcMar>
              <w:top w:type="dxa" w:w="100"/>
              <w:left w:type="dxa" w:w="120"/>
              <w:bottom w:type="dxa" w:w="100"/>
              <w:right w:type="dxa" w:w="120"/>
            </w:tcMar>
            <w:vAlign w:val="center"/>
          </w:tcPr>
          <w:p>
            <w:r>
              <w:rPr>
                <w:b/>
                <w:bCs/>
                <w:color w:val="16221E"/>
                <w:sz w:val="20"/>
                <w:szCs w:val="20"/>
              </w:rPr>
              <w:t xml:space="preserve">Nächste Schritte</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bl>
    <w:p>
      <w:r>
        <w:br w:type="page"/>
      </w:r>
    </w:p>
    <w:p>
      <w:pPr>
        <w:pStyle w:val="Heading1"/>
        <w:pBdr>
          <w:bottom w:val="single" w:color="145C56" w:sz="6" w:space="6"/>
        </w:pBdr>
        <w:spacing w:after="200" w:before="420"/>
      </w:pPr>
      <w:r>
        <w:rPr>
          <w:b/>
          <w:bCs/>
          <w:color w:val="145C56"/>
          <w:sz w:val="30"/>
          <w:szCs w:val="30"/>
        </w:rPr>
        <w:t xml:space="preserve">07 · Datenschutz-Grundlagen</w:t>
      </w:r>
    </w:p>
    <w:p>
      <w:pPr>
        <w:spacing w:after="160" w:line="300"/>
      </w:pPr>
      <w:r>
        <w:rPr>
          <w:color w:val="16221E"/>
        </w:rPr>
        <w:t xml:space="preserve">Gesundheitsdaten zählen nach Art. 9 DSGVO zu den besonderen Kategorien personenbezogener Daten — der Schutzbedarf liegt höher als bei gewöhnlichen Kontaktdaten. Die wichtigsten Punkte für den Alltag:</w:t>
      </w:r>
    </w:p>
    <w:p>
      <w:pPr>
        <w:pStyle w:val="ListParagraph"/>
        <w:numPr>
          <w:ilvl w:val="0"/>
          <w:numId w:val="2"/>
        </w:numPr>
        <w:spacing w:after="100" w:line="290"/>
      </w:pPr>
      <w:r>
        <w:rPr>
          <w:color w:val="16221E"/>
        </w:rPr>
        <w:t xml:space="preserve">Erhebe nur, was du für die Behandlung wirklich brauchst — keine Datensammlung auf Vorrat.</w:t>
      </w:r>
    </w:p>
    <w:p>
      <w:pPr>
        <w:pStyle w:val="ListParagraph"/>
        <w:numPr>
          <w:ilvl w:val="0"/>
          <w:numId w:val="2"/>
        </w:numPr>
        <w:spacing w:after="100" w:line="290"/>
      </w:pPr>
      <w:r>
        <w:rPr>
          <w:color w:val="16221E"/>
        </w:rPr>
        <w:t xml:space="preserve">Bewahre Unterlagen verschlossen oder passwortgeschützt auf, nicht offen in einer unverschlüsselten Cloud.</w:t>
      </w:r>
    </w:p>
    <w:p>
      <w:pPr>
        <w:pStyle w:val="ListParagraph"/>
        <w:numPr>
          <w:ilvl w:val="0"/>
          <w:numId w:val="2"/>
        </w:numPr>
        <w:spacing w:after="100" w:line="290"/>
      </w:pPr>
      <w:r>
        <w:rPr>
          <w:color w:val="16221E"/>
        </w:rPr>
        <w:t xml:space="preserve">Gib Daten nur mit Einwilligung weiter, etwa an Ärzt:innen oder Kolleg:innen.</w:t>
      </w:r>
    </w:p>
    <w:p>
      <w:pPr>
        <w:pStyle w:val="ListParagraph"/>
        <w:numPr>
          <w:ilvl w:val="0"/>
          <w:numId w:val="2"/>
        </w:numPr>
        <w:spacing w:after="100" w:line="290"/>
      </w:pPr>
      <w:r>
        <w:rPr>
          <w:color w:val="16221E"/>
        </w:rPr>
        <w:t xml:space="preserve">Deine Schweigepflicht gilt unabhängig von der DSGVO ohnehin berufsrechtlich.</w:t>
      </w:r>
    </w:p>
    <w:p>
      <w:pPr>
        <w:pStyle w:val="ListParagraph"/>
        <w:numPr>
          <w:ilvl w:val="0"/>
          <w:numId w:val="2"/>
        </w:numPr>
        <w:spacing w:after="100" w:line="290"/>
      </w:pPr>
      <w:r>
        <w:rPr>
          <w:color w:val="16221E"/>
        </w:rPr>
        <w:t xml:space="preserve">Informiere Patient:innen auf Nachfrage darüber, welche Daten du über sie gespeichert hast.</w:t>
      </w:r>
    </w:p>
    <w:p>
      <w:pPr>
        <w:pBdr>
          <w:left w:val="single" w:color="145C56" w:sz="18" w:space="8"/>
        </w:pBdr>
        <w:spacing w:after="220" w:before="120"/>
        <w:ind w:left="260"/>
      </w:pPr>
      <w:r>
        <w:rPr>
          <w:i/>
          <w:iCs/>
          <w:color w:val="56645D"/>
        </w:rPr>
        <w:t xml:space="preserve">Bei sehr kleinem Umfang kann eine Erleichterung beim Verarbeitungsverzeichnis nach Art. 30 Abs. 5 DSGVO greifen. Bei Gesundheitsdaten gelten davon aber oft Ausnahmen — ein einfaches, kurzes Verzeichnis zu führen ist sicherer, als sich auf die Erleichterung zu verlassen. Sobald du eine eigene Website oder Social-Media-Seite für dein Angebot betreibst, werden zusätzlich ein Impressum und eine Datenschutzerklärung Pflicht.</w:t>
      </w:r>
    </w:p>
    <w:p>
      <w:r>
        <w:br w:type="page"/>
      </w:r>
    </w:p>
    <w:p>
      <w:pPr>
        <w:pStyle w:val="Heading1"/>
        <w:pBdr>
          <w:bottom w:val="single" w:color="145C56" w:sz="6" w:space="6"/>
        </w:pBdr>
        <w:spacing w:after="200" w:before="420"/>
      </w:pPr>
      <w:r>
        <w:rPr>
          <w:b/>
          <w:bCs/>
          <w:color w:val="145C56"/>
          <w:sz w:val="30"/>
          <w:szCs w:val="30"/>
        </w:rPr>
        <w:t xml:space="preserve">08 · Erste Patient:innen gewinnen</w:t>
      </w:r>
    </w:p>
    <w:p>
      <w:pPr>
        <w:spacing w:after="160" w:line="300"/>
      </w:pPr>
      <w:r>
        <w:rPr>
          <w:color w:val="16221E"/>
        </w:rPr>
        <w:t xml:space="preserve">Die ehrliche Antwort zuerst: Die wenigsten ersten Patient:innen kommen über Werbung. Bei mir waren es Freunde, Familie, Leute aus dem Sportverein. Der Rest kam von allein, einfach weil die Behandlung gut war und sich das rumgesprochen hat.</w:t>
      </w:r>
    </w:p>
    <w:p>
      <w:pPr>
        <w:spacing w:after="160" w:line="300"/>
      </w:pPr>
      <w:r>
        <w:rPr>
          <w:color w:val="16221E"/>
        </w:rPr>
        <w:t xml:space="preserve">So in etwa lief die Reihenfolge, und sie passt vermutlich auch auf deinen Start:</w:t>
      </w:r>
    </w:p>
    <w:p>
      <w:pPr>
        <w:pStyle w:val="ListParagraph"/>
        <w:numPr>
          <w:ilvl w:val="0"/>
          <w:numId w:val="3"/>
        </w:numPr>
        <w:spacing w:after="100" w:line="290"/>
      </w:pPr>
      <w:r>
        <w:rPr>
          <w:color w:val="16221E"/>
        </w:rPr>
        <w:t xml:space="preserve">Dein direktes Umfeld: Familie, Freundeskreis, Sportverein, Nachbarschaft. Sag aktiv, dass du jetzt auch privat behandelst — die meisten trauen sich nicht, danach zu fragen, wenn sie es nicht wissen.</w:t>
      </w:r>
    </w:p>
    <w:p>
      <w:pPr>
        <w:pStyle w:val="ListParagraph"/>
        <w:numPr>
          <w:ilvl w:val="0"/>
          <w:numId w:val="3"/>
        </w:numPr>
        <w:spacing w:after="100" w:line="290"/>
      </w:pPr>
      <w:r>
        <w:rPr>
          <w:color w:val="16221E"/>
        </w:rPr>
        <w:t xml:space="preserve">Mundpropaganda nach der ersten guten Behandlung. Frag zufriedene Patient:innen aktiv, ob sie dich weiterempfehlen. Diese eine Frage machen die wenigsten, dabei ist sie der wirksamste Hebel.</w:t>
      </w:r>
    </w:p>
    <w:p>
      <w:pPr>
        <w:pStyle w:val="ListParagraph"/>
        <w:numPr>
          <w:ilvl w:val="0"/>
          <w:numId w:val="3"/>
        </w:numPr>
        <w:spacing w:after="100" w:line="290"/>
      </w:pPr>
      <w:r>
        <w:rPr>
          <w:color w:val="16221E"/>
        </w:rPr>
        <w:t xml:space="preserve">Kolleg:innen, sowohl aus deinem Hauptjob, sofern kein Konflikt mit dem Arbeitsvertrag besteht, als auch aus anderen Praxen, die selbst keine freien Kapazitäten mehr haben.</w:t>
      </w:r>
    </w:p>
    <w:p>
      <w:pPr>
        <w:pStyle w:val="ListParagraph"/>
        <w:numPr>
          <w:ilvl w:val="0"/>
          <w:numId w:val="3"/>
        </w:numPr>
        <w:spacing w:after="100" w:line="290"/>
      </w:pPr>
      <w:r>
        <w:rPr>
          <w:color w:val="16221E"/>
        </w:rPr>
        <w:t xml:space="preserve">Institutionelle Anfragen: Schulen, Kommunen, Betriebe, teils sogar Polizei oder Feuerwehr fragen gezielt Physiotherapeut:innen für Vorträge, Präventionsangebote oder punktuelle Behandlungen an. Das kommt bei den meisten aber erst, wenn sie schon einige Monate sichtbar und empfohlen sind, nicht am ersten Tag.</w:t>
      </w:r>
    </w:p>
    <w:p>
      <w:r>
        <w:br w:type="page"/>
      </w:r>
    </w:p>
    <w:p>
      <w:pPr>
        <w:pStyle w:val="Heading1"/>
        <w:pBdr>
          <w:bottom w:val="single" w:color="145C56" w:sz="6" w:space="6"/>
        </w:pBdr>
        <w:spacing w:after="200" w:before="420"/>
      </w:pPr>
      <w:r>
        <w:rPr>
          <w:b/>
          <w:bCs/>
          <w:color w:val="145C56"/>
          <w:sz w:val="30"/>
          <w:szCs w:val="30"/>
        </w:rPr>
        <w:t xml:space="preserve">09 · Die ersten 30 Tage</w:t>
      </w:r>
    </w:p>
    <w:p>
      <w:pPr>
        <w:spacing w:after="160" w:line="300"/>
      </w:pPr>
      <w:r>
        <w:rPr>
          <w:color w:val="16221E"/>
        </w:rPr>
        <w:t xml:space="preserve">Eine grobe Reihenfolge für die ersten vier Wochen. Nicht in Stein gemeißelt, aber ein guter Startpunkt, wenn du sonst nicht weißt, wo du anfangen sollst.</w:t>
      </w:r>
    </w:p>
    <w:p>
      <w:pPr>
        <w:spacing w:after="160" w:line="300"/>
      </w:pPr>
      <w:r>
        <w:rPr>
          <w:b/>
          <w:bCs/>
          <w:color w:val="16221E"/>
        </w:rPr>
        <w:t xml:space="preserve">Woche 1. </w:t>
      </w:r>
      <w:r>
        <w:rPr>
          <w:color w:val="16221E"/>
        </w:rPr>
        <w:t xml:space="preserve">Arbeitsvertrag geprüft, Fragebogen zur steuerlichen Erfassung beim Finanzamt eingereicht, BGW-Anmeldung raus.</w:t>
      </w:r>
    </w:p>
    <w:p>
      <w:pPr>
        <w:spacing w:after="160" w:line="300"/>
      </w:pPr>
      <w:r>
        <w:rPr>
          <w:b/>
          <w:bCs/>
          <w:color w:val="16221E"/>
        </w:rPr>
        <w:t xml:space="preserve">Woche 2. </w:t>
      </w:r>
      <w:r>
        <w:rPr>
          <w:color w:val="16221E"/>
        </w:rPr>
        <w:t xml:space="preserve">Berufshaftpflicht abgeschlossen, Rechnungs- und Dokumentationsvorlage aus diesem Fahrplan fertig ausgefüllt, Preis festgelegt.</w:t>
      </w:r>
    </w:p>
    <w:p>
      <w:pPr>
        <w:spacing w:after="160" w:line="300"/>
      </w:pPr>
      <w:r>
        <w:rPr>
          <w:b/>
          <w:bCs/>
          <w:color w:val="16221E"/>
        </w:rPr>
        <w:t xml:space="preserve">Woche 3. </w:t>
      </w:r>
      <w:r>
        <w:rPr>
          <w:color w:val="16221E"/>
        </w:rPr>
        <w:t xml:space="preserve">Direktes Umfeld informiert — Familie, Sportverein, Freundeskreis — und die ersten zwei bis drei Termine vereinbart.</w:t>
      </w:r>
    </w:p>
    <w:p>
      <w:pPr>
        <w:spacing w:after="160" w:line="300"/>
      </w:pPr>
      <w:r>
        <w:rPr>
          <w:b/>
          <w:bCs/>
          <w:color w:val="16221E"/>
        </w:rPr>
        <w:t xml:space="preserve">Woche 4. </w:t>
      </w:r>
      <w:r>
        <w:rPr>
          <w:color w:val="16221E"/>
        </w:rPr>
        <w:t xml:space="preserve">Erste Behandlungen durchgeführt, erste Rechnung gestellt, aktiv um Weiterempfehlung gebeten.</w:t>
      </w:r>
    </w:p>
    <w:p>
      <w:r>
        <w:br w:type="page"/>
      </w:r>
    </w:p>
    <w:p>
      <w:pPr>
        <w:pStyle w:val="Heading1"/>
        <w:pBdr>
          <w:bottom w:val="single" w:color="145C56" w:sz="6" w:space="6"/>
        </w:pBdr>
        <w:spacing w:after="200" w:before="420"/>
      </w:pPr>
      <w:r>
        <w:rPr>
          <w:b/>
          <w:bCs/>
          <w:color w:val="145C56"/>
          <w:sz w:val="30"/>
          <w:szCs w:val="30"/>
        </w:rPr>
        <w:t xml:space="preserve">10 · Typische Anfänger-Fehler</w:t>
      </w:r>
    </w:p>
    <w:p>
      <w:pPr>
        <w:pStyle w:val="ListParagraph"/>
        <w:numPr>
          <w:ilvl w:val="0"/>
          <w:numId w:val="2"/>
        </w:numPr>
        <w:spacing w:after="100" w:line="290"/>
      </w:pPr>
      <w:r>
        <w:rPr>
          <w:color w:val="16221E"/>
        </w:rPr>
        <w:t xml:space="preserve">Zu günstig kalkulieren, weil man sich als „Nebenbei“-Selbstständige:r nicht traut, einen realistischen Preis zu verlangen.</w:t>
      </w:r>
    </w:p>
    <w:p>
      <w:pPr>
        <w:pStyle w:val="ListParagraph"/>
        <w:numPr>
          <w:ilvl w:val="0"/>
          <w:numId w:val="2"/>
        </w:numPr>
        <w:spacing w:after="100" w:line="290"/>
      </w:pPr>
      <w:r>
        <w:rPr>
          <w:color w:val="16221E"/>
        </w:rPr>
        <w:t xml:space="preserve">Keine Steuerrücklage bilden und im Folgejahr von der Nachzahlung überrascht werden.</w:t>
      </w:r>
    </w:p>
    <w:p>
      <w:pPr>
        <w:pStyle w:val="ListParagraph"/>
        <w:numPr>
          <w:ilvl w:val="0"/>
          <w:numId w:val="2"/>
        </w:numPr>
        <w:spacing w:after="100" w:line="290"/>
      </w:pPr>
      <w:r>
        <w:rPr>
          <w:color w:val="16221E"/>
        </w:rPr>
        <w:t xml:space="preserve">Dokumentation vernachlässigen, weil es „ja nur ein paar Privatpatient:innen“ sind.</w:t>
      </w:r>
    </w:p>
    <w:p>
      <w:pPr>
        <w:pStyle w:val="ListParagraph"/>
        <w:numPr>
          <w:ilvl w:val="0"/>
          <w:numId w:val="2"/>
        </w:numPr>
        <w:spacing w:after="100" w:line="290"/>
      </w:pPr>
      <w:r>
        <w:rPr>
          <w:color w:val="16221E"/>
        </w:rPr>
        <w:t xml:space="preserve">Scheinselbstständigkeit riskieren: Wenn fast alle Einnahmen von einem einzigen Auftraggeber kommen und du dabei wie angestellt eingebunden bist — feste Zeiten, Weisungen, keine eigene Preisgestaltung — lohnt sich im Zweifel eine Statusfeststellung bei der Deutschen Rentenversicherung.</w:t>
      </w:r>
    </w:p>
    <w:p>
      <w:pPr>
        <w:pStyle w:val="ListParagraph"/>
        <w:numPr>
          <w:ilvl w:val="0"/>
          <w:numId w:val="2"/>
        </w:numPr>
        <w:spacing w:after="100" w:line="290"/>
      </w:pPr>
      <w:r>
        <w:rPr>
          <w:color w:val="16221E"/>
        </w:rPr>
        <w:t xml:space="preserve">Nebentätigkeit nicht mit dem Arbeitgeber abklären, obwohl der Vertrag es verlangt.</w:t>
      </w:r>
    </w:p>
    <w:p>
      <w:pPr>
        <w:pStyle w:val="ListParagraph"/>
        <w:numPr>
          <w:ilvl w:val="0"/>
          <w:numId w:val="2"/>
        </w:numPr>
        <w:spacing w:after="100" w:line="290"/>
      </w:pPr>
      <w:r>
        <w:rPr>
          <w:color w:val="16221E"/>
        </w:rPr>
        <w:t xml:space="preserve">Ohne ärztliche Verordnung behandeln. Auch bei Privatpatient:innen brauchst du in der Regel eine Verordnung, außer du hast eine Zusatzqualifikation als sektorale:r Heilpraktiker:in. Das wird häufig übersehen.</w:t>
      </w:r>
    </w:p>
    <w:p>
      <w:pPr>
        <w:pBdr>
          <w:left w:val="single" w:color="145C56" w:sz="18" w:space="8"/>
        </w:pBdr>
        <w:spacing w:after="220" w:before="120"/>
        <w:ind w:left="260"/>
      </w:pPr>
      <w:r>
        <w:rPr>
          <w:i/>
          <w:iCs/>
          <w:color w:val="56645D"/>
        </w:rPr>
        <w:t xml:space="preserve">Das war's. Zehn Kapitel, zwei Vorlagen. Der Rest ist: anfangen. Viel Erfolg.</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45D"/>
        <w:sz w:val="16"/>
        <w:szCs w:val="16"/>
      </w:rPr>
      <w:t xml:space="preserve">PhysioNebenbei · </w:t>
    </w:r>
    <w:r>
      <w:rPr>
        <w:color w:val="5664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2026-09-03T14:53:09.991Z</dcterms:created>
  <dcterms:modified xsi:type="dcterms:W3CDTF">2026-09-03T14:53:09.992Z</dcterms:modified>
</cp:coreProperties>
</file>

<file path=docProps/custom.xml><?xml version="1.0" encoding="utf-8"?>
<Properties xmlns="http://schemas.openxmlformats.org/officeDocument/2006/custom-properties" xmlns:vt="http://schemas.openxmlformats.org/officeDocument/2006/docPropsVTypes"/>
</file>