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left"/>
      </w:pPr>
      <w:r>
        <w:rPr>
          <w:b/>
          <w:bCs/>
          <w:color w:val="2F35E8"/>
          <w:sz w:val="18"/>
          <w:szCs w:val="18"/>
        </w:rPr>
        <w:t xml:space="preserve">FORMULAR PN-01 · AUSGABE 2026</w:t>
      </w:r>
    </w:p>
    <w:p>
      <w:pPr>
        <w:spacing w:after="260"/>
      </w:pPr>
      <w:r>
        <w:rPr>
          <w:b/>
          <w:bCs/>
          <w:color w:val="16221E"/>
          <w:sz w:val="44"/>
          <w:szCs w:val="44"/>
        </w:rPr>
        <w:t xml:space="preserve">Der Fahrplan für deine ersten Privatpatient:innen</w:t>
      </w:r>
    </w:p>
    <w:p>
      <w:pPr>
        <w:spacing w:after="500"/>
      </w:pPr>
      <w:r>
        <w:rPr>
          <w:color w:val="56645D"/>
          <w:sz w:val="24"/>
          <w:szCs w:val="24"/>
        </w:rPr>
        <w:t>Ein Selbstzahler-Starter-Kit für Physiotherapeut:innen, die nebenberuflich starten wollen, ohne Kassenzulassung, ohne eigene Praxis.</w:t>
      </w:r>
    </w:p>
    <w:p>
      <w:pPr>
        <w:spacing w:after="160" w:line="300"/>
      </w:pPr>
      <w:r>
        <w:rPr>
          <w:color w:val="16221E"/>
        </w:rPr>
        <w:t xml:space="preserve">Bevor's losgeht, kurz, warum's das hier gibt.</w:t>
      </w:r>
    </w:p>
    <w:p>
      <w:pPr>
        <w:spacing w:after="160" w:line="300"/>
      </w:pPr>
      <w:r>
        <w:rPr>
          <w:color w:val="16221E"/>
        </w:rPr>
        <w:t>Ich bin selbst angestellt in der Physiotherapie und behandle nebenberuflich Privatpatient:innen. Bevor ich damit angefangen habe, hab ich Wochen mit verstreuter Recherche verbracht, Behördenseiten, Foren, Versicherungsvergleiche, halb widersprüchliche Tipps von Kolleg:innen, und am Ende trotzdem noch offene Fragen gehabt, die mir erst die erste Praxis selbst beantwortet hat.</w:t>
      </w:r>
    </w:p>
    <w:p>
      <w:pPr>
        <w:spacing w:after="160" w:line="300"/>
      </w:pPr>
      <w:r>
        <w:rPr>
          <w:color w:val="16221E"/>
        </w:rPr>
        <w:t>Meine ersten Patient:innen kamen dann nicht über Werbung. Das waren Freunde, Familie, Leute aus dem Sportverein, bei dem ich seit Jahren mitmache. Der Rest kam mit der Zeit von allein, einfach weil die Behandlung gut war und sich das rumgesprochen hat. Später sind sogar Schulen, Städte und die Polizei auf mich zugekommen, weil mich jemand weiterempfohlen hatte. Das hätte ich am Anfang selbst nicht für möglich gehalten.</w:t>
      </w:r>
    </w:p>
    <w:p>
      <w:pPr>
        <w:spacing w:after="160" w:line="300"/>
      </w:pPr>
      <w:r>
        <w:rPr>
          <w:color w:val="16221E"/>
        </w:rPr>
        <w:t>Diesen Fahrplan gibt's, damit du für den bürokratischen Teil nicht so lange brauchst wie ich. Zehn Kapitel, ungefähr in der Reihenfolge, in der die Themen bei mir tatsächlich drangekommen sind. Dazu zwei fertige Vorlagen zum direkten Ausfüllen, damit du bei der ersten Rechnung nicht bei null anfängst.</w:t>
      </w:r>
    </w:p>
    <w:p>
      <w:pPr>
        <w:pBdr>
          <w:left w:val="single" w:color="145C56" w:sz="18" w:space="8"/>
        </w:pBdr>
        <w:spacing w:after="220" w:before="120"/>
        <w:ind w:left="260"/>
      </w:pPr>
      <w:r>
        <w:rPr>
          <w:i/>
          <w:iCs/>
          <w:color w:val="56645D"/>
        </w:rPr>
        <w:t>Wichtig: Dieser Fahrplan ist Orientierung und fertige Vorlagen für genau einen Fall, nebenberuflich, ausschließlich Selbstzahler:innen und Privatrezepte, keine eigene Praxis, keine Kassenzulassung. Er ersetzt keine individuelle Steuerberatung, keine Rechtsberatung und keine medizinische Beratung. Angaben zu Preisen, Fristen und Paragraphen wurden sorgfältig recherchiert (Stand 2026), können sich aber ändern oder im Einzelfall abweichen. Im Zweifel bei der zuständigen Stelle nachfragen: Finanzamt, BGW, Datenschutzaufsicht, Steuerberater:in.</w:t>
      </w:r>
    </w:p>
    <w:p>
      <w:r>
        <w:br w:type="page"/>
      </w:r>
    </w:p>
    <w:p>
      <w:pPr>
        <w:pStyle w:val="Heading1"/>
        <w:pBdr>
          <w:bottom w:val="single" w:color="145C56" w:sz="6" w:space="6"/>
        </w:pBdr>
        <w:spacing w:after="200" w:before="420"/>
      </w:pPr>
      <w:r>
        <w:rPr>
          <w:b/>
          <w:bCs/>
          <w:color w:val="2F35E8"/>
          <w:sz w:val="30"/>
          <w:szCs w:val="30"/>
        </w:rPr>
        <w:t xml:space="preserve">Inhalt</w:t>
      </w:r>
    </w:p>
    <w:p>
      <w:pPr>
        <w:spacing w:after="120"/>
      </w:pPr>
      <w:r>
        <w:rPr>
          <w:color w:val="16221E"/>
        </w:rPr>
        <w:t>01  Bist du bereit? Ein kurzer Realitäts-Check</w:t>
      </w:r>
    </w:p>
    <w:p>
      <w:pPr>
        <w:spacing w:after="120"/>
      </w:pPr>
      <w:r>
        <w:rPr>
          <w:color w:val="16221E"/>
        </w:rPr>
        <w:t xml:space="preserve">02  Anmeldung &amp; Formalitäten</w:t>
      </w:r>
    </w:p>
    <w:p>
      <w:pPr>
        <w:spacing w:after="120"/>
      </w:pPr>
      <w:r>
        <w:rPr>
          <w:color w:val="16221E"/>
        </w:rPr>
        <w:t xml:space="preserve">03  Versicherungen</w:t>
      </w:r>
    </w:p>
    <w:p>
      <w:pPr>
        <w:spacing w:after="120"/>
      </w:pPr>
      <w:r>
        <w:rPr>
          <w:color w:val="16221E"/>
        </w:rPr>
        <w:t xml:space="preserve">04  Preise &amp; Kalkulation</w:t>
      </w:r>
    </w:p>
    <w:p>
      <w:pPr>
        <w:spacing w:after="120"/>
      </w:pPr>
      <w:r>
        <w:rPr>
          <w:color w:val="16221E"/>
        </w:rPr>
        <w:t>05  Rechnung (mit Vorlage)</w:t>
      </w:r>
    </w:p>
    <w:p>
      <w:pPr>
        <w:spacing w:after="120"/>
      </w:pPr>
      <w:r>
        <w:rPr>
          <w:color w:val="16221E"/>
        </w:rPr>
        <w:t>06  Dokumentation (mit Vorlage)</w:t>
      </w:r>
    </w:p>
    <w:p>
      <w:pPr>
        <w:spacing w:after="120"/>
      </w:pPr>
      <w:r>
        <w:rPr>
          <w:color w:val="16221E"/>
        </w:rPr>
        <w:t xml:space="preserve">07  Datenschutz-Grundlagen</w:t>
      </w:r>
    </w:p>
    <w:p>
      <w:pPr>
        <w:spacing w:after="120"/>
      </w:pPr>
      <w:r>
        <w:rPr>
          <w:color w:val="16221E"/>
        </w:rPr>
        <w:t xml:space="preserve">08  Erste Patient:innen gewinnen</w:t>
      </w:r>
    </w:p>
    <w:p>
      <w:pPr>
        <w:spacing w:after="120"/>
      </w:pPr>
      <w:r>
        <w:rPr>
          <w:color w:val="16221E"/>
        </w:rPr>
        <w:t xml:space="preserve">09  Die ersten 30 Tage</w:t>
      </w:r>
    </w:p>
    <w:p>
      <w:pPr>
        <w:spacing w:after="120"/>
      </w:pPr>
      <w:r>
        <w:rPr>
          <w:color w:val="16221E"/>
        </w:rPr>
        <w:t xml:space="preserve">10  Typische Anfänger-Fehler</w:t>
      </w:r>
    </w:p>
    <w:p>
      <w:r>
        <w:br w:type="page"/>
      </w:r>
    </w:p>
    <w:p>
      <w:pPr>
        <w:pStyle w:val="Heading1"/>
        <w:pBdr>
          <w:bottom w:val="single" w:color="145C56" w:sz="6" w:space="6"/>
        </w:pBdr>
        <w:spacing w:after="200" w:before="420"/>
      </w:pPr>
      <w:r>
        <w:rPr>
          <w:b/>
          <w:bCs/>
          <w:color w:val="2F35E8"/>
          <w:sz w:val="30"/>
          <w:szCs w:val="30"/>
        </w:rPr>
        <w:t xml:space="preserve">01 · Bist du bereit? Ein kurzer Realitäts-Check</w:t>
      </w:r>
    </w:p>
    <w:p>
      <w:pPr>
        <w:spacing w:after="160" w:line="300"/>
      </w:pPr>
      <w:r>
        <w:rPr>
          <w:color w:val="16221E"/>
        </w:rPr>
        <w:t>Bevor du irgendwo ein Formular ausfüllst, lohnt sich ein ehrliches Gespräch mit dir selbst. Nicht das motivierende „Du schaffst das schon“, sondern das nüchterne: Passt das gerade wirklich in mein Leben. Die meisten dieser Fragen kosten dich fünf Minuten Nachdenken, aber genau diese fünf Minuten ersparen dir später Wochen voller Ärger oder ein schlechtes Gewissen gegenüber deinem Arbeitgeber. Ich hab mir ehrlich gesagt keine dieser Fragen vorher gestellt, ich hatte ein Angebot von einer Bekannten, hab spontan Ja gesagt und erst danach angefangen, mich um den Rest zu kümmern. Es ist gut gegangen, aber im Nachhinein weiß ich, dass ich Glück hatte.</w:t>
      </w:r>
    </w:p>
    <w:p>
      <w:pPr>
        <w:pStyle w:val="ListParagraph"/>
        <w:numPr>
          <w:ilvl w:val="0"/>
          <w:numId w:val="2"/>
        </w:numPr>
        <w:spacing w:after="100" w:line="290"/>
      </w:pPr>
      <w:r>
        <w:rPr>
          <w:color w:val="16221E"/>
        </w:rPr>
        <w:t>Steht in meinem Arbeitsvertrag etwas zu Nebentätigkeiten? Lies die Stelle wirklich noch einmal, nicht aus dem Gedächtnis. Manche Verträge verlangen nur eine Anzeige, andere eine ausdrückliche Genehmigung.</w:t>
      </w:r>
    </w:p>
    <w:p>
      <w:pPr>
        <w:pStyle w:val="ListParagraph"/>
        <w:numPr>
          <w:ilvl w:val="0"/>
          <w:numId w:val="2"/>
        </w:numPr>
        <w:spacing w:after="100" w:line="290"/>
      </w:pPr>
      <w:r>
        <w:rPr>
          <w:color w:val="16221E"/>
        </w:rPr>
        <w:t>Behandle ich möglicherweise Patient:innen, die auch bei meinem Arbeitgeber behandelt werden könnten oder wurden? Das ist kein moralisches Problem, sondern ein arbeitsrechtliches.</w:t>
      </w:r>
    </w:p>
    <w:p>
      <w:pPr>
        <w:pStyle w:val="ListParagraph"/>
        <w:numPr>
          <w:ilvl w:val="0"/>
          <w:numId w:val="2"/>
        </w:numPr>
        <w:spacing w:after="100" w:line="290"/>
      </w:pPr>
      <w:r>
        <w:rPr>
          <w:color w:val="16221E"/>
        </w:rPr>
        <w:t>Hab ich realistisch drei bis fünf Stunden pro Woche übrig, ohne dass mein Hauptjob, meine Erholung oder mein Privatleben darunter leiden? Rechne Anfahrt und Papierkram mit ein, nicht nur die Behandlungszeit.</w:t>
      </w:r>
    </w:p>
    <w:p>
      <w:pPr>
        <w:pStyle w:val="ListParagraph"/>
        <w:numPr>
          <w:ilvl w:val="0"/>
          <w:numId w:val="2"/>
        </w:numPr>
        <w:spacing w:after="100" w:line="290"/>
      </w:pPr>
      <w:r>
        <w:rPr>
          <w:color w:val="16221E"/>
        </w:rPr>
        <w:t>Bin ich bereit, ein paar Monate lang zwei Rollen gleichzeitig zu tragen, auch an Abenden, an denen ich eigentlich lieber auf dem Sofa liegen würde? Die ersten Wochen sind meistens die anstrengendsten.</w:t>
      </w:r>
    </w:p>
    <w:p>
      <w:pPr>
        <w:pBdr>
          <w:left w:val="single" w:color="145C56" w:sz="18" w:space="8"/>
        </w:pBdr>
        <w:spacing w:after="220" w:before="120"/>
        <w:ind w:left="260"/>
      </w:pPr>
      <w:r>
        <w:rPr>
          <w:i/>
          <w:iCs/>
          <w:color w:val="56645D"/>
        </w:rPr>
        <w:t>Wenn du bei einer der ersten beiden Fragen zögerst, ist das kein Beinbruch. Aber sprich es vorher mit deinem Arbeitgeber ab, wenn dein Vertrag das verlangt. Ein kurzes, offenes Gespräch im Vorfeld ist fast immer entspannter als eine Erklärung im Nachhinein. Das ist die eine Sache in diesem Kapitel, die ich wirklich nicht überspringen würde.</w:t>
      </w:r>
    </w:p>
    <w:p>
      <w:r>
        <w:br w:type="page"/>
      </w:r>
    </w:p>
    <w:p>
      <w:pPr>
        <w:pStyle w:val="Heading1"/>
        <w:pBdr>
          <w:bottom w:val="single" w:color="145C56" w:sz="6" w:space="6"/>
        </w:pBdr>
        <w:spacing w:after="200" w:before="420"/>
      </w:pPr>
      <w:r>
        <w:rPr>
          <w:b/>
          <w:bCs/>
          <w:color w:val="2F35E8"/>
          <w:sz w:val="30"/>
          <w:szCs w:val="30"/>
        </w:rPr>
        <w:t xml:space="preserve">02 · Anmeldung &amp; Formalitäten</w:t>
      </w:r>
    </w:p>
    <w:p>
      <w:pPr>
        <w:spacing w:after="160" w:line="300"/>
      </w:pPr>
      <w:r>
        <w:rPr>
          <w:color w:val="16221E"/>
        </w:rPr>
        <w:t>Hier atmen die meisten zum ersten Mal auf, wenn ich es erkläre. Physiotherapeut:innen zählen zu den sogenannten Katalogberufen, den Freien Berufen nach § 18 EStG. Das bedeutet in der Regel: kein Gang zum Gewerbeamt, keine Gewerbeanmeldung, keine Gewerbesteuer. Du meldest dich direkt beim Finanzamt an, und das geht mittlerweile komplett online.</w:t>
      </w:r>
    </w:p>
    <w:p>
      <w:pPr>
        <w:spacing w:after="160" w:line="300"/>
      </w:pPr>
      <w:r>
        <w:rPr>
          <w:color w:val="16221E"/>
        </w:rPr>
        <w:t>Eine Ausnahme kennen viele nicht. Verkaufst du nennenswert Produkte nebenher, etwa Kinesiotape, Massagegeräte oder Nahrungsergänzung, kann das Finanzamt diesen Teil deiner Tätigkeit als gewerblich einstufen. Bei ein paar Rollen Tape, die du sowieso schon benutzt, wird das kaum jemand hinterfragen. Willst du daraus ein zweites Standbein machen, frag lieber vorher kurz nach.</w:t>
      </w:r>
    </w:p>
    <w:p>
      <w:pPr>
        <w:spacing w:after="160" w:line="300"/>
      </w:pPr>
      <w:r>
        <w:rPr>
          <w:color w:val="16221E"/>
        </w:rPr>
        <w:t>So in etwa bin ich vorgegangen, in ungefähr dieser Reihenfolge:</w:t>
      </w:r>
    </w:p>
    <w:p>
      <w:pPr>
        <w:pStyle w:val="ListParagraph"/>
        <w:numPr>
          <w:ilvl w:val="0"/>
          <w:numId w:val="3"/>
        </w:numPr>
        <w:spacing w:after="100" w:line="290"/>
      </w:pPr>
      <w:r>
        <w:rPr>
          <w:color w:val="16221E"/>
        </w:rPr>
        <w:t>Arbeitsvertrag noch einmal in Ruhe gelesen und, falls nötig, die Nebentätigkeit beim Arbeitgeber schriftlich angezeigt. Ein kurzer, sachlicher Absatz reicht meistens.</w:t>
      </w:r>
    </w:p>
    <w:p>
      <w:pPr>
        <w:pStyle w:val="ListParagraph"/>
        <w:numPr>
          <w:ilvl w:val="0"/>
          <w:numId w:val="3"/>
        </w:numPr>
        <w:spacing w:after="100" w:line="290"/>
      </w:pPr>
      <w:r>
        <w:rPr>
          <w:color w:val="16221E"/>
        </w:rPr>
        <w:t>Fragebogen zur steuerlichen Erfassung online über ELSTER ausgefüllt. Das ist die eigentliche Anmeldung beim Finanzamt, kein Umweg über ein Amt, und dauert am Stück etwa zwanzig bis dreißig Minuten. Kurz danach bekommst du deine Steuernummer für die Selbstständigkeit zugeteilt.</w:t>
      </w:r>
    </w:p>
    <w:p>
      <w:pPr>
        <w:pStyle w:val="ListParagraph"/>
        <w:numPr>
          <w:ilvl w:val="0"/>
          <w:numId w:val="3"/>
        </w:numPr>
        <w:spacing w:after="100" w:line="290"/>
      </w:pPr>
      <w:r>
        <w:rPr>
          <w:color w:val="16221E"/>
        </w:rPr>
        <w:t>Anmeldung bei der BGW, der Berufsgenossenschaft für Gesundheitsdienst und Wohlfahrtspflege. Pflicht für alle selbstständigen Physiotherapeut:innen, auch ohne eigenes Personal, innerhalb einer Woche nach Aufnahme der Tätigkeit.</w:t>
      </w:r>
    </w:p>
    <w:p>
      <w:pPr>
        <w:pStyle w:val="ListParagraph"/>
        <w:numPr>
          <w:ilvl w:val="0"/>
          <w:numId w:val="3"/>
        </w:numPr>
        <w:spacing w:after="100" w:line="290"/>
      </w:pPr>
      <w:r>
        <w:rPr>
          <w:color w:val="16221E"/>
        </w:rPr>
        <w:t>Berufshaftpflicht abgeschlossen, und zwar bevor die erste Behandlung stattfindet, nicht danach (mehr dazu in Kapitel 03).</w:t>
      </w:r>
    </w:p>
    <w:p>
      <w:pPr>
        <w:pStyle w:val="ListParagraph"/>
        <w:numPr>
          <w:ilvl w:val="0"/>
          <w:numId w:val="3"/>
        </w:numPr>
        <w:spacing w:after="100" w:line="290"/>
      </w:pPr>
      <w:r>
        <w:rPr>
          <w:color w:val="16221E"/>
        </w:rPr>
        <w:t>Ein eigenes Konto nur für die Einnahmen aus der Nebentätigkeit eingerichtet. Rechtlich nicht zwingend, für die eigene Übersicht am Jahresende aber Gold wert.</w:t>
      </w:r>
    </w:p>
    <w:p>
      <w:pPr>
        <w:pStyle w:val="ListParagraph"/>
        <w:numPr>
          <w:ilvl w:val="0"/>
          <w:numId w:val="3"/>
        </w:numPr>
        <w:spacing w:after="100" w:line="290"/>
      </w:pPr>
      <w:r>
        <w:rPr>
          <w:color w:val="16221E"/>
        </w:rPr>
        <w:t>Rechnungs- und Dokumentationsvorlage vorbereitet (Kapitel 05 und 06), bevor die erste Patientin oder der erste Patient kommt. In der ersten Woche mit echten Terminen willst du dich nicht auch noch um eine Vorlage kümmern müssen.</w:t>
      </w:r>
    </w:p>
    <w:p>
      <w:pPr>
        <w:pBdr>
          <w:left w:val="single" w:color="145C56" w:sz="18" w:space="8"/>
        </w:pBdr>
        <w:spacing w:after="220" w:before="120"/>
        <w:ind w:left="260"/>
      </w:pPr>
      <w:r>
        <w:rPr>
          <w:i/>
          <w:iCs/>
          <w:color w:val="56645D"/>
        </w:rPr>
        <w:t>Je nach Bundesland und Kommune kann zusätzlich eine Meldung beim Gesundheitsamt verlangt werden, besonders bei eigenen Praxisräumen. Das ist regional so unterschiedlich geregelt, dass eine kurze Nachfrage bei deiner Kommune schneller geht als jede allgemeingültige Antwort.</w:t>
      </w:r>
    </w:p>
    <w:p>
      <w:r>
        <w:br w:type="page"/>
      </w:r>
    </w:p>
    <w:p>
      <w:pPr>
        <w:pStyle w:val="Heading1"/>
        <w:pBdr>
          <w:bottom w:val="single" w:color="145C56" w:sz="6" w:space="6"/>
        </w:pBdr>
        <w:spacing w:after="200" w:before="420"/>
      </w:pPr>
      <w:r>
        <w:rPr>
          <w:b/>
          <w:bCs/>
          <w:color w:val="2F35E8"/>
          <w:sz w:val="30"/>
          <w:szCs w:val="30"/>
        </w:rPr>
        <w:t xml:space="preserve">03 · Versicherungen</w:t>
      </w:r>
    </w:p>
    <w:p>
      <w:pPr>
        <w:spacing w:after="160" w:line="300"/>
      </w:pPr>
      <w:r>
        <w:rPr>
          <w:color w:val="16221E"/>
        </w:rPr>
        <w:t>Vier Fragen kommen bei so gut wie jedem Gespräch zu diesem Thema immer wieder auf. Der Reihe nach:</w:t>
      </w:r>
    </w:p>
    <w:p>
      <w:pPr>
        <w:spacing w:after="160" w:line="300"/>
      </w:pPr>
      <w:r>
        <w:rPr>
          <w:b/>
          <w:bCs/>
          <w:color w:val="16221E"/>
        </w:rPr>
        <w:t xml:space="preserve">Berufshaftpflicht. </w:t>
      </w:r>
      <w:r>
        <w:rPr>
          <w:color w:val="16221E"/>
        </w:rPr>
        <w:t>Gesetzlich nicht vorgeschrieben, in der Praxis aber so gut wie unverzichtbar, sie deckt Personen-, Sach- und Vermögensschäden ab. Stell dir vor, jemand stürzt beim Aufstehen von der Behandlungsliege. Am Markt gibt es Tarife schon ab etwa 100 bis 120 Euro im Jahr, mit Verbandsrabatt über VPT, IFK oder ähnliche teils günstiger. Üblich sind Deckungssummen ab drei Millionen Euro pro Schadensfall. Gib bei der Beantragung an, dass du nebenberuflich mit geringem Stundenumfang arbeitest, das senkt den Beitrag oft spürbar.</w:t>
      </w:r>
    </w:p>
    <w:p>
      <w:pPr>
        <w:spacing w:after="160" w:line="300"/>
      </w:pPr>
      <w:r>
        <w:rPr>
          <w:b/>
          <w:bCs/>
          <w:color w:val="16221E"/>
        </w:rPr>
        <w:t xml:space="preserve">Krankenversicherung. </w:t>
      </w:r>
      <w:r>
        <w:rPr>
          <w:color w:val="16221E"/>
        </w:rPr>
        <w:t>Solange deine Selbstständigkeit klar nebenberuflich bleibt, bleibst du in der Regel über deinen Hauptjob als Arbeitnehmer:in pflichtversichert. Trotzdem lohnt sich eine kurze Rückfrage bei deiner Krankenkasse, damit die Nebentätigkeit später nicht als hauptberuflich umgedeutet wird, das hätte Folgen für deinen Beitrag.</w:t>
      </w:r>
    </w:p>
    <w:p>
      <w:pPr>
        <w:spacing w:after="160" w:line="300"/>
      </w:pPr>
      <w:r>
        <w:rPr>
          <w:b/>
          <w:bCs/>
          <w:color w:val="16221E"/>
        </w:rPr>
        <w:t xml:space="preserve">Rentenversicherung. </w:t>
      </w:r>
      <w:r>
        <w:rPr>
          <w:color w:val="16221E"/>
        </w:rPr>
        <w:t>Physiotherapeut:innen unterliegen als Selbstständige in der Regel nicht der gesetzlichen Rentenversicherungspflicht, anders als zum Beispiel Hebammen. Eine Ausnahme kann entstehen, wenn du faktisch nur für einen einzigen Auftraggeber arbeitest und dabei wie angestellt eingebunden bist, dazu mehr in Kapitel 10 unter Scheinselbstständigkeit.</w:t>
      </w:r>
    </w:p>
    <w:p>
      <w:pPr>
        <w:spacing w:after="160" w:line="300"/>
      </w:pPr>
      <w:r>
        <w:rPr>
          <w:b/>
          <w:bCs/>
          <w:color w:val="16221E"/>
        </w:rPr>
        <w:t xml:space="preserve">Rechtsschutz. </w:t>
      </w:r>
      <w:r>
        <w:rPr>
          <w:color w:val="16221E"/>
        </w:rPr>
        <w:t>Kein Muss, aber falls du ohnehin schon eine private Rechtsschutzversicherung hast, lohnt sich ein Blick, ob sich der berufliche Bereich für wenig Aufpreis mitversichern lässt.</w:t>
      </w:r>
    </w:p>
    <w:p>
      <w:r>
        <w:br w:type="page"/>
      </w:r>
    </w:p>
    <w:p>
      <w:pPr>
        <w:pStyle w:val="Heading1"/>
        <w:pBdr>
          <w:bottom w:val="single" w:color="145C56" w:sz="6" w:space="6"/>
        </w:pBdr>
        <w:spacing w:after="200" w:before="420"/>
      </w:pPr>
      <w:r>
        <w:rPr>
          <w:b/>
          <w:bCs/>
          <w:color w:val="2F35E8"/>
          <w:sz w:val="30"/>
          <w:szCs w:val="30"/>
        </w:rPr>
        <w:t xml:space="preserve">04 · Preise &amp; Kalkulation</w:t>
      </w:r>
    </w:p>
    <w:p>
      <w:pPr>
        <w:spacing w:after="160" w:line="300"/>
      </w:pPr>
      <w:r>
        <w:rPr>
          <w:color w:val="16221E"/>
        </w:rPr>
        <w:t>Dein Stundenlohn im Angestelltenverhältnis ist ein guter Startpunkt zum Nachdenken, aber kein Preis, den du 1:1 übernehmen solltest. Als Angestellte oder Angestellter trägt dein Arbeitgeber die Versicherung, die Lohnfortzahlung im Krankheitsfall und einen Teil der Rente. Als Selbstständige oder Selbstständiger trägst du das alles selbst, zusätzlich zu Steuer-Rücklage, Fahrtzeit und Material. Wenn du krank wirst, verdienst du an dem Tag schlicht nichts.</w:t>
      </w:r>
    </w:p>
    <w:p>
      <w:pPr>
        <w:spacing w:after="160" w:line="300"/>
      </w:pPr>
      <w:r>
        <w:rPr>
          <w:color w:val="16221E"/>
        </w:rPr>
        <w:t>Am Markt bewegen sich Preise für eine Hausbesuchseinheit von etwa 30 bis 45 Minuten häufig irgendwo zwischen 60 und 90 Euro, je nach Region. Das ist eine grobe Richtgröße aus meiner eigenen Recherche, keine feste Empfehlung. Schau dich in deiner Region um und trau dich, einen Preis zu nennen, mit dem du selbst gut leben kannst.</w:t>
      </w:r>
    </w:p>
    <w:p>
      <w:pPr>
        <w:spacing w:after="160" w:line="300"/>
      </w:pPr>
      <w:r>
        <w:rPr>
          <w:b/>
          <w:bCs/>
          <w:color w:val="16221E"/>
        </w:rPr>
        <w:t xml:space="preserve">Steuerrücklage. </w:t>
      </w:r>
      <w:r>
        <w:rPr>
          <w:color w:val="16221E"/>
        </w:rPr>
        <w:t>Leg 25 bis 30 Prozent deiner Nebeneinkünfte konsequent zur Seite, am besten auf ein eigenes Konto. Dein Nebeneinkommen wird zu deinem Angestelltengehalt addiert und mit deinem persönlichen Grenzsteuersatz versteuert, bei einem soliden Gehalt liegt der oft schon bei 30 bis 42 Prozent. Die Nachzahlung im Folgejahr überrascht sonst fast jeden einmal.</w:t>
      </w:r>
    </w:p>
    <w:p>
      <w:pPr>
        <w:spacing w:after="160" w:line="300"/>
      </w:pPr>
      <w:r>
        <w:rPr>
          <w:b/>
          <w:bCs/>
          <w:color w:val="16221E"/>
        </w:rPr>
        <w:t xml:space="preserve">Fahrtzeit einrechnen. </w:t>
      </w:r>
      <w:r>
        <w:rPr>
          <w:color w:val="16221E"/>
        </w:rPr>
        <w:t>Wer nur die reine Behandlungszeit bepreist und Anfahrt, Parkplatzsuche und Vor- und Nachbereitung verschenkt, verkauft sich unter Wert. Wenn eine Behandlung 45 Minuten dauert, Hin- und Rückfahrt aber noch einmal 30 Minuten kosten, arbeitest du in Wahrheit 75 Minuten für den Preis von 45.</w:t>
      </w:r>
    </w:p>
    <w:p>
      <w:r>
        <w:br w:type="page"/>
      </w:r>
    </w:p>
    <w:p>
      <w:pPr>
        <w:pStyle w:val="Heading1"/>
        <w:pBdr>
          <w:bottom w:val="single" w:color="145C56" w:sz="6" w:space="6"/>
        </w:pBdr>
        <w:spacing w:after="200" w:before="420"/>
      </w:pPr>
      <w:r>
        <w:rPr>
          <w:b/>
          <w:bCs/>
          <w:color w:val="2F35E8"/>
          <w:sz w:val="30"/>
          <w:szCs w:val="30"/>
        </w:rPr>
        <w:t xml:space="preserve">05 · Rechnung</w:t>
      </w:r>
    </w:p>
    <w:p>
      <w:pPr>
        <w:spacing w:after="160" w:line="300"/>
      </w:pPr>
      <w:r>
        <w:rPr>
          <w:color w:val="16221E"/>
        </w:rPr>
        <w:t>Die erste Rechnung, die ich je geschrieben habe, hat mich mehr Zeit gekostet als die Behandlung selbst, weil ich ständig nachgeschaut habe, was alles draufmuss. Dabei ist es simpler, als es sich anfühlt. Eine Rechnung, die vor dem Finanzamt besteht, braucht nach § 14 UStG bestimmte Pflichtangaben. Im Grunde sind das zehn Felder, die du einmal als Vorlage anlegst und danach nur noch ausfüllst.</w:t>
      </w:r>
    </w:p>
    <w:p>
      <w:pPr>
        <w:spacing w:after="160" w:line="300"/>
      </w:pPr>
      <w:r>
        <w:rPr>
          <w:color w:val="16221E"/>
        </w:rPr>
        <w:t>Ein Punkt, den viele am Anfang nicht wissen: Physiotherapeutische Heilbehandlungen sind in aller Regel nach § 4 Nr. 14 UStG von der Umsatzsteuer befreit, unabhängig davon, ob eine Kasse, eine Privatversicherung oder die Patientin selbst zahlt. Auf der Rechnung weist du deshalb keine Umsatzsteuer aus, sondern vermerkst den Befreiungsgrund. Rechnungskopien zehn Jahre aufbewahren (§ 147 AO).</w:t>
      </w:r>
    </w:p>
    <w:p>
      <w:pPr>
        <w:pStyle w:val="Heading2"/>
        <w:spacing w:after="120" w:before="240"/>
      </w:pPr>
      <w:r>
        <w:rPr>
          <w:b/>
          <w:bCs/>
          <w:color w:val="16221E"/>
          <w:sz w:val="24"/>
          <w:szCs w:val="24"/>
        </w:rPr>
        <w:t xml:space="preserve">Vorlage: Rechnung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Mar>
              <w:top w:type="dxa" w:w="100"/>
              <w:left w:type="dxa" w:w="120"/>
              <w:bottom w:type="dxa" w:w="100"/>
              <w:right w:type="dxa" w:w="120"/>
            </w:tcMar>
            <w:vAlign w:val="center"/>
          </w:tcPr>
          <w:p>
            <w:r>
              <w:rPr>
                <w:b/>
                <w:bCs/>
                <w:color w:val="16221E"/>
                <w:sz w:val="20"/>
                <w:szCs w:val="20"/>
              </w:rPr>
              <w:t xml:space="preserve">Aussteller</w:t>
            </w:r>
          </w:p>
        </w:tc>
        <w:tc>
          <w:tcPr>
            <w:tcW w:type="dxa" w:w="6400"/>
            <w:tcMar>
              <w:top w:type="dxa" w:w="100"/>
              <w:left w:type="dxa" w:w="120"/>
              <w:bottom w:type="dxa" w:w="100"/>
              <w:right w:type="dxa" w:w="120"/>
            </w:tcMar>
            <w:vAlign w:val="center"/>
          </w:tcPr>
          <w:p>
            <w:r>
              <w:rPr>
                <w:b w:val="false"/>
                <w:bCs w:val="false"/>
                <w:color w:val="16221E"/>
                <w:sz w:val="20"/>
                <w:szCs w:val="20"/>
              </w:rPr>
              <w:t xml:space="preserve">[Dein Name, Anschrift, Steuernummer]</w:t>
            </w:r>
          </w:p>
        </w:tc>
      </w:tr>
      <w:tr>
        <w:tc>
          <w:tcPr>
            <w:tcW w:type="dxa" w:w="2600"/>
            <w:tcMar>
              <w:top w:type="dxa" w:w="100"/>
              <w:left w:type="dxa" w:w="120"/>
              <w:bottom w:type="dxa" w:w="100"/>
              <w:right w:type="dxa" w:w="120"/>
            </w:tcMar>
            <w:vAlign w:val="center"/>
          </w:tcPr>
          <w:p>
            <w:r>
              <w:rPr>
                <w:b/>
                <w:bCs/>
                <w:color w:val="16221E"/>
                <w:sz w:val="20"/>
                <w:szCs w:val="20"/>
              </w:rPr>
              <w:t xml:space="preserve">Empfänger</w:t>
            </w:r>
          </w:p>
        </w:tc>
        <w:tc>
          <w:tcPr>
            <w:tcW w:type="dxa" w:w="6400"/>
            <w:tcMar>
              <w:top w:type="dxa" w:w="100"/>
              <w:left w:type="dxa" w:w="120"/>
              <w:bottom w:type="dxa" w:w="100"/>
              <w:right w:type="dxa" w:w="120"/>
            </w:tcMar>
            <w:vAlign w:val="center"/>
          </w:tcPr>
          <w:p>
            <w:r>
              <w:rPr>
                <w:b w:val="false"/>
                <w:bCs w:val="false"/>
                <w:color w:val="16221E"/>
                <w:sz w:val="20"/>
                <w:szCs w:val="20"/>
              </w:rPr>
              <w:t xml:space="preserve">[Name und Anschrift der Patientin / des Patienten]</w:t>
            </w:r>
          </w:p>
        </w:tc>
      </w:tr>
      <w:tr>
        <w:tc>
          <w:tcPr>
            <w:tcW w:type="dxa" w:w="2600"/>
            <w:tcMar>
              <w:top w:type="dxa" w:w="100"/>
              <w:left w:type="dxa" w:w="120"/>
              <w:bottom w:type="dxa" w:w="100"/>
              <w:right w:type="dxa" w:w="120"/>
            </w:tcMar>
            <w:vAlign w:val="center"/>
          </w:tcPr>
          <w:p>
            <w:r>
              <w:rPr>
                <w:b/>
                <w:bCs/>
                <w:color w:val="16221E"/>
                <w:sz w:val="20"/>
                <w:szCs w:val="20"/>
              </w:rPr>
              <w:t xml:space="preserve">Rechnungsnummer</w:t>
            </w:r>
          </w:p>
        </w:tc>
        <w:tc>
          <w:tcPr>
            <w:tcW w:type="dxa" w:w="6400"/>
            <w:tcMar>
              <w:top w:type="dxa" w:w="100"/>
              <w:left w:type="dxa" w:w="120"/>
              <w:bottom w:type="dxa" w:w="100"/>
              <w:right w:type="dxa" w:w="120"/>
            </w:tcMar>
            <w:vAlign w:val="center"/>
          </w:tcPr>
          <w:p>
            <w:r>
              <w:rPr>
                <w:b w:val="false"/>
                <w:bCs w:val="false"/>
                <w:color w:val="16221E"/>
                <w:sz w:val="20"/>
                <w:szCs w:val="20"/>
              </w:rPr>
              <w:t xml:space="preserve">[fortlaufend, z. B. 2026-001]</w:t>
            </w:r>
          </w:p>
        </w:tc>
      </w:tr>
      <w:tr>
        <w:tc>
          <w:tcPr>
            <w:tcW w:type="dxa" w:w="2600"/>
            <w:tcMar>
              <w:top w:type="dxa" w:w="100"/>
              <w:left w:type="dxa" w:w="120"/>
              <w:bottom w:type="dxa" w:w="100"/>
              <w:right w:type="dxa" w:w="120"/>
            </w:tcMar>
            <w:vAlign w:val="center"/>
          </w:tcPr>
          <w:p>
            <w:r>
              <w:rPr>
                <w:b/>
                <w:bCs/>
                <w:color w:val="16221E"/>
                <w:sz w:val="20"/>
                <w:szCs w:val="20"/>
              </w:rPr>
              <w:t xml:space="preserve">Rechnungsdatum</w:t>
            </w:r>
          </w:p>
        </w:tc>
        <w:tc>
          <w:tcPr>
            <w:tcW w:type="dxa" w:w="6400"/>
            <w:tcMar>
              <w:top w:type="dxa" w:w="100"/>
              <w:left w:type="dxa" w:w="120"/>
              <w:bottom w:type="dxa" w:w="100"/>
              <w:right w:type="dxa" w:w="120"/>
            </w:tcMar>
            <w:vAlign w:val="center"/>
          </w:tcPr>
          <w:p>
            <w:r>
              <w:rPr>
                <w:b w:val="false"/>
                <w:bCs w:val="false"/>
                <w:color w:val="16221E"/>
                <w:sz w:val="20"/>
                <w:szCs w:val="20"/>
              </w:rPr>
              <w:t xml:space="preserve">[Datum der Ausstellung]</w:t>
            </w:r>
          </w:p>
        </w:tc>
      </w:tr>
      <w:tr>
        <w:tc>
          <w:tcPr>
            <w:tcW w:type="dxa" w:w="2600"/>
            <w:tcMar>
              <w:top w:type="dxa" w:w="100"/>
              <w:left w:type="dxa" w:w="120"/>
              <w:bottom w:type="dxa" w:w="100"/>
              <w:right w:type="dxa" w:w="120"/>
            </w:tcMar>
            <w:vAlign w:val="center"/>
          </w:tcPr>
          <w:p>
            <w:r>
              <w:rPr>
                <w:b/>
                <w:bCs/>
                <w:color w:val="16221E"/>
                <w:sz w:val="20"/>
                <w:szCs w:val="20"/>
              </w:rPr>
              <w:t xml:space="preserve">Leistungsdatum</w:t>
            </w:r>
          </w:p>
        </w:tc>
        <w:tc>
          <w:tcPr>
            <w:tcW w:type="dxa" w:w="6400"/>
            <w:tcMar>
              <w:top w:type="dxa" w:w="100"/>
              <w:left w:type="dxa" w:w="120"/>
              <w:bottom w:type="dxa" w:w="100"/>
              <w:right w:type="dxa" w:w="120"/>
            </w:tcMar>
            <w:vAlign w:val="center"/>
          </w:tcPr>
          <w:p>
            <w:r>
              <w:rPr>
                <w:b w:val="false"/>
                <w:bCs w:val="false"/>
                <w:color w:val="16221E"/>
                <w:sz w:val="20"/>
                <w:szCs w:val="20"/>
              </w:rPr>
              <w:t xml:space="preserve">[Datum der Behandlung]</w:t>
            </w:r>
          </w:p>
        </w:tc>
      </w:tr>
      <w:tr>
        <w:tc>
          <w:tcPr>
            <w:tcW w:type="dxa" w:w="2600"/>
            <w:tcMar>
              <w:top w:type="dxa" w:w="100"/>
              <w:left w:type="dxa" w:w="120"/>
              <w:bottom w:type="dxa" w:w="100"/>
              <w:right w:type="dxa" w:w="120"/>
            </w:tcMar>
            <w:vAlign w:val="center"/>
          </w:tcPr>
          <w:p>
            <w:r>
              <w:rPr>
                <w:b/>
                <w:bCs/>
                <w:color w:val="16221E"/>
                <w:sz w:val="20"/>
                <w:szCs w:val="20"/>
              </w:rPr>
              <w:t xml:space="preserve">Leistungsbeschreibung</w:t>
            </w:r>
          </w:p>
        </w:tc>
        <w:tc>
          <w:tcPr>
            <w:tcW w:type="dxa" w:w="6400"/>
            <w:tcMar>
              <w:top w:type="dxa" w:w="100"/>
              <w:left w:type="dxa" w:w="120"/>
              <w:bottom w:type="dxa" w:w="100"/>
              <w:right w:type="dxa" w:w="120"/>
            </w:tcMar>
            <w:vAlign w:val="center"/>
          </w:tcPr>
          <w:p>
            <w:r>
              <w:rPr>
                <w:b w:val="false"/>
                <w:bCs w:val="false"/>
                <w:color w:val="16221E"/>
                <w:sz w:val="20"/>
                <w:szCs w:val="20"/>
              </w:rPr>
              <w:t xml:space="preserve">[z. B. „Physiotherapeutische Behandlung, Hausbesuch, 45 Min.“]</w:t>
            </w:r>
          </w:p>
        </w:tc>
      </w:tr>
      <w:tr>
        <w:tc>
          <w:tcPr>
            <w:tcW w:type="dxa" w:w="2600"/>
            <w:tcMar>
              <w:top w:type="dxa" w:w="100"/>
              <w:left w:type="dxa" w:w="120"/>
              <w:bottom w:type="dxa" w:w="100"/>
              <w:right w:type="dxa" w:w="120"/>
            </w:tcMar>
            <w:vAlign w:val="center"/>
          </w:tcPr>
          <w:p>
            <w:r>
              <w:rPr>
                <w:b/>
                <w:bCs/>
                <w:color w:val="16221E"/>
                <w:sz w:val="20"/>
                <w:szCs w:val="20"/>
              </w:rPr>
              <w:t xml:space="preserve">Menge / Anzahl</w:t>
            </w:r>
          </w:p>
        </w:tc>
        <w:tc>
          <w:tcPr>
            <w:tcW w:type="dxa" w:w="6400"/>
            <w:tcMar>
              <w:top w:type="dxa" w:w="100"/>
              <w:left w:type="dxa" w:w="120"/>
              <w:bottom w:type="dxa" w:w="100"/>
              <w:right w:type="dxa" w:w="120"/>
            </w:tcMar>
            <w:vAlign w:val="center"/>
          </w:tcPr>
          <w:p>
            <w:r>
              <w:rPr>
                <w:b w:val="false"/>
                <w:bCs w:val="false"/>
                <w:color w:val="16221E"/>
                <w:sz w:val="20"/>
                <w:szCs w:val="20"/>
              </w:rPr>
              <w:t xml:space="preserve">[z. B. 1 Einheit]</w:t>
            </w:r>
          </w:p>
        </w:tc>
      </w:tr>
      <w:tr>
        <w:tc>
          <w:tcPr>
            <w:tcW w:type="dxa" w:w="2600"/>
            <w:tcMar>
              <w:top w:type="dxa" w:w="100"/>
              <w:left w:type="dxa" w:w="120"/>
              <w:bottom w:type="dxa" w:w="100"/>
              <w:right w:type="dxa" w:w="120"/>
            </w:tcMar>
            <w:vAlign w:val="center"/>
          </w:tcPr>
          <w:p>
            <w:r>
              <w:rPr>
                <w:b/>
                <w:bCs/>
                <w:color w:val="16221E"/>
                <w:sz w:val="20"/>
                <w:szCs w:val="20"/>
              </w:rPr>
              <w:t xml:space="preserve">Einzelpreis</w:t>
            </w:r>
          </w:p>
        </w:tc>
        <w:tc>
          <w:tcPr>
            <w:tcW w:type="dxa" w:w="6400"/>
            <w:tcMar>
              <w:top w:type="dxa" w:w="100"/>
              <w:left w:type="dxa" w:w="120"/>
              <w:bottom w:type="dxa" w:w="100"/>
              <w:right w:type="dxa" w:w="120"/>
            </w:tcMar>
            <w:vAlign w:val="center"/>
          </w:tcPr>
          <w:p>
            <w:r>
              <w:rPr>
                <w:b w:val="false"/>
                <w:bCs w:val="false"/>
                <w:color w:val="16221E"/>
                <w:sz w:val="20"/>
                <w:szCs w:val="20"/>
              </w:rPr>
              <w:t xml:space="preserve">[Betrag in Euro]</w:t>
            </w:r>
          </w:p>
        </w:tc>
      </w:tr>
      <w:tr>
        <w:tc>
          <w:tcPr>
            <w:tcW w:type="dxa" w:w="2600"/>
            <w:tcMar>
              <w:top w:type="dxa" w:w="100"/>
              <w:left w:type="dxa" w:w="120"/>
              <w:bottom w:type="dxa" w:w="100"/>
              <w:right w:type="dxa" w:w="120"/>
            </w:tcMar>
            <w:vAlign w:val="center"/>
          </w:tcPr>
          <w:p>
            <w:r>
              <w:rPr>
                <w:b/>
                <w:bCs/>
                <w:color w:val="16221E"/>
                <w:sz w:val="20"/>
                <w:szCs w:val="20"/>
              </w:rPr>
              <w:t xml:space="preserve">Gesamtbetrag</w:t>
            </w:r>
          </w:p>
        </w:tc>
        <w:tc>
          <w:tcPr>
            <w:tcW w:type="dxa" w:w="6400"/>
            <w:tcMar>
              <w:top w:type="dxa" w:w="100"/>
              <w:left w:type="dxa" w:w="120"/>
              <w:bottom w:type="dxa" w:w="100"/>
              <w:right w:type="dxa" w:w="120"/>
            </w:tcMar>
            <w:vAlign w:val="center"/>
          </w:tcPr>
          <w:p>
            <w:r>
              <w:rPr>
                <w:b w:val="false"/>
                <w:bCs w:val="false"/>
                <w:color w:val="16221E"/>
                <w:sz w:val="20"/>
                <w:szCs w:val="20"/>
              </w:rPr>
              <w:t xml:space="preserve">[Betrag in Euro]</w:t>
            </w:r>
          </w:p>
        </w:tc>
      </w:tr>
      <w:tr>
        <w:tc>
          <w:tcPr>
            <w:tcW w:type="dxa" w:w="2600"/>
            <w:tcMar>
              <w:top w:type="dxa" w:w="100"/>
              <w:left w:type="dxa" w:w="120"/>
              <w:bottom w:type="dxa" w:w="100"/>
              <w:right w:type="dxa" w:w="120"/>
            </w:tcMar>
            <w:vAlign w:val="center"/>
          </w:tcPr>
          <w:p>
            <w:r>
              <w:rPr>
                <w:b/>
                <w:bCs/>
                <w:color w:val="16221E"/>
                <w:sz w:val="20"/>
                <w:szCs w:val="20"/>
              </w:rPr>
              <w:t xml:space="preserve">Steuerhinweis</w:t>
            </w:r>
          </w:p>
        </w:tc>
        <w:tc>
          <w:tcPr>
            <w:tcW w:type="dxa" w:w="6400"/>
            <w:tcMar>
              <w:top w:type="dxa" w:w="100"/>
              <w:left w:type="dxa" w:w="120"/>
              <w:bottom w:type="dxa" w:w="100"/>
              <w:right w:type="dxa" w:w="120"/>
            </w:tcMar>
            <w:vAlign w:val="center"/>
          </w:tcPr>
          <w:p>
            <w:r>
              <w:rPr>
                <w:b w:val="false"/>
                <w:bCs w:val="false"/>
                <w:color w:val="16221E"/>
                <w:sz w:val="20"/>
                <w:szCs w:val="20"/>
              </w:rPr>
              <w:t>Steuerfreie Heilbehandlung gemäß § 4 Nr. 14 UStG, keine Umsatzsteuer ausgewiesen.</w:t>
            </w:r>
          </w:p>
        </w:tc>
      </w:tr>
      <w:tr>
        <w:tc>
          <w:tcPr>
            <w:tcW w:type="dxa" w:w="2600"/>
            <w:tcMar>
              <w:top w:type="dxa" w:w="100"/>
              <w:left w:type="dxa" w:w="120"/>
              <w:bottom w:type="dxa" w:w="100"/>
              <w:right w:type="dxa" w:w="120"/>
            </w:tcMar>
            <w:vAlign w:val="center"/>
          </w:tcPr>
          <w:p>
            <w:r>
              <w:rPr>
                <w:b/>
                <w:bCs/>
                <w:color w:val="16221E"/>
                <w:sz w:val="20"/>
                <w:szCs w:val="20"/>
              </w:rPr>
              <w:t xml:space="preserve">Zahlungsziel</w:t>
            </w:r>
          </w:p>
        </w:tc>
        <w:tc>
          <w:tcPr>
            <w:tcW w:type="dxa" w:w="6400"/>
            <w:tcMar>
              <w:top w:type="dxa" w:w="100"/>
              <w:left w:type="dxa" w:w="120"/>
              <w:bottom w:type="dxa" w:w="100"/>
              <w:right w:type="dxa" w:w="120"/>
            </w:tcMar>
            <w:vAlign w:val="center"/>
          </w:tcPr>
          <w:p>
            <w:r>
              <w:rPr>
                <w:b w:val="false"/>
                <w:bCs w:val="false"/>
                <w:color w:val="16221E"/>
                <w:sz w:val="20"/>
                <w:szCs w:val="20"/>
              </w:rPr>
              <w:t xml:space="preserve">[z. B. 14 Tage nach Rechnungsdatum]</w:t>
            </w:r>
          </w:p>
        </w:tc>
      </w:tr>
      <w:tr>
        <w:tc>
          <w:tcPr>
            <w:tcW w:type="dxa" w:w="2600"/>
            <w:tcMar>
              <w:top w:type="dxa" w:w="100"/>
              <w:left w:type="dxa" w:w="120"/>
              <w:bottom w:type="dxa" w:w="100"/>
              <w:right w:type="dxa" w:w="120"/>
            </w:tcMar>
            <w:vAlign w:val="center"/>
          </w:tcPr>
          <w:p>
            <w:r>
              <w:rPr>
                <w:b/>
                <w:bCs/>
                <w:color w:val="16221E"/>
                <w:sz w:val="20"/>
                <w:szCs w:val="20"/>
              </w:rPr>
              <w:t xml:space="preserve">Bankverbindung</w:t>
            </w:r>
          </w:p>
        </w:tc>
        <w:tc>
          <w:tcPr>
            <w:tcW w:type="dxa" w:w="6400"/>
            <w:tcMar>
              <w:top w:type="dxa" w:w="100"/>
              <w:left w:type="dxa" w:w="120"/>
              <w:bottom w:type="dxa" w:w="100"/>
              <w:right w:type="dxa" w:w="120"/>
            </w:tcMar>
            <w:vAlign w:val="center"/>
          </w:tcPr>
          <w:p>
            <w:r>
              <w:rPr>
                <w:b w:val="false"/>
                <w:bCs w:val="false"/>
                <w:color w:val="16221E"/>
                <w:sz w:val="20"/>
                <w:szCs w:val="20"/>
              </w:rPr>
              <w:t xml:space="preserve">[IBAN, Kontoinhaber:in]</w:t>
            </w:r>
          </w:p>
        </w:tc>
      </w:tr>
    </w:tbl>
    <w:p>
      <w:r>
        <w:br w:type="page"/>
      </w:r>
    </w:p>
    <w:p>
      <w:pPr>
        <w:pStyle w:val="Heading1"/>
        <w:pBdr>
          <w:bottom w:val="single" w:color="145C56" w:sz="6" w:space="6"/>
        </w:pBdr>
        <w:spacing w:after="200" w:before="420"/>
      </w:pPr>
      <w:r>
        <w:rPr>
          <w:b/>
          <w:bCs/>
          <w:color w:val="2F35E8"/>
          <w:sz w:val="30"/>
          <w:szCs w:val="30"/>
        </w:rPr>
        <w:t xml:space="preserve">06 · Dokumentation</w:t>
      </w:r>
    </w:p>
    <w:p>
      <w:pPr>
        <w:spacing w:after="160" w:line="300"/>
      </w:pPr>
      <w:r>
        <w:rPr>
          <w:color w:val="16221E"/>
        </w:rPr>
        <w:t>Auch bei Selbstzahler:innen gehört eine schriftliche Dokumentation dazu, nicht nur bei Kassenpatient:innen. Nach einem langen Arbeitstag im Hauptjob und noch ein oder zwei Hausbesuchen am Abend ist die Dokumentation oft das Letzte, worauf man Lust hat. Trotzdem lohnt es sich, das nicht zu verschieben. Anamnese, Befund, Verlauf und Behandlungsziel schriftlich festzuhalten schützt dich im Streitfall und hilft dir selbst, den Überblick zu behalten.</w:t>
      </w:r>
    </w:p>
    <w:p>
      <w:pPr>
        <w:spacing w:after="160" w:line="300"/>
      </w:pPr>
      <w:r>
        <w:rPr>
          <w:color w:val="16221E"/>
        </w:rPr>
        <w:t>Die Aufbewahrungsfrist für Behandlungsdokumentation orientiert sich in der Regel an § 630f BGB und liegt bei mindestens zehn Jahren, bei minderjährigen Patient:innen entsprechend länger.</w:t>
      </w:r>
    </w:p>
    <w:p>
      <w:pPr>
        <w:pStyle w:val="Heading2"/>
        <w:spacing w:after="120" w:before="240"/>
      </w:pPr>
      <w:r>
        <w:rPr>
          <w:b/>
          <w:bCs/>
          <w:color w:val="16221E"/>
          <w:sz w:val="24"/>
          <w:szCs w:val="24"/>
        </w:rPr>
        <w:t xml:space="preserve">Vorlage: Behandlungsdokumentation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900"/>
        <w:gridCol w:w="1900"/>
        <w:gridCol w:w="2000"/>
      </w:tblGrid>
      <w:tr>
        <w:tc>
          <w:tcPr>
            <w:tcW w:type="dxa" w:w="1300"/>
            <w:shd w:fill="E2E9E5" w:val="clear"/>
            <w:tcMar>
              <w:top w:type="dxa" w:w="100"/>
              <w:left w:type="dxa" w:w="120"/>
              <w:bottom w:type="dxa" w:w="100"/>
              <w:right w:type="dxa" w:w="120"/>
            </w:tcMar>
            <w:vAlign w:val="center"/>
          </w:tcPr>
          <w:p>
            <w:r>
              <w:rPr>
                <w:b/>
                <w:bCs/>
                <w:color w:val="16221E"/>
                <w:sz w:val="20"/>
                <w:szCs w:val="20"/>
              </w:rPr>
              <w:t xml:space="preserve">Datum</w:t>
            </w:r>
          </w:p>
        </w:tc>
        <w:tc>
          <w:tcPr>
            <w:tcW w:type="dxa" w:w="1900"/>
            <w:shd w:fill="E2E9E5" w:val="clear"/>
            <w:tcMar>
              <w:top w:type="dxa" w:w="100"/>
              <w:left w:type="dxa" w:w="120"/>
              <w:bottom w:type="dxa" w:w="100"/>
              <w:right w:type="dxa" w:w="120"/>
            </w:tcMar>
            <w:vAlign w:val="center"/>
          </w:tcPr>
          <w:p>
            <w:r>
              <w:rPr>
                <w:b/>
                <w:bCs/>
                <w:color w:val="16221E"/>
                <w:sz w:val="20"/>
                <w:szCs w:val="20"/>
              </w:rPr>
              <w:t xml:space="preserve">Anamnese &amp; Befund</w:t>
            </w:r>
          </w:p>
        </w:tc>
        <w:tc>
          <w:tcPr>
            <w:tcW w:type="dxa" w:w="1900"/>
            <w:shd w:fill="E2E9E5" w:val="clear"/>
            <w:tcMar>
              <w:top w:type="dxa" w:w="100"/>
              <w:left w:type="dxa" w:w="120"/>
              <w:bottom w:type="dxa" w:w="100"/>
              <w:right w:type="dxa" w:w="120"/>
            </w:tcMar>
            <w:vAlign w:val="center"/>
          </w:tcPr>
          <w:p>
            <w:r>
              <w:rPr>
                <w:b/>
                <w:bCs/>
                <w:color w:val="16221E"/>
                <w:sz w:val="20"/>
                <w:szCs w:val="20"/>
              </w:rPr>
              <w:t xml:space="preserve">Behandlung</w:t>
            </w:r>
          </w:p>
        </w:tc>
        <w:tc>
          <w:tcPr>
            <w:tcW w:type="dxa" w:w="1900"/>
            <w:shd w:fill="E2E9E5" w:val="clear"/>
            <w:tcMar>
              <w:top w:type="dxa" w:w="100"/>
              <w:left w:type="dxa" w:w="120"/>
              <w:bottom w:type="dxa" w:w="100"/>
              <w:right w:type="dxa" w:w="120"/>
            </w:tcMar>
            <w:vAlign w:val="center"/>
          </w:tcPr>
          <w:p>
            <w:r>
              <w:rPr>
                <w:b/>
                <w:bCs/>
                <w:color w:val="16221E"/>
                <w:sz w:val="20"/>
                <w:szCs w:val="20"/>
              </w:rPr>
              <w:t xml:space="preserve">Verlauf / Reaktion</w:t>
            </w:r>
          </w:p>
        </w:tc>
        <w:tc>
          <w:tcPr>
            <w:tcW w:type="dxa" w:w="2000"/>
            <w:shd w:fill="E2E9E5" w:val="clear"/>
            <w:tcMar>
              <w:top w:type="dxa" w:w="100"/>
              <w:left w:type="dxa" w:w="120"/>
              <w:bottom w:type="dxa" w:w="100"/>
              <w:right w:type="dxa" w:w="120"/>
            </w:tcMar>
            <w:vAlign w:val="center"/>
          </w:tcPr>
          <w:p>
            <w:r>
              <w:rPr>
                <w:b/>
                <w:bCs/>
                <w:color w:val="16221E"/>
                <w:sz w:val="20"/>
                <w:szCs w:val="20"/>
              </w:rPr>
              <w:t xml:space="preserve">Nächste Schritte</w:t>
            </w:r>
          </w:p>
        </w:tc>
      </w:tr>
      <w:tr>
        <w:tc>
          <w:tcPr>
            <w:tcW w:type="dxa" w:w="13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2000"/>
            <w:tcMar>
              <w:top w:type="dxa" w:w="100"/>
              <w:left w:type="dxa" w:w="120"/>
              <w:bottom w:type="dxa" w:w="100"/>
              <w:right w:type="dxa" w:w="120"/>
            </w:tcMar>
            <w:vAlign w:val="center"/>
          </w:tcPr>
          <w:p>
            <w:r>
              <w:rPr>
                <w:b w:val="false"/>
                <w:bCs w:val="false"/>
                <w:color w:val="16221E"/>
                <w:sz w:val="20"/>
                <w:szCs w:val="20"/>
              </w:rPr>
              <w:t xml:space="preserve"> </w:t>
            </w:r>
          </w:p>
        </w:tc>
      </w:tr>
      <w:tr>
        <w:tc>
          <w:tcPr>
            <w:tcW w:type="dxa" w:w="13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2000"/>
            <w:tcMar>
              <w:top w:type="dxa" w:w="100"/>
              <w:left w:type="dxa" w:w="120"/>
              <w:bottom w:type="dxa" w:w="100"/>
              <w:right w:type="dxa" w:w="120"/>
            </w:tcMar>
            <w:vAlign w:val="center"/>
          </w:tcPr>
          <w:p>
            <w:r>
              <w:rPr>
                <w:b w:val="false"/>
                <w:bCs w:val="false"/>
                <w:color w:val="16221E"/>
                <w:sz w:val="20"/>
                <w:szCs w:val="20"/>
              </w:rPr>
              <w:t xml:space="preserve"> </w:t>
            </w:r>
          </w:p>
        </w:tc>
      </w:tr>
      <w:tr>
        <w:tc>
          <w:tcPr>
            <w:tcW w:type="dxa" w:w="13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2000"/>
            <w:tcMar>
              <w:top w:type="dxa" w:w="100"/>
              <w:left w:type="dxa" w:w="120"/>
              <w:bottom w:type="dxa" w:w="100"/>
              <w:right w:type="dxa" w:w="120"/>
            </w:tcMar>
            <w:vAlign w:val="center"/>
          </w:tcPr>
          <w:p>
            <w:r>
              <w:rPr>
                <w:b w:val="false"/>
                <w:bCs w:val="false"/>
                <w:color w:val="16221E"/>
                <w:sz w:val="20"/>
                <w:szCs w:val="20"/>
              </w:rPr>
              <w:t xml:space="preserve"> </w:t>
            </w:r>
          </w:p>
        </w:tc>
      </w:tr>
      <w:tr>
        <w:tc>
          <w:tcPr>
            <w:tcW w:type="dxa" w:w="13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1900"/>
            <w:tcMar>
              <w:top w:type="dxa" w:w="100"/>
              <w:left w:type="dxa" w:w="120"/>
              <w:bottom w:type="dxa" w:w="100"/>
              <w:right w:type="dxa" w:w="120"/>
            </w:tcMar>
            <w:vAlign w:val="center"/>
          </w:tcPr>
          <w:p>
            <w:r>
              <w:rPr>
                <w:b w:val="false"/>
                <w:bCs w:val="false"/>
                <w:color w:val="16221E"/>
                <w:sz w:val="20"/>
                <w:szCs w:val="20"/>
              </w:rPr>
              <w:t xml:space="preserve"> </w:t>
            </w:r>
          </w:p>
        </w:tc>
        <w:tc>
          <w:tcPr>
            <w:tcW w:type="dxa" w:w="2000"/>
            <w:tcMar>
              <w:top w:type="dxa" w:w="100"/>
              <w:left w:type="dxa" w:w="120"/>
              <w:bottom w:type="dxa" w:w="100"/>
              <w:right w:type="dxa" w:w="120"/>
            </w:tcMar>
            <w:vAlign w:val="center"/>
          </w:tcPr>
          <w:p>
            <w:r>
              <w:rPr>
                <w:b w:val="false"/>
                <w:bCs w:val="false"/>
                <w:color w:val="16221E"/>
                <w:sz w:val="20"/>
                <w:szCs w:val="20"/>
              </w:rPr>
              <w:t xml:space="preserve"> </w:t>
            </w:r>
          </w:p>
        </w:tc>
      </w:tr>
    </w:tbl>
    <w:p>
      <w:r>
        <w:br w:type="page"/>
      </w:r>
    </w:p>
    <w:p>
      <w:pPr>
        <w:pStyle w:val="Heading1"/>
        <w:pBdr>
          <w:bottom w:val="single" w:color="145C56" w:sz="6" w:space="6"/>
        </w:pBdr>
        <w:spacing w:after="200" w:before="420"/>
      </w:pPr>
      <w:r>
        <w:rPr>
          <w:b/>
          <w:bCs/>
          <w:color w:val="2F35E8"/>
          <w:sz w:val="30"/>
          <w:szCs w:val="30"/>
        </w:rPr>
        <w:t xml:space="preserve">07 · Datenschutz-Grundlagen</w:t>
      </w:r>
    </w:p>
    <w:p>
      <w:pPr>
        <w:spacing w:after="160" w:line="300"/>
      </w:pPr>
      <w:r>
        <w:rPr>
          <w:color w:val="16221E"/>
        </w:rPr>
        <w:t>Gesundheitsdaten zählen nach Art. 9 DSGVO zu den besonderen Kategorien personenbezogener Daten, das bedeutet einen höheren Schutzbedarf als bei gewöhnlichen Kontaktdaten.</w:t>
      </w:r>
    </w:p>
    <w:p>
      <w:pPr>
        <w:pStyle w:val="ListParagraph"/>
        <w:numPr>
          <w:ilvl w:val="0"/>
          <w:numId w:val="2"/>
        </w:numPr>
        <w:spacing w:after="100" w:line="290"/>
      </w:pPr>
      <w:r>
        <w:rPr>
          <w:color w:val="16221E"/>
        </w:rPr>
        <w:t>Erhebe nur, was du für die Behandlung wirklich brauchst, keine Datensammlung auf Vorrat.</w:t>
      </w:r>
    </w:p>
    <w:p>
      <w:pPr>
        <w:pStyle w:val="ListParagraph"/>
        <w:numPr>
          <w:ilvl w:val="0"/>
          <w:numId w:val="2"/>
        </w:numPr>
        <w:spacing w:after="100" w:line="290"/>
      </w:pPr>
      <w:r>
        <w:rPr>
          <w:color w:val="16221E"/>
        </w:rPr>
        <w:t>Bewahre Unterlagen verschlossen oder passwortgeschützt auf, nicht offen in einer unverschlüsselten Cloud.</w:t>
      </w:r>
    </w:p>
    <w:p>
      <w:pPr>
        <w:pStyle w:val="ListParagraph"/>
        <w:numPr>
          <w:ilvl w:val="0"/>
          <w:numId w:val="2"/>
        </w:numPr>
        <w:spacing w:after="100" w:line="290"/>
      </w:pPr>
      <w:r>
        <w:rPr>
          <w:color w:val="16221E"/>
        </w:rPr>
        <w:t>Gib Daten nur mit ausdrücklicher Einwilligung weiter, etwa an Ärzt:innen oder Kolleg:innen.</w:t>
      </w:r>
    </w:p>
    <w:p>
      <w:pPr>
        <w:pStyle w:val="ListParagraph"/>
        <w:numPr>
          <w:ilvl w:val="0"/>
          <w:numId w:val="2"/>
        </w:numPr>
        <w:spacing w:after="100" w:line="290"/>
      </w:pPr>
      <w:r>
        <w:rPr>
          <w:color w:val="16221E"/>
        </w:rPr>
        <w:t>Deine Schweigepflicht gilt unabhängig von der DSGVO ohnehin berufsrechtlich.</w:t>
      </w:r>
    </w:p>
    <w:p>
      <w:pPr>
        <w:pStyle w:val="ListParagraph"/>
        <w:numPr>
          <w:ilvl w:val="0"/>
          <w:numId w:val="2"/>
        </w:numPr>
        <w:spacing w:after="100" w:line="290"/>
      </w:pPr>
      <w:r>
        <w:rPr>
          <w:color w:val="16221E"/>
        </w:rPr>
        <w:t>Informiere Patient:innen auf Nachfrage darüber, welche Daten du über sie gespeichert hast.</w:t>
      </w:r>
    </w:p>
    <w:p>
      <w:pPr>
        <w:pBdr>
          <w:left w:val="single" w:color="145C56" w:sz="18" w:space="8"/>
        </w:pBdr>
        <w:spacing w:after="220" w:before="120"/>
        <w:ind w:left="260"/>
      </w:pPr>
      <w:r>
        <w:rPr>
          <w:i/>
          <w:iCs/>
          <w:color w:val="56645D"/>
        </w:rPr>
        <w:t>Bei sehr kleinem Umfang kann eine Erleichterung beim Verarbeitungsverzeichnis nach Art. 30 Abs. 5 DSGVO greifen, bei Gesundheitsdaten gelten davon aber oft Ausnahmen. Ein kurzes Verzeichnis zu führen ist deshalb sicherer. Sobald du eine eigene Website oder Social-Media-Seite betreibst, werden Impressum und Datenschutzerklärung Pflicht.</w:t>
      </w:r>
    </w:p>
    <w:p>
      <w:r>
        <w:br w:type="page"/>
      </w:r>
    </w:p>
    <w:p>
      <w:pPr>
        <w:pStyle w:val="Heading1"/>
        <w:pBdr>
          <w:bottom w:val="single" w:color="145C56" w:sz="6" w:space="6"/>
        </w:pBdr>
        <w:spacing w:after="200" w:before="420"/>
      </w:pPr>
      <w:r>
        <w:rPr>
          <w:b/>
          <w:bCs/>
          <w:color w:val="2F35E8"/>
          <w:sz w:val="30"/>
          <w:szCs w:val="30"/>
        </w:rPr>
        <w:t xml:space="preserve">08 · Erste Patient:innen gewinnen</w:t>
      </w:r>
    </w:p>
    <w:p>
      <w:pPr>
        <w:spacing w:after="160" w:line="300"/>
      </w:pPr>
      <w:r>
        <w:rPr>
          <w:color w:val="16221E"/>
        </w:rPr>
        <w:t>Die ehrliche Antwort zuerst: Die wenigsten ersten Patient:innen kommen über Werbung. Bei mir waren es Freunde, Familie, Leute aus dem Sportverein. Der Rest kam von allein, einfach weil die Behandlung gut war und sich das rumgesprochen hat.</w:t>
      </w:r>
    </w:p>
    <w:p>
      <w:pPr>
        <w:spacing w:after="160" w:line="300"/>
      </w:pPr>
      <w:r>
        <w:rPr>
          <w:color w:val="16221E"/>
        </w:rPr>
        <w:t>So in etwa lief die Reihenfolge, und sie passt vermutlich auch auf deinen Start:</w:t>
      </w:r>
    </w:p>
    <w:p>
      <w:pPr>
        <w:pStyle w:val="ListParagraph"/>
        <w:numPr>
          <w:ilvl w:val="0"/>
          <w:numId w:val="3"/>
        </w:numPr>
        <w:spacing w:after="100" w:line="290"/>
      </w:pPr>
      <w:r>
        <w:rPr>
          <w:color w:val="16221E"/>
        </w:rPr>
        <w:t>Dein direktes Umfeld: Familie, Freundeskreis, Sportverein, Nachbarschaft. Sag aktiv und ohne Scheu, dass du jetzt auch privat behandelst.</w:t>
      </w:r>
    </w:p>
    <w:p>
      <w:pPr>
        <w:pStyle w:val="ListParagraph"/>
        <w:numPr>
          <w:ilvl w:val="0"/>
          <w:numId w:val="3"/>
        </w:numPr>
        <w:spacing w:after="100" w:line="290"/>
      </w:pPr>
      <w:r>
        <w:rPr>
          <w:color w:val="16221E"/>
        </w:rPr>
        <w:t>Mundpropaganda entsteht erst nach der ersten guten Behandlung. Frag zufriedene Patient:innen ruhig direkt, ob sie dich weiterempfehlen würden.</w:t>
      </w:r>
    </w:p>
    <w:p>
      <w:pPr>
        <w:pStyle w:val="ListParagraph"/>
        <w:numPr>
          <w:ilvl w:val="0"/>
          <w:numId w:val="3"/>
        </w:numPr>
        <w:spacing w:after="100" w:line="290"/>
      </w:pPr>
      <w:r>
        <w:rPr>
          <w:color w:val="16221E"/>
        </w:rPr>
        <w:t>Kolleg:innen, sowohl aus deinem Hauptjob, sofern kein Konflikt mit dem Arbeitsvertrag besteht, als auch aus anderen Praxen ohne freie Kapazitäten.</w:t>
      </w:r>
    </w:p>
    <w:p>
      <w:pPr>
        <w:pStyle w:val="ListParagraph"/>
        <w:numPr>
          <w:ilvl w:val="0"/>
          <w:numId w:val="3"/>
        </w:numPr>
        <w:spacing w:after="100" w:line="290"/>
      </w:pPr>
      <w:r>
        <w:rPr>
          <w:color w:val="16221E"/>
        </w:rPr>
        <w:t>Institutionelle Anfragen: Schulen, Kommunen, Betriebe, teils sogar Polizei oder Feuerwehr fragen gezielt nach. Kommt meist erst nach einigen Monaten Sichtbarkeit, nicht am ersten Tag.</w:t>
      </w:r>
    </w:p>
    <w:p>
      <w:r>
        <w:br w:type="page"/>
      </w:r>
    </w:p>
    <w:p>
      <w:pPr>
        <w:pStyle w:val="Heading1"/>
        <w:pBdr>
          <w:bottom w:val="single" w:color="145C56" w:sz="6" w:space="6"/>
        </w:pBdr>
        <w:spacing w:after="200" w:before="420"/>
      </w:pPr>
      <w:r>
        <w:rPr>
          <w:b/>
          <w:bCs/>
          <w:color w:val="2F35E8"/>
          <w:sz w:val="30"/>
          <w:szCs w:val="30"/>
        </w:rPr>
        <w:t xml:space="preserve">09 · Die ersten 30 Tage</w:t>
      </w:r>
    </w:p>
    <w:p>
      <w:pPr>
        <w:spacing w:after="160" w:line="300"/>
      </w:pPr>
      <w:r>
        <w:rPr>
          <w:color w:val="16221E"/>
        </w:rPr>
        <w:t>Eine grobe Reihenfolge für die ersten vier Wochen. Nicht in Stein gemeißelt, aber ein guter Startpunkt, damit sich nicht alles gleichzeitig anfühlt.</w:t>
      </w:r>
    </w:p>
    <w:p>
      <w:pPr>
        <w:spacing w:after="160" w:line="300"/>
      </w:pPr>
      <w:r>
        <w:rPr>
          <w:b/>
          <w:bCs/>
          <w:color w:val="16221E"/>
        </w:rPr>
        <w:t xml:space="preserve">Woche 1. </w:t>
      </w:r>
      <w:r>
        <w:rPr>
          <w:color w:val="16221E"/>
        </w:rPr>
        <w:t>Arbeitsvertrag geprüft, Fragebogen zur steuerlichen Erfassung beim Finanzamt eingereicht, BGW-Anmeldung raus. Das sind die drei Formalitäten, die am längsten brauchen, deshalb zuerst erledigen.</w:t>
      </w:r>
    </w:p>
    <w:p>
      <w:pPr>
        <w:spacing w:after="160" w:line="300"/>
      </w:pPr>
      <w:r>
        <w:rPr>
          <w:b/>
          <w:bCs/>
          <w:color w:val="16221E"/>
        </w:rPr>
        <w:t xml:space="preserve">Woche 2. </w:t>
      </w:r>
      <w:r>
        <w:rPr>
          <w:color w:val="16221E"/>
        </w:rPr>
        <w:t>Berufshaftpflicht abgeschlossen, Rechnungs- und Dokumentationsvorlage aus diesem Fahrplan fertig ausgefüllt, Preis festgelegt und einmal laut vor dir selbst ausgesprochen.</w:t>
      </w:r>
    </w:p>
    <w:p>
      <w:pPr>
        <w:spacing w:after="160" w:line="300"/>
      </w:pPr>
      <w:r>
        <w:rPr>
          <w:b/>
          <w:bCs/>
          <w:color w:val="16221E"/>
        </w:rPr>
        <w:t xml:space="preserve">Woche 3. </w:t>
      </w:r>
      <w:r>
        <w:rPr>
          <w:color w:val="16221E"/>
        </w:rPr>
        <w:t>Direktes Umfeld informiert, Familie, Sportverein, Freundeskreis, und die ersten zwei bis drei Termine vereinbart, bewusst nicht mehr auf einmal.</w:t>
      </w:r>
    </w:p>
    <w:p>
      <w:pPr>
        <w:spacing w:after="160" w:line="300"/>
      </w:pPr>
      <w:r>
        <w:rPr>
          <w:b/>
          <w:bCs/>
          <w:color w:val="16221E"/>
        </w:rPr>
        <w:t xml:space="preserve">Woche 4. </w:t>
      </w:r>
      <w:r>
        <w:rPr>
          <w:color w:val="16221E"/>
        </w:rPr>
        <w:t>Erste Behandlungen durchgeführt, erste Rechnung gestellt, aktiv um Weiterempfehlung gebeten, weil genau daraus die nächsten Termine entstehen.</w:t>
      </w:r>
    </w:p>
    <w:p>
      <w:r>
        <w:br w:type="page"/>
      </w:r>
    </w:p>
    <w:p>
      <w:pPr>
        <w:pStyle w:val="Heading1"/>
        <w:pBdr>
          <w:bottom w:val="single" w:color="145C56" w:sz="6" w:space="6"/>
        </w:pBdr>
        <w:spacing w:after="200" w:before="420"/>
      </w:pPr>
      <w:r>
        <w:rPr>
          <w:b/>
          <w:bCs/>
          <w:color w:val="2F35E8"/>
          <w:sz w:val="30"/>
          <w:szCs w:val="30"/>
        </w:rPr>
        <w:t xml:space="preserve">10 · Typische Anfänger-Fehler</w:t>
      </w:r>
    </w:p>
    <w:p>
      <w:pPr>
        <w:pStyle w:val="ListParagraph"/>
        <w:numPr>
          <w:ilvl w:val="0"/>
          <w:numId w:val="2"/>
        </w:numPr>
        <w:spacing w:after="100" w:line="290"/>
      </w:pPr>
      <w:r>
        <w:rPr>
          <w:color w:val="16221E"/>
        </w:rPr>
        <w:t>Zu günstig kalkulieren, weil man sich als „Nebenbei“-Selbstständige:r nicht traut, einen realistischen Preis zu verlangen. Ich hab genau das am Anfang gemacht und meinen Preis nach ein paar Monaten deutlich angehoben, ohne dass auch nur eine Person deswegen abgesprungen ist.</w:t>
      </w:r>
    </w:p>
    <w:p>
      <w:pPr>
        <w:pStyle w:val="ListParagraph"/>
        <w:numPr>
          <w:ilvl w:val="0"/>
          <w:numId w:val="2"/>
        </w:numPr>
        <w:spacing w:after="100" w:line="290"/>
      </w:pPr>
      <w:r>
        <w:rPr>
          <w:color w:val="16221E"/>
        </w:rPr>
        <w:t>Keine Steuerrücklage bilden und im Folgejahr von der Nachzahlung überrascht werden. Vermeidbar, wenn du gleich ab der ersten Rechnung konsequent zur Seite legst (Kapitel 04).</w:t>
      </w:r>
    </w:p>
    <w:p>
      <w:pPr>
        <w:pStyle w:val="ListParagraph"/>
        <w:numPr>
          <w:ilvl w:val="0"/>
          <w:numId w:val="2"/>
        </w:numPr>
        <w:spacing w:after="100" w:line="290"/>
      </w:pPr>
      <w:r>
        <w:rPr>
          <w:color w:val="16221E"/>
        </w:rPr>
        <w:t>Dokumentation vernachlässigen, weil es „ja nur ein paar Privatpatient:innen“ sind. Genau diese Haltung wird zum Problem, falls es einmal doch zu einem Streitfall kommt.</w:t>
      </w:r>
    </w:p>
    <w:p>
      <w:pPr>
        <w:pStyle w:val="ListParagraph"/>
        <w:numPr>
          <w:ilvl w:val="0"/>
          <w:numId w:val="2"/>
        </w:numPr>
        <w:spacing w:after="100" w:line="290"/>
      </w:pPr>
      <w:r>
        <w:rPr>
          <w:color w:val="16221E"/>
        </w:rPr>
        <w:t>Scheinselbstständigkeit riskieren: Wenn fast alle Einnahmen von einem einzigen Auftraggeber kommen und du dabei wie angestellt eingebunden bist, kannst du im Zweifel bei der Deutschen Rentenversicherung eine Statusfeststellung beantragen.</w:t>
      </w:r>
    </w:p>
    <w:p>
      <w:pPr>
        <w:pStyle w:val="ListParagraph"/>
        <w:numPr>
          <w:ilvl w:val="0"/>
          <w:numId w:val="2"/>
        </w:numPr>
        <w:spacing w:after="100" w:line="290"/>
      </w:pPr>
      <w:r>
        <w:rPr>
          <w:color w:val="16221E"/>
        </w:rPr>
        <w:t>Nebentätigkeit nicht mit dem Arbeitgeber abklären, obwohl der Vertrag es verlangt. Ein kurzes Gespräch im Vorfeld ist fast immer entspannter als eine Erklärung im Nachhinein.</w:t>
      </w:r>
    </w:p>
    <w:p>
      <w:pPr>
        <w:pStyle w:val="ListParagraph"/>
        <w:numPr>
          <w:ilvl w:val="0"/>
          <w:numId w:val="2"/>
        </w:numPr>
        <w:spacing w:after="100" w:line="290"/>
      </w:pPr>
      <w:r>
        <w:rPr>
          <w:color w:val="16221E"/>
        </w:rPr>
        <w:t>Ohne ärztliche Verordnung behandeln. Auch bei Privatpatient:innen brauchst du in der Regel eine Verordnung, außer mit Zusatzqualifikation als sektorale:r Heilpraktiker:in.</w:t>
      </w:r>
    </w:p>
    <w:p>
      <w:pPr>
        <w:pBdr>
          <w:left w:val="single" w:color="145C56" w:sz="18" w:space="8"/>
        </w:pBdr>
        <w:spacing w:after="220" w:before="120"/>
        <w:ind w:left="260"/>
      </w:pPr>
      <w:r>
        <w:rPr>
          <w:i/>
          <w:iCs/>
          <w:color w:val="56645D"/>
        </w:rPr>
        <w:t>Das war's von mir. Zehn Kapitel, zwei Vorlagen, ein paar Fehler, die du dir jetzt sparen kannst. Der Rest ist tatsächlich einfach: anfangen. Viel Erfolg.</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45D"/>
        <w:sz w:val="16"/>
        <w:szCs w:val="16"/>
      </w:rPr>
      <w:t xml:space="preserve">PhysioNebenbei · </w:t>
    </w:r>
    <w:r>
      <w:rPr>
        <w:color w:val="56645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F35E8"/>
      <w:sz w:val="32"/>
      <w:szCs w:val="32"/>
    </w:rPr>
  </w:style>
  <w:style w:type="paragraph" w:styleId="Heading2">
    <w:name w:val="Heading 2"/>
    <w:basedOn w:val="Normal"/>
    <w:next w:val="Normal"/>
    <w:qFormat/>
    <w:rPr>
      <w:color w:val="2F35E8"/>
      <w:sz w:val="26"/>
      <w:szCs w:val="26"/>
    </w:rPr>
  </w:style>
  <w:style w:type="paragraph" w:styleId="Heading3">
    <w:name w:val="Heading 3"/>
    <w:basedOn w:val="Normal"/>
    <w:next w:val="Normal"/>
    <w:qFormat/>
    <w:rPr>
      <w:color w:val="2F35E8"/>
      <w:sz w:val="24"/>
      <w:szCs w:val="24"/>
    </w:rPr>
  </w:style>
  <w:style w:type="paragraph" w:styleId="Heading4">
    <w:name w:val="Heading 4"/>
    <w:basedOn w:val="Normal"/>
    <w:next w:val="Normal"/>
    <w:qFormat/>
    <w:rPr>
      <w:i/>
      <w:iCs/>
      <w:color w:val="2F35E8"/>
    </w:rPr>
  </w:style>
  <w:style w:type="paragraph" w:styleId="Heading5">
    <w:name w:val="Heading 5"/>
    <w:basedOn w:val="Normal"/>
    <w:next w:val="Normal"/>
    <w:qFormat/>
    <w:rPr>
      <w:color w:val="2F35E8"/>
    </w:rPr>
  </w:style>
  <w:style w:type="paragraph" w:styleId="Heading6">
    <w:name w:val="Heading 6"/>
    <w:basedOn w:val="Normal"/>
    <w:next w:val="Normal"/>
    <w:qFormat/>
    <w:rPr>
      <w:color w:val="2F35E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35E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2026-09-03T14:53:09.991Z</dcterms:created>
  <dcterms:modified xsi:type="dcterms:W3CDTF">2026-09-03T14:53:09.992Z</dcterms:modified>
</cp:coreProperties>
</file>

<file path=docProps/custom.xml><?xml version="1.0" encoding="utf-8"?>
<Properties xmlns="http://schemas.openxmlformats.org/officeDocument/2006/custom-properties" xmlns:vt="http://schemas.openxmlformats.org/officeDocument/2006/docPropsVTypes"/>
</file>