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水调歌头</w:t>
      </w:r>
    </w:p>
    <w:p>
      <w:pPr>
        <w:pStyle w:val="Subtitle"/>
      </w:pPr>
      <w:r>
        <w:t>作者：苏轼</w:t>
      </w:r>
    </w:p>
    <w:p>
      <w:pPr>
        <w:pStyle w:val="BodyText2"/>
      </w:pPr>
      <w:r>
        <w:br/>
        <w:t xml:space="preserve">明月几时有，把酒问青天。 </w:t>
        <w:br/>
        <w:t xml:space="preserve">不知天上宫阙，今夕是何年？ </w:t>
        <w:br/>
        <w:t xml:space="preserve">我欲乘风归去，又恐琼楼玉宇， </w:t>
        <w:br/>
        <w:t xml:space="preserve">高处不胜寒。 </w:t>
        <w:br/>
        <w:t xml:space="preserve">起舞弄清影，何似在人间！ </w:t>
        <w:br/>
        <w:br/>
        <w:t xml:space="preserve">转朱阁，低绮户，照无眠。 </w:t>
        <w:br/>
        <w:t xml:space="preserve">不应有恨，何事长向别时圆？ </w:t>
        <w:br/>
        <w:t xml:space="preserve">人有悲欢离合，月有阴晴圆缺， </w:t>
        <w:br/>
        <w:t xml:space="preserve">此事古难全。 </w:t>
        <w:br/>
        <w:t>但愿人长久，千里共婵娟。</w:t>
        <w:br/>
      </w:r>
    </w:p>
    <w:p>
      <w:pPr>
        <w:pStyle w:val="Heading1"/>
      </w:pPr>
      <w:r>
        <w:t>Heading</w:t>
      </w:r>
    </w:p>
    <w:p>
      <w:pPr>
        <w:pStyle w:val="Title"/>
      </w:pPr>
      <w:r>
        <w:t>Heading</w:t>
      </w:r>
    </w:p>
    <w:p>
      <w:pPr>
        <w:pStyle w:val="Heading1"/>
      </w:pPr>
      <w:r>
        <w:t>Heading</w:t>
      </w:r>
    </w:p>
    <w:p>
      <w:pPr>
        <w:pStyle w:val="Heading2"/>
      </w:pPr>
      <w:r>
        <w:t>Heading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