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795"/>
            </w:pPr>
          </w:p>
          <w:p>
            <w:pPr>
              <w:pBdr>
                <w:bottom w:val="single" w:color="37DCF2" w:sz="6" w:space="8"/>
              </w:pBdr>
              <w:spacing w:after="500"/>
              <w:ind w:left="1200" w:right="800"/>
            </w:pPr>
            <w:r>
              <w:rPr>
                <w:rFonts w:ascii="Calibri" w:eastAsia="SimHei"/>
                <w:color w:val="37DCF2"/>
                <w:spacing w:val="40"/>
                <w:sz w:val="18"/>
                <w:szCs w:val="18"/>
              </w:rPr>
              <w:t xml:space="preserve">P  R  O  J  E  C  T     D  E  L  I  V  E  R  Y     R  E  P  O  R  T</w:t>
            </w:r>
          </w:p>
          <w:p>
            <w:pPr>
              <w:spacing w:after="100" w:line="920" w:lineRule="atLeast"/>
              <w:ind w:left="1200"/>
            </w:pPr>
            <w:r>
              <w:rPr>
                <w:rFonts w:ascii="Arial" w:eastAsia="SimHei"/>
                <w:b/>
                <w:bCs/>
                <w:color w:val="FFFFFF"/>
                <w:sz w:val="80"/>
                <w:szCs w:val="80"/>
              </w:rPr>
              <w:t xml:space="preserve">iChat Pro</w:t>
            </w:r>
          </w:p>
          <w:p>
            <w:pPr>
              <w:spacing w:after="300" w:line="920" w:lineRule="atLeast"/>
              <w:ind w:left="1200"/>
            </w:pPr>
            <w:r>
              <w:rPr>
                <w:rFonts w:ascii="Arial" w:eastAsia="SimHei"/>
                <w:b/>
                <w:bCs/>
                <w:color w:val="FFFFFF"/>
                <w:sz w:val="80"/>
                <w:szCs w:val="80"/>
              </w:rPr>
              <w:t xml:space="preserve">项目课程交付总结报告</w:t>
            </w:r>
          </w:p>
          <w:p>
            <w:pPr>
              <w:spacing w:after="800"/>
              <w:ind w:left="1200"/>
            </w:pPr>
            <w:r>
              <w:rPr>
                <w:rFonts w:ascii="Arial" w:eastAsia="Microsoft YaHei"/>
                <w:color w:val="B0B8C0"/>
                <w:sz w:val="24"/>
                <w:szCs w:val="24"/>
              </w:rPr>
              <w:t xml:space="preserve">基于端到端加密（E2EE）的安全即时通信系统</w:t>
            </w:r>
          </w:p>
          <w:p>
            <w:pPr>
              <w:pBdr>
                <w:left w:val="single" w:color="37DCF2" w:sz="8" w:space="12"/>
              </w:pBdr>
              <w:spacing w:after="80"/>
              <w:ind w:left="1400"/>
            </w:pPr>
            <w:r>
              <w:rPr>
                <w:rFonts w:ascii="Arial" w:eastAsia="Microsoft YaHei"/>
                <w:color w:val="90989F"/>
                <w:sz w:val="24"/>
                <w:szCs w:val="24"/>
              </w:rPr>
              <w:t xml:space="preserve">课程名称：【请填写】</w:t>
            </w:r>
          </w:p>
          <w:p>
            <w:pPr>
              <w:pBdr>
                <w:left w:val="single" w:color="37DCF2" w:sz="8" w:space="12"/>
              </w:pBdr>
              <w:spacing w:after="80"/>
              <w:ind w:left="1400"/>
            </w:pPr>
            <w:r>
              <w:rPr>
                <w:rFonts w:ascii="Arial" w:eastAsia="Microsoft YaHei"/>
                <w:color w:val="90989F"/>
                <w:sz w:val="24"/>
                <w:szCs w:val="24"/>
              </w:rPr>
              <w:t xml:space="preserve">指导教师：【请填写】</w:t>
            </w:r>
          </w:p>
          <w:p>
            <w:pPr>
              <w:pBdr>
                <w:left w:val="single" w:color="37DCF2" w:sz="8" w:space="12"/>
              </w:pBdr>
              <w:spacing w:after="80"/>
              <w:ind w:left="1400"/>
            </w:pPr>
            <w:r>
              <w:rPr>
                <w:rFonts w:ascii="Arial" w:eastAsia="Microsoft YaHei"/>
                <w:color w:val="90989F"/>
                <w:sz w:val="24"/>
                <w:szCs w:val="24"/>
              </w:rPr>
              <w:t xml:space="preserve">小组成员：叶伟智、许栢境、庞嘉铭、林弘</w:t>
            </w:r>
          </w:p>
          <w:p>
            <w:pPr>
              <w:pBdr>
                <w:left w:val="single" w:color="37DCF2" w:sz="8" w:space="12"/>
              </w:pBdr>
              <w:spacing w:after="80"/>
              <w:ind w:left="1400"/>
            </w:pPr>
            <w:r>
              <w:rPr>
                <w:rFonts w:ascii="Arial" w:eastAsia="Microsoft YaHei"/>
                <w:color w:val="90989F"/>
                <w:sz w:val="24"/>
                <w:szCs w:val="24"/>
              </w:rPr>
              <w:t xml:space="preserve">GitHub 账号：HeanX、AEther61、pislan、ketter1024</w:t>
            </w:r>
          </w:p>
          <w:p>
            <w:pPr>
              <w:pBdr>
                <w:left w:val="single" w:color="37DCF2" w:sz="8" w:space="12"/>
              </w:pBdr>
              <w:spacing w:after="80"/>
              <w:ind w:left="1400"/>
            </w:pPr>
            <w:r>
              <w:rPr>
                <w:rFonts w:ascii="Arial" w:eastAsia="Microsoft YaHei"/>
                <w:color w:val="90989F"/>
                <w:sz w:val="24"/>
                <w:szCs w:val="24"/>
              </w:rPr>
              <w:t xml:space="preserve">代码仓库：github.com/HeanX/iChat_Pro</w:t>
            </w:r>
          </w:p>
          <w:p>
            <w:pPr>
              <w:pBdr>
                <w:left w:val="single" w:color="37DCF2" w:sz="8" w:space="12"/>
              </w:pBdr>
              <w:spacing w:after="80"/>
              <w:ind w:left="1400"/>
            </w:pPr>
            <w:r>
              <w:rPr>
                <w:rFonts w:ascii="Arial" w:eastAsia="Microsoft YaHei"/>
                <w:color w:val="90989F"/>
                <w:sz w:val="24"/>
                <w:szCs w:val="24"/>
              </w:rPr>
              <w:t xml:space="preserve">报告日期：2026 年 9 月 30 日</w:t>
            </w:r>
          </w:p>
          <w:p>
            <w:pPr>
              <w:spacing w:before="3795"/>
            </w:pPr>
          </w:p>
          <w:p>
            <w:pPr>
              <w:pBdr>
                <w:top w:val="single" w:color="37DCF2" w:sz="2" w:space="8"/>
              </w:pBdr>
              <w:spacing w:before="200"/>
              <w:ind w:left="1200" w:right="800"/>
            </w:pPr>
            <w:r>
              <w:rPr>
                <w:rFonts w:ascii="Arial" w:eastAsia="Microsoft YaHei"/>
                <w:color w:val="687078"/>
                <w:sz w:val="16"/>
                <w:szCs w:val="16"/>
              </w:rPr>
              <w:t xml:space="preserve">iChat Pro 项目小组</w:t>
            </w:r>
            <w:r>
              <w:t xml:space="preserve">                                        </w:t>
            </w:r>
            <w:r>
              <w:rPr>
                <w:rFonts w:ascii="Arial" w:eastAsia="Microsoft YaHei"/>
                <w:color w:val="687078"/>
                <w:sz w:val="16"/>
                <w:szCs w:val="16"/>
              </w:rPr>
              <w:t xml:space="preserve">2026-09</w:t>
            </w:r>
          </w:p>
        </w:tc>
      </w:tr>
    </w:tbl>
    <w:p>
      <w:pPr>
        <w:sectPr>
          <w:pgSz w:w="11906" w:h="16838" w:orient="portrait"/>
          <w:pgMar w:top="0" w:right="0" w:bottom="0" w:left="0" w:header="708" w:footer="708" w:gutter="0"/>
          <w:docGrid w:linePitch="360"/>
        </w:sectPr>
      </w:pPr>
    </w:p>
    <w:p>
      <w:pPr>
        <w:spacing w:after="240" w:before="240"/>
        <w:jc w:val="center"/>
      </w:pPr>
      <w:r>
        <w:rPr>
          <w:rFonts w:ascii="Times New Roman" w:eastAsia="SimHei"/>
          <w:b/>
          <w:bCs/>
          <w:color w:val="0F3A47"/>
          <w:sz w:val="32"/>
          <w:szCs w:val="32"/>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报告摘要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r>
            <w:t>1 项目概述</w:t>
          </w:r>
          <w:r>
            <w:tab/>
          </w:r>
          <w:r>
            <w:t>1</w:t>
          </w:r>
        </w:p>
        <w:p>
          <w:pPr>
            <w:pStyle w:val="9"/>
            <w:tabs>
              <w:tab w:val="right" w:leader="dot" w:pos="9026"/>
            </w:tabs>
            <w:spacing w:before="120" w:after="60"/>
          </w:pPr>
          <w:r>
            <w:t>2 项目完成情况</w:t>
          </w:r>
          <w:r>
            <w:tab/>
          </w:r>
          <w:r>
            <w:t>2</w:t>
          </w:r>
        </w:p>
        <w:p>
          <w:pPr>
            <w:pStyle w:val="11"/>
            <w:ind w:left="360"/>
            <w:tabs>
              <w:tab w:val="right" w:leader="dot" w:pos="9026"/>
            </w:tabs>
            <w:spacing w:before="120" w:after="60"/>
          </w:pPr>
          <w:r>
            <w:t>2.1 代码完成与上传情况</w:t>
          </w:r>
          <w:r>
            <w:tab/>
          </w:r>
          <w:r>
            <w:t>2</w:t>
          </w:r>
        </w:p>
        <w:p>
          <w:pPr>
            <w:pStyle w:val="11"/>
            <w:ind w:left="360"/>
            <w:tabs>
              <w:tab w:val="right" w:leader="dot" w:pos="9026"/>
            </w:tabs>
            <w:spacing w:before="120" w:after="60"/>
          </w:pPr>
          <w:r>
            <w:t>2.2 系统界面截图</w:t>
          </w:r>
          <w:r>
            <w:tab/>
          </w:r>
          <w:r>
            <w:t>3</w:t>
          </w:r>
        </w:p>
        <w:p>
          <w:pPr>
            <w:pStyle w:val="11"/>
            <w:ind w:left="360"/>
            <w:tabs>
              <w:tab w:val="right" w:leader="dot" w:pos="9026"/>
            </w:tabs>
            <w:spacing w:before="120" w:after="60"/>
          </w:pPr>
          <w:r>
            <w:t>2.3 开发过程文档</w:t>
          </w:r>
          <w:r>
            <w:tab/>
          </w:r>
          <w:r>
            <w:t>7</w:t>
          </w:r>
        </w:p>
        <w:p>
          <w:pPr>
            <w:pStyle w:val="9"/>
            <w:tabs>
              <w:tab w:val="right" w:leader="dot" w:pos="9026"/>
            </w:tabs>
            <w:spacing w:before="120" w:after="60"/>
          </w:pPr>
          <w:r>
            <w:t>3 代码管理平台</w:t>
          </w:r>
          <w:r>
            <w:tab/>
          </w:r>
          <w:r>
            <w:t>9</w:t>
          </w:r>
        </w:p>
        <w:p>
          <w:pPr>
            <w:pStyle w:val="9"/>
            <w:tabs>
              <w:tab w:val="right" w:leader="dot" w:pos="9026"/>
            </w:tabs>
            <w:spacing w:before="120" w:after="60"/>
          </w:pPr>
          <w:r>
            <w:t>4 小组分工与个人工作小结</w:t>
          </w:r>
          <w:r>
            <w:tab/>
          </w:r>
          <w:r>
            <w:t>9</w:t>
          </w:r>
        </w:p>
        <w:p>
          <w:pPr>
            <w:pStyle w:val="11"/>
            <w:ind w:left="360"/>
            <w:tabs>
              <w:tab w:val="right" w:leader="dot" w:pos="9026"/>
            </w:tabs>
            <w:spacing w:before="120" w:after="60"/>
          </w:pPr>
          <w:r>
            <w:t>4.1 分工机制</w:t>
          </w:r>
          <w:r>
            <w:tab/>
          </w:r>
          <w:r>
            <w:t>9</w:t>
          </w:r>
        </w:p>
        <w:p>
          <w:pPr>
            <w:pStyle w:val="11"/>
            <w:ind w:left="360"/>
            <w:tabs>
              <w:tab w:val="right" w:leader="dot" w:pos="9026"/>
            </w:tabs>
            <w:spacing w:before="120" w:after="60"/>
          </w:pPr>
          <w:r>
            <w:t>4.2 成员分工总览</w:t>
          </w:r>
          <w:r>
            <w:tab/>
          </w:r>
          <w:r>
            <w:t>9</w:t>
          </w:r>
        </w:p>
        <w:p>
          <w:pPr>
            <w:pStyle w:val="11"/>
            <w:ind w:left="360"/>
            <w:tabs>
              <w:tab w:val="right" w:leader="dot" w:pos="9026"/>
            </w:tabs>
            <w:spacing w:before="120" w:after="60"/>
          </w:pPr>
          <w:r>
            <w:t>4.3 个人工作小结</w:t>
          </w:r>
          <w:r>
            <w:tab/>
          </w:r>
          <w:r>
            <w:t>10</w:t>
          </w:r>
        </w:p>
        <w:p>
          <w:pPr>
            <w:pStyle w:val="9"/>
            <w:tabs>
              <w:tab w:val="right" w:leader="dot" w:pos="9026"/>
            </w:tabs>
            <w:spacing w:before="120" w:after="60"/>
          </w:pPr>
          <w:r>
            <w:t>5 小组后续要解决的问题</w:t>
          </w:r>
          <w:r>
            <w:tab/>
          </w:r>
          <w:r>
            <w:t>11</w:t>
          </w:r>
        </w:p>
        <w:p>
          <w:pPr>
            <w:pStyle w:val="11"/>
            <w:ind w:left="360"/>
            <w:tabs>
              <w:tab w:val="right" w:leader="dot" w:pos="9026"/>
            </w:tabs>
            <w:spacing w:before="120" w:after="60"/>
          </w:pPr>
          <w:r>
            <w:t>5.1 重点问题说明</w:t>
          </w:r>
          <w:r>
            <w:tab/>
          </w:r>
          <w:r>
            <w:t>12</w:t>
          </w:r>
        </w:p>
        <w:p>
          <w:pPr>
            <w:pStyle w:val="11"/>
            <w:ind w:left="360"/>
            <w:tabs>
              <w:tab w:val="right" w:leader="dot" w:pos="9026"/>
            </w:tabs>
            <w:spacing w:before="120" w:after="60"/>
          </w:pPr>
          <w:r>
            <w:t>5.2 任务认领与协作方式</w:t>
          </w:r>
          <w:r>
            <w:tab/>
          </w:r>
          <w:r>
            <w:t>13</w:t>
          </w:r>
        </w:p>
        <w:p>
          <w:pPr>
            <w:pStyle w:val="9"/>
            <w:tabs>
              <w:tab w:val="right" w:leader="dot" w:pos="9026"/>
            </w:tabs>
            <w:spacing w:before="120" w:after="60"/>
          </w:pPr>
          <w:hyperlink w:anchor="_Toc100018" w:history="1">
            <w:r>
              <w:rPr>
                <w:rStyle w:val="Hyperlink"/>
              </w:rPr>
              <w:t>结束语</w:t>
            </w:r>
            <w:r>
              <w:tab/>
            </w:r>
            <w:r>
              <w:fldChar w:fldCharType="begin"/>
            </w:r>
            <w:r>
              <w:instrText xml:space="preserve"> PAGEREF _Toc100018 \h </w:instrText>
            </w:r>
            <w:r>
              <w:fldChar w:fldCharType="separate"/>
            </w:r>
            <w:r>
              <w:t>13</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注：本目录由域代码生成。如对文档有编辑，请在目录上右键选择“更新域”以刷新页码。</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80" w:lineRule="atLeast"/>
      </w:pPr>
      <w:bookmarkStart w:id="100000" w:name="_Toc100000"/>
      <w:r>
        <w:rPr>
          <w:rFonts w:ascii="Times New Roman" w:eastAsia="SimHei"/>
          <w:b/>
          <w:bCs/>
          <w:color w:val="0F3A47"/>
          <w:sz w:val="32"/>
          <w:szCs w:val="32"/>
        </w:rPr>
        <w:t xml:space="preserve">报告摘要</w:t>
      </w:r>
      <w:bookmarkEnd w:id="100000"/>
    </w:p>
    <w:p>
      <w:pPr>
        <w:spacing w:after="80" w:line="312"/>
        <w:ind w:firstLine="480"/>
        <w:jc w:val="both"/>
      </w:pPr>
      <w:r>
        <w:rPr>
          <w:rFonts w:ascii="Times New Roman" w:eastAsia="SimSun"/>
          <w:color w:val="000000"/>
          <w:sz w:val="24"/>
          <w:szCs w:val="24"/>
        </w:rPr>
        <w:t xml:space="preserve">本报告为 iChat Pro 项目的课程交付材料，汇总项目当前完成情况、代码管理平台信息、小组成员分工与个人工作小结，以及小组后续计划解决的问题。</w:t>
      </w:r>
    </w:p>
    <w:p>
      <w:pPr>
        <w:spacing w:after="80" w:line="312"/>
        <w:ind w:firstLine="480"/>
        <w:jc w:val="both"/>
      </w:pPr>
      <w:r>
        <w:rPr>
          <w:rFonts w:ascii="Times New Roman" w:eastAsia="SimSun"/>
          <w:color w:val="000000"/>
          <w:sz w:val="24"/>
          <w:szCs w:val="24"/>
        </w:rPr>
        <w:t xml:space="preserve">iChat Pro 是一个基于 Django 与 WebSocket 的端到端加密（End-to-End Encryption，E2EE）即时通信系统，已实现账号体系、联系人、私聊与群聊、消息加密收发、文件传输、会话管理、设置中心与 AI 助手等核心功能。项目代码已完成并全部托管于 GitHub（github.com/HeanX/iChat_Pro），主分支累计提交 131 次，合并 Pull Request 45 个；docs 目录沉淀开发过程文档 27 篇，覆盖需求、设计、安全、测试与验收等环节。小组以 GitHub Issue 驱动开发，成员按模块分工协作。</w:t>
      </w:r>
    </w:p>
    <w:p>
      <w:pPr>
        <w:spacing w:after="160" w:line="312"/>
        <w:ind w:firstLine="480"/>
        <w:jc w:val="both"/>
      </w:pPr>
      <w:r>
        <w:rPr>
          <w:rFonts w:ascii="Times New Roman" w:eastAsia="SimSun"/>
          <w:color w:val="000000"/>
          <w:sz w:val="24"/>
          <w:szCs w:val="24"/>
        </w:rPr>
        <w:t xml:space="preserve">项目下一阶段的 78 项任务已全部建成 GitHub Issue（第四阶段），围绕云端部署、跨平台客户端、消息可靠性、安全增强与产业级测试等九大工作包展开，待小组统一分工后逐步实施。</w:t>
      </w:r>
    </w:p>
    <w:p>
      <w:pPr>
        <w:pStyle w:val="Heading1"/>
        <w:keepNext/>
        <w:spacing w:after="160" w:before="360" w:line="380" w:lineRule="atLeast"/>
      </w:pPr>
      <w:bookmarkStart w:id="100001" w:name="_Toc100001"/>
      <w:r>
        <w:rPr>
          <w:rFonts w:ascii="Times New Roman" w:eastAsia="SimHei"/>
          <w:b/>
          <w:bCs/>
          <w:color w:val="0F3A47"/>
          <w:sz w:val="32"/>
          <w:szCs w:val="32"/>
        </w:rPr>
        <w:t xml:space="preserve">1  项目概述</w:t>
      </w:r>
      <w:bookmarkEnd w:id="100001"/>
    </w:p>
    <w:p>
      <w:pPr>
        <w:spacing w:after="80" w:line="312"/>
        <w:ind w:firstLine="480"/>
        <w:jc w:val="both"/>
      </w:pPr>
      <w:r>
        <w:rPr>
          <w:rFonts w:ascii="Times New Roman" w:eastAsia="SimSun"/>
          <w:color w:val="000000"/>
          <w:sz w:val="24"/>
          <w:szCs w:val="24"/>
        </w:rPr>
        <w:t xml:space="preserve">iChat Pro 是一个面向课程小组作业交付的轻量级安全即时通信项目。系统以零知识架构为设计目标，消息在浏览器端完成加密与解密，服务器仅中转密文，不存储明文内容；密钥协商采用 ECDH P-256，消息加密采用 AES-256-GCM，并提供密钥指纹核验机制供用户核对通信对象身份。</w:t>
      </w:r>
    </w:p>
    <w:p>
      <w:pPr>
        <w:spacing w:after="40" w:line="312"/>
        <w:ind w:firstLine="480"/>
        <w:jc w:val="both"/>
      </w:pPr>
      <w:r>
        <w:rPr>
          <w:rFonts w:ascii="Times New Roman" w:eastAsia="SimSun"/>
          <w:color w:val="000000"/>
          <w:sz w:val="24"/>
          <w:szCs w:val="24"/>
        </w:rPr>
        <w:t xml:space="preserve">项目主要功能如下：</w:t>
      </w:r>
    </w:p>
    <w:p>
      <w:pPr>
        <w:pStyle w:val="ListParagraph"/>
        <w:numPr>
          <w:ilvl w:val="0"/>
          <w:numId w:val="1"/>
        </w:numPr>
        <w:spacing w:after="40" w:line="312"/>
      </w:pPr>
      <w:r>
        <w:rPr>
          <w:rFonts w:ascii="Times New Roman" w:eastAsia="SimSun"/>
          <w:color w:val="000000"/>
          <w:sz w:val="24"/>
          <w:szCs w:val="24"/>
        </w:rPr>
        <w:t xml:space="preserve">用户注册、登录、登出和个人资料管理，支持用户名密码与扫码两种登录方式；</w:t>
      </w:r>
    </w:p>
    <w:p>
      <w:pPr>
        <w:pStyle w:val="ListParagraph"/>
        <w:numPr>
          <w:ilvl w:val="0"/>
          <w:numId w:val="1"/>
        </w:numPr>
        <w:spacing w:after="40" w:line="312"/>
      </w:pPr>
      <w:r>
        <w:rPr>
          <w:rFonts w:ascii="Times New Roman" w:eastAsia="SimSun"/>
          <w:color w:val="000000"/>
          <w:sz w:val="24"/>
          <w:szCs w:val="24"/>
        </w:rPr>
        <w:t xml:space="preserve">联系人关系、私聊会话创建和会话列表；</w:t>
      </w:r>
    </w:p>
    <w:p>
      <w:pPr>
        <w:pStyle w:val="ListParagraph"/>
        <w:numPr>
          <w:ilvl w:val="0"/>
          <w:numId w:val="1"/>
        </w:numPr>
        <w:spacing w:after="40" w:line="312"/>
      </w:pPr>
      <w:r>
        <w:rPr>
          <w:rFonts w:ascii="Times New Roman" w:eastAsia="SimSun"/>
          <w:color w:val="000000"/>
          <w:sz w:val="24"/>
          <w:szCs w:val="24"/>
        </w:rPr>
        <w:t xml:space="preserve">群聊创建、成员管理、邀请、公告和静音；</w:t>
      </w:r>
    </w:p>
    <w:p>
      <w:pPr>
        <w:pStyle w:val="ListParagraph"/>
        <w:numPr>
          <w:ilvl w:val="0"/>
          <w:numId w:val="1"/>
        </w:numPr>
        <w:spacing w:after="40" w:line="312"/>
      </w:pPr>
      <w:r>
        <w:rPr>
          <w:rFonts w:ascii="Times New Roman" w:eastAsia="SimSun"/>
          <w:color w:val="000000"/>
          <w:sz w:val="24"/>
          <w:szCs w:val="24"/>
        </w:rPr>
        <w:t xml:space="preserve">基于 Django Channels 的 WebSocket 实时消息收发，私聊与群聊均支持端到端加密；</w:t>
      </w:r>
    </w:p>
    <w:p>
      <w:pPr>
        <w:pStyle w:val="ListParagraph"/>
        <w:numPr>
          <w:ilvl w:val="0"/>
          <w:numId w:val="1"/>
        </w:numPr>
        <w:spacing w:after="40" w:line="312"/>
      </w:pPr>
      <w:r>
        <w:rPr>
          <w:rFonts w:ascii="Times New Roman" w:eastAsia="SimSun"/>
          <w:color w:val="000000"/>
          <w:sz w:val="24"/>
          <w:szCs w:val="24"/>
        </w:rPr>
        <w:t xml:space="preserve">文件传输、加密文件密钥分发和消息转发；</w:t>
      </w:r>
    </w:p>
    <w:p>
      <w:pPr>
        <w:pStyle w:val="ListParagraph"/>
        <w:numPr>
          <w:ilvl w:val="0"/>
          <w:numId w:val="1"/>
        </w:numPr>
        <w:spacing w:after="40" w:line="312"/>
      </w:pPr>
      <w:r>
        <w:rPr>
          <w:rFonts w:ascii="Times New Roman" w:eastAsia="SimSun"/>
          <w:color w:val="000000"/>
          <w:sz w:val="24"/>
          <w:szCs w:val="24"/>
        </w:rPr>
        <w:t xml:space="preserve">消息已送达、已读、撤回、删除和自动清理；</w:t>
      </w:r>
    </w:p>
    <w:p>
      <w:pPr>
        <w:pStyle w:val="ListParagraph"/>
        <w:numPr>
          <w:ilvl w:val="0"/>
          <w:numId w:val="1"/>
        </w:numPr>
        <w:spacing w:after="40" w:line="312"/>
      </w:pPr>
      <w:r>
        <w:rPr>
          <w:rFonts w:ascii="Times New Roman" w:eastAsia="SimSun"/>
          <w:color w:val="000000"/>
          <w:sz w:val="24"/>
          <w:szCs w:val="24"/>
        </w:rPr>
        <w:t xml:space="preserve">搜索、通知、隐私与安全、数据与存储等设置页面；</w:t>
      </w:r>
    </w:p>
    <w:p>
      <w:pPr>
        <w:pStyle w:val="ListParagraph"/>
        <w:numPr>
          <w:ilvl w:val="0"/>
          <w:numId w:val="1"/>
        </w:numPr>
        <w:spacing w:after="40" w:line="312"/>
      </w:pPr>
      <w:r>
        <w:rPr>
          <w:rFonts w:ascii="Times New Roman" w:eastAsia="SimSun"/>
          <w:color w:val="000000"/>
          <w:sz w:val="24"/>
          <w:szCs w:val="24"/>
        </w:rPr>
        <w:t xml:space="preserve">AI Assistant 配置与对话面板（接入国产大模型 qwen-plus）；</w:t>
      </w:r>
    </w:p>
    <w:p>
      <w:pPr>
        <w:pStyle w:val="ListParagraph"/>
        <w:numPr>
          <w:ilvl w:val="0"/>
          <w:numId w:val="1"/>
        </w:numPr>
        <w:spacing w:after="40" w:line="312"/>
      </w:pPr>
      <w:r>
        <w:rPr>
          <w:rFonts w:ascii="Times New Roman" w:eastAsia="SimSun"/>
          <w:color w:val="000000"/>
          <w:sz w:val="24"/>
          <w:szCs w:val="24"/>
        </w:rPr>
        <w:t xml:space="preserve">Electron 桌面客户端包装。</w:t>
      </w:r>
    </w:p>
    <w:p>
      <w:pPr>
        <w:spacing w:after="160" w:line="312"/>
        <w:ind w:firstLine="480"/>
        <w:jc w:val="both"/>
      </w:pPr>
      <w:r>
        <w:rPr>
          <w:rFonts w:ascii="Times New Roman" w:eastAsia="SimSun"/>
          <w:color w:val="000000"/>
          <w:sz w:val="24"/>
          <w:szCs w:val="24"/>
        </w:rPr>
        <w:t xml:space="preserve">技术栈方面，后端使用 Python 3.13 与 Django，实时通信使用 Django Channels 提供的 WebSocket 通道，数据存储使用 SQLite；前端使用原生 HTML/CSS/JavaScript 并引入 Tailwind CSS 构建界面，桌面端通过 Node.js 与 Electron 实现跨平台包装。</w:t>
      </w:r>
    </w:p>
    <w:p>
      <w:pPr>
        <w:pStyle w:val="Heading1"/>
        <w:keepNext/>
        <w:spacing w:after="160" w:before="360" w:line="380" w:lineRule="atLeast"/>
      </w:pPr>
      <w:bookmarkStart w:id="100002" w:name="_Toc100002"/>
      <w:r>
        <w:rPr>
          <w:rFonts w:ascii="Times New Roman" w:eastAsia="SimHei"/>
          <w:b/>
          <w:bCs/>
          <w:color w:val="0F3A47"/>
          <w:sz w:val="32"/>
          <w:szCs w:val="32"/>
        </w:rPr>
        <w:t xml:space="preserve">2  项目完成情况</w:t>
      </w:r>
      <w:bookmarkEnd w:id="100002"/>
    </w:p>
    <w:p>
      <w:pPr>
        <w:pStyle w:val="Heading2"/>
        <w:keepNext/>
        <w:spacing w:after="120" w:before="280" w:line="340" w:lineRule="atLeast"/>
      </w:pPr>
      <w:bookmarkStart w:id="100003" w:name="_Toc100003"/>
      <w:r>
        <w:rPr>
          <w:rFonts w:ascii="Times New Roman" w:eastAsia="SimHei"/>
          <w:b/>
          <w:bCs/>
          <w:color w:val="0F3A47"/>
          <w:sz w:val="28"/>
          <w:szCs w:val="28"/>
        </w:rPr>
        <w:t xml:space="preserve">2.1  代码完成与上传情况</w:t>
      </w:r>
      <w:bookmarkEnd w:id="100003"/>
    </w:p>
    <w:p>
      <w:pPr>
        <w:spacing w:after="80" w:line="312"/>
        <w:ind w:firstLine="480"/>
        <w:jc w:val="both"/>
      </w:pPr>
      <w:r>
        <w:rPr>
          <w:rFonts w:ascii="Times New Roman" w:eastAsia="SimSun"/>
          <w:color w:val="000000"/>
          <w:sz w:val="24"/>
          <w:szCs w:val="24"/>
        </w:rPr>
        <w:t xml:space="preserve">项目代码已基本完成并全部上传至 GitHub 远程仓库，主分支保持可构建、可运行状态。仓库内置演示数据脚本 demo_setup.py，可一键创建三个演示账号（alice、bob、carol）并建立联系人关系，便于验收方快速复现演示环境。仓库规模统计如表 2-1 所示。</w:t>
      </w:r>
    </w:p>
    <w:p>
      <w:pPr>
        <w:keepNext/>
        <w:spacing w:after="100" w:before="200" w:line="280"/>
        <w:jc w:val="center"/>
      </w:pPr>
      <w:r>
        <w:rPr>
          <w:rFonts w:ascii="Times New Roman" w:eastAsia="SimHei"/>
          <w:b/>
          <w:bCs/>
          <w:color w:val="0F3A47"/>
          <w:sz w:val="21"/>
          <w:szCs w:val="21"/>
        </w:rPr>
        <w:t xml:space="preserve">表 2-1  代码仓库规模统计</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4833"/>
        <w:gridCol w:w="3955"/>
      </w:tblGrid>
      <w:tr>
        <w:trPr>
          <w:cantSplit/>
          <w:tblHeader/>
        </w:trPr>
        <w:tc>
          <w:tcPr>
            <w:tcW w:type="pct" w:w="27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统计指标</w:t>
            </w:r>
          </w:p>
        </w:tc>
        <w:tc>
          <w:tcPr>
            <w:tcW w:type="pct" w:w="22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数值</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主分支提交数</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131 次</w:t>
            </w:r>
          </w:p>
        </w:tc>
      </w:tr>
      <w:tr>
        <w:trPr>
          <w:cantSplit/>
        </w:trPr>
        <w:tc>
          <w:tcPr>
            <w:tcW w:type="pct" w:w="2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已合并 Pull Request</w:t>
            </w:r>
          </w:p>
        </w:tc>
        <w:tc>
          <w:tcPr>
            <w:tcW w:type="pct" w:w="22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45 个</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开放 Issue（均为第四阶段任务）</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78 个</w:t>
            </w:r>
          </w:p>
        </w:tc>
      </w:tr>
      <w:tr>
        <w:trPr>
          <w:cantSplit/>
        </w:trPr>
        <w:tc>
          <w:tcPr>
            <w:tcW w:type="pct" w:w="2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Python 源文件</w:t>
            </w:r>
          </w:p>
        </w:tc>
        <w:tc>
          <w:tcPr>
            <w:tcW w:type="pct" w:w="22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76 个</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JavaScript 文件</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18 个</w:t>
            </w:r>
          </w:p>
        </w:tc>
      </w:tr>
      <w:tr>
        <w:trPr>
          <w:cantSplit/>
        </w:trPr>
        <w:tc>
          <w:tcPr>
            <w:tcW w:type="pct" w:w="2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HTML 模板</w:t>
            </w:r>
          </w:p>
        </w:tc>
        <w:tc>
          <w:tcPr>
            <w:tcW w:type="pct" w:w="22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40 个</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CSS 样式文件</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5 个</w:t>
            </w:r>
          </w:p>
        </w:tc>
      </w:tr>
      <w:tr>
        <w:trPr>
          <w:cantSplit/>
        </w:trPr>
        <w:tc>
          <w:tcPr>
            <w:tcW w:type="pct" w:w="2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过程文档（docs/ 目录，Markdown）</w:t>
            </w:r>
          </w:p>
        </w:tc>
        <w:tc>
          <w:tcPr>
            <w:tcW w:type="pct" w:w="22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27 篇</w:t>
            </w:r>
          </w:p>
        </w:tc>
      </w:tr>
      <w:tr>
        <w:trPr>
          <w:cantSplit/>
        </w:trPr>
        <w:tc>
          <w:tcPr>
            <w:tcW w:type="pct" w:w="2750"/>
            <w:tcMar>
              <w:top w:type="dxa" w:w="70"/>
              <w:left w:type="dxa" w:w="120"/>
              <w:bottom w:type="dxa" w:w="70"/>
              <w:right w:type="dxa" w:w="120"/>
            </w:tcMar>
          </w:tcPr>
          <w:p>
            <w:pPr>
              <w:spacing w:line="280"/>
            </w:pPr>
            <w:r>
              <w:rPr>
                <w:rFonts w:ascii="Times New Roman" w:eastAsia="SimSun"/>
                <w:color w:val="000000"/>
                <w:sz w:val="21"/>
                <w:szCs w:val="21"/>
              </w:rPr>
              <w:t xml:space="preserve">自动化测试模块</w:t>
            </w:r>
          </w:p>
        </w:tc>
        <w:tc>
          <w:tcPr>
            <w:tcW w:type="pct" w:w="2250"/>
            <w:tcMar>
              <w:top w:type="dxa" w:w="70"/>
              <w:left w:type="dxa" w:w="120"/>
              <w:bottom w:type="dxa" w:w="70"/>
              <w:right w:type="dxa" w:w="120"/>
            </w:tcMar>
          </w:tcPr>
          <w:p>
            <w:pPr>
              <w:spacing w:line="280"/>
            </w:pPr>
            <w:r>
              <w:rPr>
                <w:rFonts w:ascii="Times New Roman" w:eastAsia="SimSun"/>
                <w:color w:val="000000"/>
                <w:sz w:val="21"/>
                <w:szCs w:val="21"/>
              </w:rPr>
              <w:t xml:space="preserve">Django 8 个 + 浏览器端 E2EE 测试 2 个</w:t>
            </w:r>
          </w:p>
        </w:tc>
      </w:tr>
    </w:tbl>
    <w:p>
      <w:pPr>
        <w:spacing w:after="120" w:line="312"/>
        <w:ind w:firstLine="480"/>
        <w:jc w:val="both"/>
      </w:pPr>
      <w:r>
        <w:rPr>
          <w:rFonts w:ascii="Times New Roman" w:eastAsia="SimSun"/>
          <w:color w:val="000000"/>
          <w:sz w:val="24"/>
          <w:szCs w:val="24"/>
        </w:rPr>
        <w:t xml:space="preserve">测试方面，accounts 应用与 chat 应用下共 8 个 Django 测试模块，覆盖核心业务逻辑、会话 API、群组实时通信、隐私权限、Phase 2 后端与 LLM 集成等场景；另有 2 个运行在 Node.js 环境的浏览器端端到端加密测试脚本（private_chat_e2ee、group_chat_e2ee），验证密钥协商与加密收发链路的正确性。</w:t>
      </w:r>
    </w:p>
    <w:p>
      <w:pPr>
        <w:pStyle w:val="Heading2"/>
        <w:keepNext/>
        <w:spacing w:after="120" w:before="280" w:line="340" w:lineRule="atLeast"/>
      </w:pPr>
      <w:bookmarkStart w:id="100004" w:name="_Toc100004"/>
      <w:r>
        <w:rPr>
          <w:rFonts w:ascii="Times New Roman" w:eastAsia="SimHei"/>
          <w:b/>
          <w:bCs/>
          <w:color w:val="0F3A47"/>
          <w:sz w:val="28"/>
          <w:szCs w:val="28"/>
        </w:rPr>
        <w:t xml:space="preserve">2.2  系统界面截图</w:t>
      </w:r>
      <w:bookmarkEnd w:id="100004"/>
    </w:p>
    <w:p>
      <w:pPr>
        <w:spacing w:after="80" w:line="312"/>
        <w:ind w:firstLine="480"/>
        <w:jc w:val="both"/>
      </w:pPr>
      <w:r>
        <w:rPr>
          <w:rFonts w:ascii="Times New Roman" w:eastAsia="SimSun"/>
          <w:color w:val="000000"/>
          <w:sz w:val="24"/>
          <w:szCs w:val="24"/>
        </w:rPr>
        <w:t xml:space="preserve">以下截图均来自本地运行环境（Django 开发服务器 + 演示账号），涵盖登录、工作台、联系人、群组、私聊与群聊加密会话、设置中心以及 AI 助手等核心界面。</w:t>
      </w:r>
    </w:p>
    <w:p>
      <w:pPr>
        <w:keepNext/>
        <w:spacing w:after="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2-1  扫码登录页（多设备关联入口）</w:t>
      </w:r>
    </w:p>
    <w:p>
      <w:pPr>
        <w:keepNext/>
        <w:spacing w:after="0" w:before="160"/>
        <w:jc w:val="center"/>
      </w:pPr>
      <w:r>
        <w:drawing>
          <wp:inline distT="0" distB="0" distL="0" distR="0">
            <wp:extent cx="4572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2-2  用户名密码登录页</w:t>
      </w:r>
    </w:p>
    <w:p>
      <w:pPr>
        <w:keepNext/>
        <w:spacing w:after="0" w:before="160"/>
        <w:jc w:val="center"/>
      </w:pPr>
      <w:r>
        <w:drawing>
          <wp:inline distT="0" distB="0" distL="0" distR="0">
            <wp:extent cx="4572000" cy="2857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2-3  工作台主界面（会话列表与加密信息面板）</w:t>
      </w:r>
    </w:p>
    <w:p>
      <w:pPr>
        <w:keepNext/>
        <w:spacing w:after="0" w:before="160"/>
        <w:jc w:val="center"/>
      </w:pPr>
      <w:r>
        <w:drawing>
          <wp:inline distT="0" distB="0" distL="0" distR="0">
            <wp:extent cx="4572000" cy="2857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2-4  联系人管理页</w:t>
      </w:r>
    </w:p>
    <w:p>
      <w:pPr>
        <w:keepNext/>
        <w:spacing w:after="0" w:before="160"/>
        <w:jc w:val="center"/>
      </w:pPr>
      <w:r>
        <w:drawing>
          <wp:inline distT="0" distB="0" distL="0" distR="0">
            <wp:extent cx="4572000" cy="2857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2-5  群组详情页（成员管理与邀请）</w:t>
      </w:r>
    </w:p>
    <w:p>
      <w:pPr>
        <w:keepNext/>
        <w:spacing w:after="0" w:before="160"/>
        <w:jc w:val="center"/>
      </w:pPr>
      <w:r>
        <w:drawing>
          <wp:inline distT="0" distB="0" distL="0" distR="0">
            <wp:extent cx="4572000" cy="2857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2-6  私聊端到端加密会话（双端消息与送达状态）</w:t>
      </w:r>
    </w:p>
    <w:p>
      <w:pPr>
        <w:keepNext/>
        <w:spacing w:after="0" w:before="160"/>
        <w:jc w:val="center"/>
      </w:pPr>
      <w:r>
        <w:drawing>
          <wp:inline distT="0" distB="0" distL="0" distR="0">
            <wp:extent cx="45720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2-7  群聊端到端加密会话</w:t>
      </w:r>
    </w:p>
    <w:p>
      <w:pPr>
        <w:keepNext/>
        <w:spacing w:after="0" w:before="160"/>
        <w:jc w:val="center"/>
      </w:pPr>
      <w:r>
        <w:drawing>
          <wp:inline distT="0" distB="0" distL="0" distR="0">
            <wp:extent cx="4572000" cy="2857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2-8  设置中心</w:t>
      </w:r>
    </w:p>
    <w:p>
      <w:pPr>
        <w:keepNext/>
        <w:spacing w:after="0" w:before="160"/>
        <w:jc w:val="center"/>
      </w:pPr>
      <w:r>
        <w:drawing>
          <wp:inline distT="0" distB="0" distL="0" distR="0">
            <wp:extent cx="4572000" cy="2857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
      <w:pPr>
        <w:spacing w:after="240" w:before="60" w:line="280"/>
        <w:jc w:val="center"/>
      </w:pPr>
      <w:r>
        <w:rPr>
          <w:rFonts w:ascii="Times New Roman" w:eastAsia="SimSun"/>
          <w:color w:val="5A6B75"/>
          <w:sz w:val="21"/>
          <w:szCs w:val="21"/>
        </w:rPr>
        <w:t xml:space="preserve">图 2-9  AI 助手对话面板</w:t>
      </w:r>
    </w:p>
    <w:p>
      <w:pPr>
        <w:pStyle w:val="Heading2"/>
        <w:keepNext/>
        <w:spacing w:after="120" w:before="280" w:line="340" w:lineRule="atLeast"/>
      </w:pPr>
      <w:bookmarkStart w:id="100005" w:name="_Toc100005"/>
      <w:r>
        <w:rPr>
          <w:rFonts w:ascii="Times New Roman" w:eastAsia="SimHei"/>
          <w:b/>
          <w:bCs/>
          <w:color w:val="0F3A47"/>
          <w:sz w:val="28"/>
          <w:szCs w:val="28"/>
        </w:rPr>
        <w:t xml:space="preserve">2.3  开发过程文档</w:t>
      </w:r>
      <w:bookmarkEnd w:id="100005"/>
    </w:p>
    <w:p>
      <w:pPr>
        <w:spacing w:after="80" w:line="312"/>
        <w:ind w:firstLine="480"/>
        <w:jc w:val="both"/>
      </w:pPr>
      <w:r>
        <w:rPr>
          <w:rFonts w:ascii="Times New Roman" w:eastAsia="SimSun"/>
          <w:color w:val="000000"/>
          <w:sz w:val="24"/>
          <w:szCs w:val="24"/>
        </w:rPr>
        <w:t xml:space="preserve">项目全程以文档先行的方式推进，docs 目录下共沉淀 27 篇过程文档，覆盖需求分析、前后端设计规范、数据库设计、加密协议、安全威胁模型、接口文档、阶段验收与演示指南等环节；其中 docs/course-testing/ 子目录为本轮课程测试实践产出，包括软件需求规格说明书、两次实验报告、小组分工表等。主要文档清单如表 2-2 所示。</w:t>
      </w:r>
    </w:p>
    <w:p>
      <w:pPr>
        <w:keepNext/>
        <w:spacing w:after="100" w:before="200" w:line="280"/>
        <w:jc w:val="center"/>
      </w:pPr>
      <w:r>
        <w:rPr>
          <w:rFonts w:ascii="Times New Roman" w:eastAsia="SimHei"/>
          <w:b/>
          <w:bCs/>
          <w:color w:val="0F3A47"/>
          <w:sz w:val="21"/>
          <w:szCs w:val="21"/>
        </w:rPr>
        <w:t xml:space="preserve">表 2-2  开发过程文档清单（docs/ 目录）</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933"/>
        <w:gridCol w:w="6855"/>
      </w:tblGrid>
      <w:tr>
        <w:trPr>
          <w:cantSplit/>
          <w:tblHeader/>
        </w:trPr>
        <w:tc>
          <w:tcPr>
            <w:tcW w:type="pct" w:w="11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分类</w:t>
            </w:r>
          </w:p>
        </w:tc>
        <w:tc>
          <w:tcPr>
            <w:tcW w:type="pct" w:w="39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文档名称</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需求与规划</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需求文档（修订版）</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需求与规划</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Phase 规划与一期交付审查文档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需求与规划</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T32 一期文档对齐总结</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设计规范</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前端设计规范文档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设计规范</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后端设计规范文档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设计规范</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数据库设计规范文档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设计规范</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技术栈</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实时通信与端到端加密消息协议设计文档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端到端加密通信设计文档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浏览器端安全威胁模型</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部署安全说明</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安全与协议</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文件传输规范</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接口与展示</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API 接口文档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接口与展示</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UML 与架构图交付文档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接口与展示</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系统性介绍文档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接口与展示</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演示指南</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专项方案</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Bot、LLM Agent 与 Channel 扩展方案文档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专项方案</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Twemoji 表情渲染方案文档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专项方案</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群组管理与邀请流程实现文档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专项方案</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转发界面与文件转发问题梳理</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阶段验收</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Phase 2 验收手册</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阶段验收</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Phase 3 演示脚本与验收文档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阶段验收</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AI Assistant 增强整理文档</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阶段验收</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iChat Pro 群组左侧面板整合说明文档</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iChat Pro 软件需求规格说明书</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第一次实验-需求分析与任务拆解报告</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第二次实验-软件工程全链路与 AI 实践报告</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小组分工表（软件测试实践）</w:t>
            </w:r>
          </w:p>
        </w:tc>
      </w:tr>
      <w:tr>
        <w:trPr>
          <w:cantSplit/>
        </w:trPr>
        <w:tc>
          <w:tcPr>
            <w:tcW w:type="pct" w:w="1100"/>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tcMar>
              <w:top w:type="dxa" w:w="70"/>
              <w:left w:type="dxa" w:w="120"/>
              <w:bottom w:type="dxa" w:w="70"/>
              <w:right w:type="dxa" w:w="120"/>
            </w:tcMar>
          </w:tcPr>
          <w:p>
            <w:pPr>
              <w:spacing w:line="280"/>
            </w:pPr>
            <w:r>
              <w:rPr>
                <w:rFonts w:ascii="Times New Roman" w:eastAsia="SimSun"/>
                <w:color w:val="000000"/>
                <w:sz w:val="21"/>
                <w:szCs w:val="21"/>
              </w:rPr>
              <w:t xml:space="preserve">代码规范、版本管理与测试工具说明</w:t>
            </w:r>
          </w:p>
        </w:tc>
      </w:tr>
      <w:tr>
        <w:trPr>
          <w:cantSplit/>
        </w:trPr>
        <w:tc>
          <w:tcPr>
            <w:tcW w:type="pct" w:w="11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课程测试实践</w:t>
            </w:r>
          </w:p>
        </w:tc>
        <w:tc>
          <w:tcPr>
            <w:tcW w:type="pct" w:w="3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AI 实践记录</w:t>
            </w:r>
          </w:p>
        </w:tc>
      </w:tr>
    </w:tbl>
    <w:p>
      <w:pPr>
        <w:spacing w:after="160" w:line="312"/>
        <w:ind w:firstLine="480"/>
        <w:jc w:val="both"/>
      </w:pPr>
      <w:r>
        <w:rPr>
          <w:rFonts w:ascii="Times New Roman" w:eastAsia="SimSun"/>
          <w:color w:val="000000"/>
          <w:sz w:val="24"/>
          <w:szCs w:val="24"/>
        </w:rPr>
        <w:t xml:space="preserve">上述文档均随代码一并版本化管理，与对应阶段的代码提交互相对应，可追溯每一项设计决策的提出与落地过程。</w:t>
      </w:r>
    </w:p>
    <w:p>
      <w:pPr>
        <w:pStyle w:val="Heading1"/>
        <w:keepNext/>
        <w:spacing w:after="160" w:before="360" w:line="380" w:lineRule="atLeast"/>
      </w:pPr>
      <w:bookmarkStart w:id="100006" w:name="_Toc100006"/>
      <w:r>
        <w:rPr>
          <w:rFonts w:ascii="Times New Roman" w:eastAsia="SimHei"/>
          <w:b/>
          <w:bCs/>
          <w:color w:val="0F3A47"/>
          <w:sz w:val="32"/>
          <w:szCs w:val="32"/>
        </w:rPr>
        <w:t xml:space="preserve">3  代码管理平台</w:t>
      </w:r>
      <w:bookmarkEnd w:id="100006"/>
    </w:p>
    <w:p>
      <w:pPr>
        <w:spacing w:after="80" w:line="312"/>
        <w:ind w:firstLine="480"/>
        <w:jc w:val="both"/>
      </w:pPr>
      <w:r>
        <w:rPr>
          <w:rFonts w:ascii="Times New Roman" w:eastAsia="SimSun"/>
          <w:color w:val="000000"/>
          <w:sz w:val="24"/>
          <w:szCs w:val="24"/>
        </w:rPr>
        <w:t xml:space="preserve">项目使用 GitHub 作为代码管理平台，仓库地址为：</w:t>
      </w:r>
      <w:hyperlink w:history="1" r:id="rIdp7rpc7wghcwbv7hm_q9cg">
        <w:r>
          <w:rPr>
            <w:rStyle w:val="Hyperlink"/>
            <w:rFonts w:ascii="Times New Roman" w:eastAsia="SimSun"/>
            <w:sz w:val="24"/>
            <w:szCs w:val="24"/>
          </w:rPr>
          <w:t xml:space="preserve">https://github.com/HeanX/iChat_Pro</w:t>
        </w:r>
      </w:hyperlink>
      <w:r>
        <w:rPr>
          <w:rFonts w:ascii="Times New Roman" w:eastAsia="SimSun"/>
          <w:color w:val="000000"/>
          <w:sz w:val="24"/>
          <w:szCs w:val="24"/>
        </w:rPr>
        <w:t xml:space="preserve">。仓库为公开仓库，主分支为 main，创建于 2026 年 5 月 29 日，全部代码、文档与 Issue 均可在线访问。</w:t>
      </w:r>
    </w:p>
    <w:p>
      <w:pPr>
        <w:spacing w:after="80" w:line="312"/>
        <w:ind w:firstLine="480"/>
        <w:jc w:val="both"/>
      </w:pPr>
      <w:r>
        <w:rPr>
          <w:rFonts w:ascii="Times New Roman" w:eastAsia="SimSun"/>
          <w:color w:val="000000"/>
          <w:sz w:val="24"/>
          <w:szCs w:val="24"/>
        </w:rPr>
        <w:t xml:space="preserve">小组协作流程完全在平台上展开：任务以 GitHub Issue 形式建立并编号，成员认领后从 main 拉出功能分支（命名规范为 feature/成员名-任务号），开发完成后提交 Pull Request，经非作者成员评审通过后合并回 main。项目按阶段推进，目前已完成三个阶段的交付与验收：第一期完成核心聊天与加密能力，第二期完成账号体系、设置中心与会话管理等周边能力，第三期完成 AI 助手与文档、UML 等交付物整合，各阶段均留有验收手册与演示文档。</w:t>
      </w:r>
    </w:p>
    <w:p>
      <w:pPr>
        <w:spacing w:after="160" w:line="312"/>
        <w:ind w:firstLine="480"/>
        <w:jc w:val="both"/>
      </w:pPr>
      <w:r>
        <w:rPr>
          <w:rFonts w:ascii="Times New Roman" w:eastAsia="SimSun"/>
          <w:color w:val="000000"/>
          <w:sz w:val="24"/>
          <w:szCs w:val="24"/>
        </w:rPr>
        <w:t xml:space="preserve">仓库当前保持 78 个开放 Issue，对应下一阶段（第四阶段）的任务拆解，详见本报告第 5 章。</w:t>
      </w:r>
    </w:p>
    <w:p>
      <w:pPr>
        <w:pStyle w:val="Heading1"/>
        <w:keepNext/>
        <w:spacing w:after="160" w:before="360" w:line="380" w:lineRule="atLeast"/>
      </w:pPr>
      <w:bookmarkStart w:id="100007" w:name="_Toc100007"/>
      <w:r>
        <w:rPr>
          <w:rFonts w:ascii="Times New Roman" w:eastAsia="SimHei"/>
          <w:b/>
          <w:bCs/>
          <w:color w:val="0F3A47"/>
          <w:sz w:val="32"/>
          <w:szCs w:val="32"/>
        </w:rPr>
        <w:t xml:space="preserve">4  小组分工与个人工作小结</w:t>
      </w:r>
      <w:bookmarkEnd w:id="100007"/>
    </w:p>
    <w:p>
      <w:pPr>
        <w:pStyle w:val="Heading2"/>
        <w:keepNext/>
        <w:spacing w:after="120" w:before="280" w:line="340" w:lineRule="atLeast"/>
      </w:pPr>
      <w:bookmarkStart w:id="100008" w:name="_Toc100008"/>
      <w:r>
        <w:rPr>
          <w:rFonts w:ascii="Times New Roman" w:eastAsia="SimHei"/>
          <w:b/>
          <w:bCs/>
          <w:color w:val="0F3A47"/>
          <w:sz w:val="28"/>
          <w:szCs w:val="28"/>
        </w:rPr>
        <w:t xml:space="preserve">4.1  分工机制</w:t>
      </w:r>
      <w:bookmarkEnd w:id="100008"/>
    </w:p>
    <w:p>
      <w:pPr>
        <w:spacing w:after="80" w:line="312"/>
        <w:ind w:firstLine="480"/>
        <w:jc w:val="both"/>
      </w:pPr>
      <w:r>
        <w:rPr>
          <w:rFonts w:ascii="Times New Roman" w:eastAsia="SimSun"/>
          <w:color w:val="000000"/>
          <w:sz w:val="24"/>
          <w:szCs w:val="24"/>
        </w:rPr>
        <w:t xml:space="preserve">小组采用 Issue 驱动的分工方式：每个任务建立一个 Issue，明确目标、交付物与验收标准；成员在 Issue 中认领后独立开发，以 Pull Request 提交成果，由非作者成员评审后合并。开发与验收角色分离，涉及安全的关键改动至少由两人复核；每个阶段结束时进行一次集中验收并输出验收文档。代码提交记录与 Issue、PR 互相关联，每位成员的工作量与贡献方向均可追溯。</w:t>
      </w:r>
    </w:p>
    <w:p>
      <w:pPr>
        <w:pStyle w:val="Heading2"/>
        <w:keepNext/>
        <w:spacing w:after="120" w:before="280" w:line="340" w:lineRule="atLeast"/>
      </w:pPr>
      <w:bookmarkStart w:id="100009" w:name="_Toc100009"/>
      <w:r>
        <w:rPr>
          <w:rFonts w:ascii="Times New Roman" w:eastAsia="SimHei"/>
          <w:b/>
          <w:bCs/>
          <w:color w:val="0F3A47"/>
          <w:sz w:val="28"/>
          <w:szCs w:val="28"/>
        </w:rPr>
        <w:t xml:space="preserve">4.2  成员分工总览</w:t>
      </w:r>
      <w:bookmarkEnd w:id="100009"/>
    </w:p>
    <w:p>
      <w:pPr>
        <w:spacing w:after="80" w:line="312"/>
        <w:ind w:firstLine="480"/>
        <w:jc w:val="both"/>
      </w:pPr>
      <w:r>
        <w:rPr>
          <w:rFonts w:ascii="Times New Roman" w:eastAsia="SimSun"/>
          <w:color w:val="000000"/>
          <w:sz w:val="24"/>
          <w:szCs w:val="24"/>
        </w:rPr>
        <w:t xml:space="preserve">小组共 4 名成员，均参与编码与文档工作。下表汇总各成员的角色定位与主要负责内容，提交数为主分支上的提交记录数（合计 131 次）。</w:t>
      </w:r>
    </w:p>
    <w:p>
      <w:pPr>
        <w:keepNext/>
        <w:spacing w:after="100" w:before="200" w:line="280"/>
        <w:jc w:val="center"/>
      </w:pPr>
      <w:r>
        <w:rPr>
          <w:rFonts w:ascii="Times New Roman" w:eastAsia="SimHei"/>
          <w:b/>
          <w:bCs/>
          <w:color w:val="0F3A47"/>
          <w:sz w:val="21"/>
          <w:szCs w:val="21"/>
        </w:rPr>
        <w:t xml:space="preserve">表 4-1  小组成员分工总览</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670"/>
        <w:gridCol w:w="1582"/>
        <w:gridCol w:w="1494"/>
        <w:gridCol w:w="879"/>
        <w:gridCol w:w="3164"/>
      </w:tblGrid>
      <w:tr>
        <w:trPr>
          <w:cantSplit/>
          <w:tblHeader/>
        </w:trPr>
        <w:tc>
          <w:tcPr>
            <w:tcW w:type="pct" w:w="9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成员</w:t>
            </w:r>
          </w:p>
        </w:tc>
        <w:tc>
          <w:tcPr>
            <w:tcW w:type="pct" w:w="9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学号</w:t>
            </w:r>
          </w:p>
        </w:tc>
        <w:tc>
          <w:tcPr>
            <w:tcW w:type="pct" w:w="8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角色定位</w:t>
            </w:r>
          </w:p>
        </w:tc>
        <w:tc>
          <w:tcPr>
            <w:tcW w:type="pct" w:w="5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提交数</w:t>
            </w:r>
          </w:p>
        </w:tc>
        <w:tc>
          <w:tcPr>
            <w:tcW w:type="pct" w:w="18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主要负责内容</w:t>
            </w:r>
          </w:p>
        </w:tc>
      </w:tr>
      <w:tr>
        <w:trPr>
          <w:cantSplit/>
        </w:trPr>
        <w:tc>
          <w:tcPr>
            <w:tcW w:type="pct" w:w="950"/>
            <w:tcMar>
              <w:top w:type="dxa" w:w="70"/>
              <w:left w:type="dxa" w:w="120"/>
              <w:bottom w:type="dxa" w:w="70"/>
              <w:right w:type="dxa" w:w="120"/>
            </w:tcMar>
          </w:tcPr>
          <w:p>
            <w:pPr>
              <w:spacing w:line="280"/>
            </w:pPr>
            <w:r>
              <w:rPr>
                <w:rFonts w:ascii="Times New Roman" w:eastAsia="SimSun"/>
                <w:color w:val="000000"/>
                <w:sz w:val="21"/>
                <w:szCs w:val="21"/>
              </w:rPr>
              <w:t xml:space="preserve">叶伟智 （HeanX）</w:t>
            </w:r>
          </w:p>
        </w:tc>
        <w:tc>
          <w:tcPr>
            <w:tcW w:type="pct" w:w="900"/>
            <w:tcMar>
              <w:top w:type="dxa" w:w="70"/>
              <w:left w:type="dxa" w:w="120"/>
              <w:bottom w:type="dxa" w:w="70"/>
              <w:right w:type="dxa" w:w="120"/>
            </w:tcMar>
          </w:tcPr>
          <w:p>
            <w:pPr>
              <w:spacing w:line="280"/>
            </w:pPr>
            <w:r>
              <w:rPr>
                <w:rFonts w:ascii="Times New Roman" w:eastAsia="SimSun"/>
                <w:color w:val="000000"/>
                <w:sz w:val="21"/>
                <w:szCs w:val="21"/>
              </w:rPr>
              <w:t xml:space="preserve">121052024140</w:t>
            </w:r>
          </w:p>
        </w:tc>
        <w:tc>
          <w:tcPr>
            <w:tcW w:type="pct" w:w="850"/>
            <w:tcMar>
              <w:top w:type="dxa" w:w="70"/>
              <w:left w:type="dxa" w:w="120"/>
              <w:bottom w:type="dxa" w:w="70"/>
              <w:right w:type="dxa" w:w="120"/>
            </w:tcMar>
          </w:tcPr>
          <w:p>
            <w:pPr>
              <w:spacing w:line="280"/>
            </w:pPr>
            <w:r>
              <w:rPr>
                <w:rFonts w:ascii="Times New Roman" w:eastAsia="SimSun"/>
                <w:color w:val="000000"/>
                <w:sz w:val="21"/>
                <w:szCs w:val="21"/>
              </w:rPr>
              <w:t xml:space="preserve">组长 / 前端与交付负责人</w:t>
            </w:r>
          </w:p>
        </w:tc>
        <w:tc>
          <w:tcPr>
            <w:tcW w:type="pct" w:w="500"/>
            <w:tcMar>
              <w:top w:type="dxa" w:w="70"/>
              <w:left w:type="dxa" w:w="120"/>
              <w:bottom w:type="dxa" w:w="70"/>
              <w:right w:type="dxa" w:w="120"/>
            </w:tcMar>
          </w:tcPr>
          <w:p>
            <w:pPr>
              <w:spacing w:line="280"/>
            </w:pPr>
            <w:r>
              <w:rPr>
                <w:rFonts w:ascii="Times New Roman" w:eastAsia="SimSun"/>
                <w:color w:val="000000"/>
                <w:sz w:val="21"/>
                <w:szCs w:val="21"/>
              </w:rPr>
              <w:t xml:space="preserve">80</w:t>
            </w:r>
          </w:p>
        </w:tc>
        <w:tc>
          <w:tcPr>
            <w:tcW w:type="pct" w:w="1800"/>
            <w:tcMar>
              <w:top w:type="dxa" w:w="70"/>
              <w:left w:type="dxa" w:w="120"/>
              <w:bottom w:type="dxa" w:w="70"/>
              <w:right w:type="dxa" w:w="120"/>
            </w:tcMar>
          </w:tcPr>
          <w:p>
            <w:pPr>
              <w:spacing w:line="280"/>
            </w:pPr>
            <w:r>
              <w:rPr>
                <w:rFonts w:ascii="Times New Roman" w:eastAsia="SimSun"/>
                <w:color w:val="000000"/>
                <w:sz w:val="21"/>
                <w:szCs w:val="21"/>
              </w:rPr>
              <w:t xml:space="preserve">项目统筹与 PR 评审合并；前端整体架构与页面重构；会话与消息操作后端、联系人搜索；UML 与演示文档；AI 助手基础；安全加固</w:t>
            </w:r>
          </w:p>
        </w:tc>
      </w:tr>
      <w:tr>
        <w:trPr>
          <w:cantSplit/>
        </w:trPr>
        <w:tc>
          <w:tcPr>
            <w:tcW w:type="pct" w:w="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许栢境 （AEther61）</w:t>
            </w:r>
          </w:p>
        </w:tc>
        <w:tc>
          <w:tcPr>
            <w:tcW w:type="pct" w:w="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121052024142</w:t>
            </w:r>
          </w:p>
        </w:tc>
        <w:tc>
          <w:tcPr>
            <w:tcW w:type="pct" w:w="8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后端（数据模型、账号与隐私）</w:t>
            </w:r>
          </w:p>
        </w:tc>
        <w:tc>
          <w:tcPr>
            <w:tcW w:type="pct" w:w="5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37</w:t>
            </w:r>
          </w:p>
        </w:tc>
        <w:tc>
          <w:tcPr>
            <w:tcW w:type="pct" w:w="18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聊天数据模型；群组模型整合与权限修复；隐私、拉黑、多账号、会话管理等 API；WebSocket 治理；AI 状态端点与系统提示词</w:t>
            </w:r>
          </w:p>
        </w:tc>
      </w:tr>
      <w:tr>
        <w:trPr>
          <w:cantSplit/>
        </w:trPr>
        <w:tc>
          <w:tcPr>
            <w:tcW w:type="pct" w:w="950"/>
            <w:tcMar>
              <w:top w:type="dxa" w:w="70"/>
              <w:left w:type="dxa" w:w="120"/>
              <w:bottom w:type="dxa" w:w="70"/>
              <w:right w:type="dxa" w:w="120"/>
            </w:tcMar>
          </w:tcPr>
          <w:p>
            <w:pPr>
              <w:spacing w:line="280"/>
            </w:pPr>
            <w:r>
              <w:rPr>
                <w:rFonts w:ascii="Times New Roman" w:eastAsia="SimSun"/>
                <w:color w:val="000000"/>
                <w:sz w:val="21"/>
                <w:szCs w:val="21"/>
              </w:rPr>
              <w:t xml:space="preserve">庞嘉铭 （pislan）</w:t>
            </w:r>
          </w:p>
        </w:tc>
        <w:tc>
          <w:tcPr>
            <w:tcW w:type="pct" w:w="900"/>
            <w:tcMar>
              <w:top w:type="dxa" w:w="70"/>
              <w:left w:type="dxa" w:w="120"/>
              <w:bottom w:type="dxa" w:w="70"/>
              <w:right w:type="dxa" w:w="120"/>
            </w:tcMar>
          </w:tcPr>
          <w:p>
            <w:pPr>
              <w:spacing w:line="280"/>
            </w:pPr>
            <w:r>
              <w:rPr>
                <w:rFonts w:ascii="Times New Roman" w:eastAsia="SimSun"/>
                <w:color w:val="000000"/>
                <w:sz w:val="21"/>
                <w:szCs w:val="21"/>
              </w:rPr>
              <w:t xml:space="preserve">121052024146</w:t>
            </w:r>
          </w:p>
        </w:tc>
        <w:tc>
          <w:tcPr>
            <w:tcW w:type="pct" w:w="850"/>
            <w:tcMar>
              <w:top w:type="dxa" w:w="70"/>
              <w:left w:type="dxa" w:w="120"/>
              <w:bottom w:type="dxa" w:w="70"/>
              <w:right w:type="dxa" w:w="120"/>
            </w:tcMar>
          </w:tcPr>
          <w:p>
            <w:pPr>
              <w:spacing w:line="280"/>
            </w:pPr>
            <w:r>
              <w:rPr>
                <w:rFonts w:ascii="Times New Roman" w:eastAsia="SimSun"/>
                <w:color w:val="000000"/>
                <w:sz w:val="21"/>
                <w:szCs w:val="21"/>
              </w:rPr>
              <w:t xml:space="preserve">前端（设置中心）</w:t>
            </w:r>
          </w:p>
        </w:tc>
        <w:tc>
          <w:tcPr>
            <w:tcW w:type="pct" w:w="500"/>
            <w:tcMar>
              <w:top w:type="dxa" w:w="70"/>
              <w:left w:type="dxa" w:w="120"/>
              <w:bottom w:type="dxa" w:w="70"/>
              <w:right w:type="dxa" w:w="120"/>
            </w:tcMar>
          </w:tcPr>
          <w:p>
            <w:pPr>
              <w:spacing w:line="280"/>
            </w:pPr>
            <w:r>
              <w:rPr>
                <w:rFonts w:ascii="Times New Roman" w:eastAsia="SimSun"/>
                <w:color w:val="000000"/>
                <w:sz w:val="21"/>
                <w:szCs w:val="21"/>
              </w:rPr>
              <w:t xml:space="preserve">7</w:t>
            </w:r>
          </w:p>
        </w:tc>
        <w:tc>
          <w:tcPr>
            <w:tcW w:type="pct" w:w="1800"/>
            <w:tcMar>
              <w:top w:type="dxa" w:w="70"/>
              <w:left w:type="dxa" w:w="120"/>
              <w:bottom w:type="dxa" w:w="70"/>
              <w:right w:type="dxa" w:w="120"/>
            </w:tcMar>
          </w:tcPr>
          <w:p>
            <w:pPr>
              <w:spacing w:line="280"/>
            </w:pPr>
            <w:r>
              <w:rPr>
                <w:rFonts w:ascii="Times New Roman" w:eastAsia="SimSun"/>
                <w:color w:val="000000"/>
                <w:sz w:val="21"/>
                <w:szCs w:val="21"/>
              </w:rPr>
              <w:t xml:space="preserve">设置中心六个页面；侧边栏多视图导航；Phase 2 人工验收清单</w:t>
            </w:r>
          </w:p>
        </w:tc>
      </w:tr>
      <w:tr>
        <w:trPr>
          <w:cantSplit/>
        </w:trPr>
        <w:tc>
          <w:tcPr>
            <w:tcW w:type="pct" w:w="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林弘 （ketter1024）</w:t>
            </w:r>
          </w:p>
        </w:tc>
        <w:tc>
          <w:tcPr>
            <w:tcW w:type="pct" w:w="9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121052024144</w:t>
            </w:r>
          </w:p>
        </w:tc>
        <w:tc>
          <w:tcPr>
            <w:tcW w:type="pct" w:w="8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后端（账号体系与配置）</w:t>
            </w:r>
          </w:p>
        </w:tc>
        <w:tc>
          <w:tcPr>
            <w:tcW w:type="pct" w:w="5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7</w:t>
            </w:r>
          </w:p>
        </w:tc>
        <w:tc>
          <w:tcPr>
            <w:tcW w:type="pct" w:w="18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accounts 应用（资料、认证、联系人、客户端密钥）；依赖与配置</w:t>
            </w:r>
          </w:p>
        </w:tc>
      </w:tr>
    </w:tbl>
    <w:p>
      <w:pPr>
        <w:pStyle w:val="Heading2"/>
        <w:keepNext/>
        <w:spacing w:after="120" w:before="280" w:line="340" w:lineRule="atLeast"/>
      </w:pPr>
      <w:bookmarkStart w:id="100010" w:name="_Toc100010"/>
      <w:r>
        <w:rPr>
          <w:rFonts w:ascii="Times New Roman" w:eastAsia="SimHei"/>
          <w:b/>
          <w:bCs/>
          <w:color w:val="0F3A47"/>
          <w:sz w:val="28"/>
          <w:szCs w:val="28"/>
        </w:rPr>
        <w:t xml:space="preserve">4.3  个人工作小结</w:t>
      </w:r>
      <w:bookmarkEnd w:id="100010"/>
    </w:p>
    <w:p>
      <w:pPr>
        <w:pStyle w:val="Heading3"/>
        <w:keepNext/>
        <w:spacing w:after="100" w:before="220" w:line="312"/>
      </w:pPr>
      <w:bookmarkStart w:id="100011" w:name="_Toc100011"/>
      <w:r>
        <w:rPr>
          <w:rFonts w:ascii="Times New Roman" w:eastAsia="SimHei"/>
          <w:b/>
          <w:bCs/>
          <w:color w:val="0F3A47"/>
          <w:sz w:val="24"/>
          <w:szCs w:val="24"/>
        </w:rPr>
        <w:t xml:space="preserve">4.3.1  叶伟智（HeanX，组长）工作小结</w:t>
      </w:r>
      <w:bookmarkEnd w:id="100011"/>
    </w:p>
    <w:p>
      <w:pPr>
        <w:spacing w:after="80" w:line="312"/>
        <w:ind w:firstLine="480"/>
        <w:jc w:val="both"/>
      </w:pPr>
      <w:r>
        <w:rPr>
          <w:rFonts w:ascii="Times New Roman" w:eastAsia="SimSun"/>
          <w:color w:val="000000"/>
          <w:sz w:val="24"/>
          <w:szCs w:val="24"/>
        </w:rPr>
        <w:t xml:space="preserve">作为组长负责项目总体统筹、迭代节奏控制与 Pull Request 的评审合并，同时承担前端与交付文档的核心开发。前端方面完成工作台布局重构、联系人与群组独立页面向右侧面板工作区的整合以及界面国际化（i18n）支持；后端方面实现会话管理能力（置顶、免打扰、归档等，T19–T22）与消息操作、消息可靠性相关接口（T27、T31–T34、T37–T38、T40），并实现支持用户名、昵称与用户 ID 的联系人搜索；交付方面独立重写全套 UML 与架构图并修复 Mermaid 渲染问题，完成第三阶段回归测试与演示文档（T01/T07/T08）；此外搭建第三阶段 AI 助手基础架构与状态模式（接入 qwen-plus 模型），完成会话管理、转发校验、内容安全策略（CSP）与登录流程等多轮安全加固。累计提交 80 次。</w:t>
      </w:r>
    </w:p>
    <w:p>
      <w:pPr>
        <w:pStyle w:val="Heading3"/>
        <w:keepNext/>
        <w:spacing w:after="100" w:before="220" w:line="312"/>
      </w:pPr>
      <w:bookmarkStart w:id="100012" w:name="_Toc100012"/>
      <w:r>
        <w:rPr>
          <w:rFonts w:ascii="Times New Roman" w:eastAsia="SimHei"/>
          <w:b/>
          <w:bCs/>
          <w:color w:val="0F3A47"/>
          <w:sz w:val="24"/>
          <w:szCs w:val="24"/>
        </w:rPr>
        <w:t xml:space="preserve">4.3.2  许栢境（AEther61）工作小结</w:t>
      </w:r>
      <w:bookmarkEnd w:id="100012"/>
    </w:p>
    <w:p>
      <w:pPr>
        <w:spacing w:after="80" w:line="312"/>
        <w:ind w:firstLine="480"/>
        <w:jc w:val="both"/>
      </w:pPr>
      <w:r>
        <w:rPr>
          <w:rFonts w:ascii="Times New Roman" w:eastAsia="SimSun"/>
          <w:color w:val="000000"/>
          <w:sz w:val="24"/>
          <w:szCs w:val="24"/>
        </w:rPr>
        <w:t xml:space="preserve">主要负责聊天数据模型与账号隐私方向的后端开发。早期完成聊天数据模型（chat models）的设计与实现、群组模型整合（T22）与群组权限修复（T23）；随后依次实现隐私设置（T25）、拉黑用户管理（T26）、Passkey 字段（T28）、用户资料扩展（T29）、二维码名片（T30）、多账号上下文（T35）、会话管理 API（T36）与资料同步事件（T39）等账号与隐私后端能力，并在 WebSocket 层落实拉黑、免打扰的强制执行与多设备在线状态维护；第三阶段实现 AI 助手状态端点与分模式系统提示词（P3 T04/T05），同时参与第二阶段后端任务与重复视图清理。累计提交 37 次。</w:t>
      </w:r>
    </w:p>
    <w:p>
      <w:pPr>
        <w:pStyle w:val="Heading3"/>
        <w:keepNext/>
        <w:spacing w:after="100" w:before="220" w:line="312"/>
      </w:pPr>
      <w:bookmarkStart w:id="100013" w:name="_Toc100013"/>
      <w:r>
        <w:rPr>
          <w:rFonts w:ascii="Times New Roman" w:eastAsia="SimHei"/>
          <w:b/>
          <w:bCs/>
          <w:color w:val="0F3A47"/>
          <w:sz w:val="24"/>
          <w:szCs w:val="24"/>
        </w:rPr>
        <w:t xml:space="preserve">4.3.3  庞嘉铭（pislan）工作小结</w:t>
      </w:r>
      <w:bookmarkEnd w:id="100013"/>
    </w:p>
    <w:p>
      <w:pPr>
        <w:spacing w:after="80" w:line="312"/>
        <w:ind w:firstLine="480"/>
        <w:jc w:val="both"/>
      </w:pPr>
      <w:r>
        <w:rPr>
          <w:rFonts w:ascii="Times New Roman" w:eastAsia="SimSun"/>
          <w:color w:val="000000"/>
          <w:sz w:val="24"/>
          <w:szCs w:val="24"/>
        </w:rPr>
        <w:t xml:space="preserve">主要负责设置中心的前端实现：完成侧边栏多视图导航重构（T01）、设置中心主页（T02）、个人资料编辑与二维码弹窗（T03）、通知设置（T04）、数据与存储设置（T05）、隐私与安全设置（T06）六个页面，并编写第二阶段人工验收清单（T18），为阶段验收提供了可执行的检查清单。累计提交 7 次。</w:t>
      </w:r>
    </w:p>
    <w:p>
      <w:pPr>
        <w:pStyle w:val="Heading3"/>
        <w:keepNext/>
        <w:spacing w:after="100" w:before="220" w:line="312"/>
      </w:pPr>
      <w:bookmarkStart w:id="100014" w:name="_Toc100014"/>
      <w:r>
        <w:rPr>
          <w:rFonts w:ascii="Times New Roman" w:eastAsia="SimHei"/>
          <w:b/>
          <w:bCs/>
          <w:color w:val="0F3A47"/>
          <w:sz w:val="24"/>
          <w:szCs w:val="24"/>
        </w:rPr>
        <w:t xml:space="preserve">4.3.4  林弘（ketter1024）工作小结</w:t>
      </w:r>
      <w:bookmarkEnd w:id="100014"/>
    </w:p>
    <w:p>
      <w:pPr>
        <w:spacing w:after="160" w:line="312"/>
        <w:ind w:firstLine="480"/>
        <w:jc w:val="both"/>
      </w:pPr>
      <w:r>
        <w:rPr>
          <w:rFonts w:ascii="Times New Roman" w:eastAsia="SimSun"/>
          <w:color w:val="000000"/>
          <w:sz w:val="24"/>
          <w:szCs w:val="24"/>
        </w:rPr>
        <w:t xml:space="preserve">主要负责 accounts 应用的实现，覆盖用户资料、认证、联系人与客户端密钥等模块；同时维护全局配置与依赖清单（settings、urls、requirements），并参与多个功能分支的合并管理。累计提交 7 次。</w:t>
      </w:r>
    </w:p>
    <w:p>
      <w:pPr>
        <w:pStyle w:val="Heading1"/>
        <w:keepNext/>
        <w:spacing w:after="160" w:before="360" w:line="380" w:lineRule="atLeast"/>
      </w:pPr>
      <w:bookmarkStart w:id="100015" w:name="_Toc100015"/>
      <w:r>
        <w:rPr>
          <w:rFonts w:ascii="Times New Roman" w:eastAsia="SimHei"/>
          <w:b/>
          <w:bCs/>
          <w:color w:val="0F3A47"/>
          <w:sz w:val="32"/>
          <w:szCs w:val="32"/>
        </w:rPr>
        <w:t xml:space="preserve">5  小组后续要解决的问题</w:t>
      </w:r>
      <w:bookmarkEnd w:id="100015"/>
    </w:p>
    <w:p>
      <w:pPr>
        <w:spacing w:after="80" w:line="312"/>
        <w:ind w:firstLine="480"/>
        <w:jc w:val="both"/>
      </w:pPr>
      <w:r>
        <w:rPr>
          <w:rFonts w:ascii="Times New Roman" w:eastAsia="SimSun"/>
          <w:color w:val="000000"/>
          <w:sz w:val="24"/>
          <w:szCs w:val="24"/>
        </w:rPr>
        <w:t xml:space="preserve">项目下一阶段（第四阶段）的全部工作已在 GitHub 上完成任务拆解，共 78 个开放 Issue（编号 #128–#205），分为 54 项工程任务（P4 T01–T54）与 24 项测试任务（P4 Test T01–T24）。所有 Issue 建立时均未指定负责人，将由小组统一分工后认领实施。各工作包与 Issue 分布如表 5-1 所示。</w:t>
      </w:r>
    </w:p>
    <w:p>
      <w:pPr>
        <w:keepNext/>
        <w:spacing w:after="100" w:before="200" w:line="280"/>
        <w:jc w:val="center"/>
      </w:pPr>
      <w:r>
        <w:rPr>
          <w:rFonts w:ascii="Times New Roman" w:eastAsia="SimHei"/>
          <w:b/>
          <w:bCs/>
          <w:color w:val="0F3A47"/>
          <w:sz w:val="21"/>
          <w:szCs w:val="21"/>
        </w:rPr>
        <w:t xml:space="preserve">表 5-1  第四阶段工作包与 Issue 分布</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2109"/>
        <w:gridCol w:w="1318"/>
        <w:gridCol w:w="1230"/>
        <w:gridCol w:w="703"/>
        <w:gridCol w:w="3427"/>
      </w:tblGrid>
      <w:tr>
        <w:trPr>
          <w:cantSplit/>
          <w:tblHeader/>
        </w:trPr>
        <w:tc>
          <w:tcPr>
            <w:tcW w:type="pct" w:w="12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工作包</w:t>
            </w:r>
          </w:p>
        </w:tc>
        <w:tc>
          <w:tcPr>
            <w:tcW w:type="pct" w:w="7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任务编号</w:t>
            </w:r>
          </w:p>
        </w:tc>
        <w:tc>
          <w:tcPr>
            <w:tcW w:type="pct" w:w="7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Issue 编号</w:t>
            </w:r>
          </w:p>
        </w:tc>
        <w:tc>
          <w:tcPr>
            <w:tcW w:type="pct" w:w="40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数量</w:t>
            </w:r>
          </w:p>
        </w:tc>
        <w:tc>
          <w:tcPr>
            <w:tcW w:type="pct" w:w="1950"/>
            <w:shd w:fill="1B6B7A" w:val="clear"/>
            <w:tcMar>
              <w:top w:type="dxa" w:w="80"/>
              <w:left w:type="dxa" w:w="120"/>
              <w:bottom w:type="dxa" w:w="80"/>
              <w:right w:type="dxa" w:w="120"/>
            </w:tcMar>
          </w:tcPr>
          <w:p>
            <w:pPr>
              <w:spacing w:line="280"/>
            </w:pPr>
            <w:r>
              <w:rPr>
                <w:rFonts w:ascii="Times New Roman" w:eastAsia="SimHei"/>
                <w:b/>
                <w:bCs/>
                <w:color w:val="FFFFFF"/>
                <w:sz w:val="21"/>
                <w:szCs w:val="21"/>
              </w:rPr>
              <w:t xml:space="preserve">主要交付物</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项目统筹与需求基线</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T01–T03</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#128–#130</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3</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需求基线、迭代计划、风险清单</w:t>
            </w:r>
          </w:p>
        </w:tc>
      </w:tr>
      <w:tr>
        <w:trPr>
          <w:cantSplit/>
        </w:trPr>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云端架构与部署基础</w:t>
            </w:r>
          </w:p>
        </w:tc>
        <w:tc>
          <w:tcPr>
            <w:tcW w:type="pct" w:w="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P4 T04–T13</w:t>
            </w:r>
          </w:p>
        </w:tc>
        <w:tc>
          <w:tcPr>
            <w:tcW w:type="pct" w:w="7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#131–#140</w:t>
            </w:r>
          </w:p>
        </w:tc>
        <w:tc>
          <w:tcPr>
            <w:tcW w:type="pct" w:w="4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10</w:t>
            </w:r>
          </w:p>
        </w:tc>
        <w:tc>
          <w:tcPr>
            <w:tcW w:type="pct" w:w="1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域名、HTTPS/WSS、ASGI、PostgreSQL、Redis、备份</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Windows 桌面端</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T14–T21</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#141–#148</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8</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安装包、系统托盘与通知、安全存储</w:t>
            </w:r>
          </w:p>
        </w:tc>
      </w:tr>
      <w:tr>
        <w:trPr>
          <w:cantSplit/>
        </w:trPr>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Android 移动端</w:t>
            </w:r>
          </w:p>
        </w:tc>
        <w:tc>
          <w:tcPr>
            <w:tcW w:type="pct" w:w="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P4 T22–T30</w:t>
            </w:r>
          </w:p>
        </w:tc>
        <w:tc>
          <w:tcPr>
            <w:tcW w:type="pct" w:w="7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#149–#157</w:t>
            </w:r>
          </w:p>
        </w:tc>
        <w:tc>
          <w:tcPr>
            <w:tcW w:type="pct" w:w="4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9</w:t>
            </w:r>
          </w:p>
        </w:tc>
        <w:tc>
          <w:tcPr>
            <w:tcW w:type="pct" w:w="1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APK 构建、通知适配、生命周期管理</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消息可靠性与后端增强</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T31–T37</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#158–#164</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7</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消息状态机、幂等、离线补取、弱网恢复</w:t>
            </w:r>
          </w:p>
        </w:tc>
      </w:tr>
      <w:tr>
        <w:trPr>
          <w:cantSplit/>
        </w:trPr>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E2EE 与安全增强</w:t>
            </w:r>
          </w:p>
        </w:tc>
        <w:tc>
          <w:tcPr>
            <w:tcW w:type="pct" w:w="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P4 T38–T43</w:t>
            </w:r>
          </w:p>
        </w:tc>
        <w:tc>
          <w:tcPr>
            <w:tcW w:type="pct" w:w="7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#165–#170</w:t>
            </w:r>
          </w:p>
        </w:tc>
        <w:tc>
          <w:tcPr>
            <w:tcW w:type="pct" w:w="4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6</w:t>
            </w:r>
          </w:p>
        </w:tc>
        <w:tc>
          <w:tcPr>
            <w:tcW w:type="pct" w:w="1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设备身份模型、多设备密钥分发、威胁模型</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CI/CD 与质量工程</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T44–T50</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#171–#177</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7</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静态检查、覆盖率门禁、构建与回滚</w:t>
            </w:r>
          </w:p>
        </w:tc>
      </w:tr>
      <w:tr>
        <w:trPr>
          <w:cantSplit/>
        </w:trPr>
        <w:tc>
          <w:tcPr>
            <w:tcW w:type="pct" w:w="12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AI 实践与过程资产</w:t>
            </w:r>
          </w:p>
        </w:tc>
        <w:tc>
          <w:tcPr>
            <w:tcW w:type="pct" w:w="7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P4 T51–T54</w:t>
            </w:r>
          </w:p>
        </w:tc>
        <w:tc>
          <w:tcPr>
            <w:tcW w:type="pct" w:w="7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#178–#181</w:t>
            </w:r>
          </w:p>
        </w:tc>
        <w:tc>
          <w:tcPr>
            <w:tcW w:type="pct" w:w="40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4</w:t>
            </w:r>
          </w:p>
        </w:tc>
        <w:tc>
          <w:tcPr>
            <w:tcW w:type="pct" w:w="1950"/>
            <w:shd w:fill="EDF3F5" w:val="clear"/>
            <w:tcMar>
              <w:top w:type="dxa" w:w="70"/>
              <w:left w:type="dxa" w:w="120"/>
              <w:bottom w:type="dxa" w:w="70"/>
              <w:right w:type="dxa" w:w="120"/>
            </w:tcMar>
          </w:tcPr>
          <w:p>
            <w:pPr>
              <w:spacing w:line="280"/>
            </w:pPr>
            <w:r>
              <w:rPr>
                <w:rFonts w:ascii="Times New Roman" w:eastAsia="SimSun"/>
                <w:color w:val="000000"/>
                <w:sz w:val="21"/>
                <w:szCs w:val="21"/>
              </w:rPr>
              <w:t xml:space="preserve">AI 使用记录、缺陷分析、最终材料</w:t>
            </w:r>
          </w:p>
        </w:tc>
      </w:tr>
      <w:tr>
        <w:trPr>
          <w:cantSplit/>
        </w:trPr>
        <w:tc>
          <w:tcPr>
            <w:tcW w:type="pct" w:w="1200"/>
            <w:tcMar>
              <w:top w:type="dxa" w:w="70"/>
              <w:left w:type="dxa" w:w="120"/>
              <w:bottom w:type="dxa" w:w="70"/>
              <w:right w:type="dxa" w:w="120"/>
            </w:tcMar>
          </w:tcPr>
          <w:p>
            <w:pPr>
              <w:spacing w:line="280"/>
            </w:pPr>
            <w:r>
              <w:rPr>
                <w:rFonts w:ascii="Times New Roman" w:eastAsia="SimSun"/>
                <w:color w:val="000000"/>
                <w:sz w:val="21"/>
                <w:szCs w:val="21"/>
              </w:rPr>
              <w:t xml:space="preserve">产业级测试</w:t>
            </w:r>
          </w:p>
        </w:tc>
        <w:tc>
          <w:tcPr>
            <w:tcW w:type="pct" w:w="750"/>
            <w:tcMar>
              <w:top w:type="dxa" w:w="70"/>
              <w:left w:type="dxa" w:w="120"/>
              <w:bottom w:type="dxa" w:w="70"/>
              <w:right w:type="dxa" w:w="120"/>
            </w:tcMar>
          </w:tcPr>
          <w:p>
            <w:pPr>
              <w:spacing w:line="280"/>
            </w:pPr>
            <w:r>
              <w:rPr>
                <w:rFonts w:ascii="Times New Roman" w:eastAsia="SimSun"/>
                <w:color w:val="000000"/>
                <w:sz w:val="21"/>
                <w:szCs w:val="21"/>
              </w:rPr>
              <w:t xml:space="preserve">P4 Test T01–T24</w:t>
            </w:r>
          </w:p>
        </w:tc>
        <w:tc>
          <w:tcPr>
            <w:tcW w:type="pct" w:w="700"/>
            <w:tcMar>
              <w:top w:type="dxa" w:w="70"/>
              <w:left w:type="dxa" w:w="120"/>
              <w:bottom w:type="dxa" w:w="70"/>
              <w:right w:type="dxa" w:w="120"/>
            </w:tcMar>
          </w:tcPr>
          <w:p>
            <w:pPr>
              <w:spacing w:line="280"/>
            </w:pPr>
            <w:r>
              <w:rPr>
                <w:rFonts w:ascii="Times New Roman" w:eastAsia="SimSun"/>
                <w:color w:val="000000"/>
                <w:sz w:val="21"/>
                <w:szCs w:val="21"/>
              </w:rPr>
              <w:t xml:space="preserve">#182–#205</w:t>
            </w:r>
          </w:p>
        </w:tc>
        <w:tc>
          <w:tcPr>
            <w:tcW w:type="pct" w:w="400"/>
            <w:tcMar>
              <w:top w:type="dxa" w:w="70"/>
              <w:left w:type="dxa" w:w="120"/>
              <w:bottom w:type="dxa" w:w="70"/>
              <w:right w:type="dxa" w:w="120"/>
            </w:tcMar>
          </w:tcPr>
          <w:p>
            <w:pPr>
              <w:spacing w:line="280"/>
            </w:pPr>
            <w:r>
              <w:rPr>
                <w:rFonts w:ascii="Times New Roman" w:eastAsia="SimSun"/>
                <w:color w:val="000000"/>
                <w:sz w:val="21"/>
                <w:szCs w:val="21"/>
              </w:rPr>
              <w:t xml:space="preserve">24</w:t>
            </w:r>
          </w:p>
        </w:tc>
        <w:tc>
          <w:tcPr>
            <w:tcW w:type="pct" w:w="1950"/>
            <w:tcMar>
              <w:top w:type="dxa" w:w="70"/>
              <w:left w:type="dxa" w:w="120"/>
              <w:bottom w:type="dxa" w:w="70"/>
              <w:right w:type="dxa" w:w="120"/>
            </w:tcMar>
          </w:tcPr>
          <w:p>
            <w:pPr>
              <w:spacing w:line="280"/>
            </w:pPr>
            <w:r>
              <w:rPr>
                <w:rFonts w:ascii="Times New Roman" w:eastAsia="SimSun"/>
                <w:color w:val="000000"/>
                <w:sz w:val="21"/>
                <w:szCs w:val="21"/>
              </w:rPr>
              <w:t xml:space="preserve">测试计划、黑白盒、兼容、安全、性能测试</w:t>
            </w:r>
          </w:p>
        </w:tc>
      </w:tr>
    </w:tbl>
    <w:p>
      <w:pPr>
        <w:pStyle w:val="Heading2"/>
        <w:keepNext/>
        <w:spacing w:after="120" w:before="280" w:line="340" w:lineRule="atLeast"/>
      </w:pPr>
      <w:bookmarkStart w:id="100016" w:name="_Toc100016"/>
      <w:r>
        <w:rPr>
          <w:rFonts w:ascii="Times New Roman" w:eastAsia="SimHei"/>
          <w:b/>
          <w:bCs/>
          <w:color w:val="0F3A47"/>
          <w:sz w:val="28"/>
          <w:szCs w:val="28"/>
        </w:rPr>
        <w:t xml:space="preserve">5.1  重点问题说明</w:t>
      </w:r>
      <w:bookmarkEnd w:id="100016"/>
    </w:p>
    <w:p>
      <w:pPr>
        <w:spacing w:after="80" w:line="312"/>
        <w:ind w:firstLine="480"/>
        <w:jc w:val="both"/>
      </w:pPr>
      <w:r>
        <w:rPr>
          <w:rFonts w:ascii="Times New Roman" w:eastAsia="SimSun"/>
          <w:color w:val="000000"/>
          <w:sz w:val="24"/>
          <w:szCs w:val="24"/>
        </w:rPr>
        <w:t xml:space="preserve">第一，云端生产部署（#131–#140）。当前系统仅在本地环境运行，需完成云服务器与域名准备、Nginx 与 HTTPS/WSS 配置、Django ASGI 服务部署、PostgreSQL 与 Redis Channel Layer 接入、持久化文件存储、健康检查与备份回滚等工作，使系统具备对外服务能力。</w:t>
      </w:r>
    </w:p>
    <w:p>
      <w:pPr>
        <w:spacing w:after="80" w:line="312"/>
        <w:ind w:firstLine="480"/>
        <w:jc w:val="both"/>
      </w:pPr>
      <w:r>
        <w:rPr>
          <w:rFonts w:ascii="Times New Roman" w:eastAsia="SimSun"/>
          <w:color w:val="000000"/>
          <w:sz w:val="24"/>
          <w:szCs w:val="24"/>
        </w:rPr>
        <w:t xml:space="preserve">第二，跨平台客户端（#141–#157）。Windows 端需完成 Electron 安装包打包、窗口与系统托盘、系统通知、文件选择与安全存储等适配；Android 端需基于 Capacitor 确定技术方案，完成移动端响应式适配、前后台通知、返回键与生命周期适配、文件选择与保存，最终产出可安装的 APK/AAB。</w:t>
      </w:r>
    </w:p>
    <w:p>
      <w:pPr>
        <w:spacing w:after="80" w:line="312"/>
        <w:ind w:firstLine="480"/>
        <w:jc w:val="both"/>
      </w:pPr>
      <w:r>
        <w:rPr>
          <w:rFonts w:ascii="Times New Roman" w:eastAsia="SimSun"/>
          <w:color w:val="000000"/>
          <w:sz w:val="24"/>
          <w:szCs w:val="24"/>
        </w:rPr>
        <w:t xml:space="preserve">第三，消息可靠性与 E2EE 安全增强（#158–#170）。计划统一三端协议版本与错误码，完善消息发送状态机、消息唯一 ID 与幂等性、离线消息补取与弱网重连；安全方面将实现设备身份模型、设备列表与撤销、多设备新消息密钥分发与历史密钥迁移，并编制 E2EE 威胁模型与数据流图。</w:t>
      </w:r>
    </w:p>
    <w:p>
      <w:pPr>
        <w:spacing w:after="80" w:line="312"/>
        <w:ind w:firstLine="480"/>
        <w:jc w:val="both"/>
      </w:pPr>
      <w:r>
        <w:rPr>
          <w:rFonts w:ascii="Times New Roman" w:eastAsia="SimSun"/>
          <w:color w:val="000000"/>
          <w:sz w:val="24"/>
          <w:szCs w:val="24"/>
        </w:rPr>
        <w:t xml:space="preserve">第四，工程化与产业级测试（#171–#205）。工程化方面接入静态检查与格式门禁、Django 自动化测试与迁移检查、覆盖率门禁、依赖与秘密扫描，并建立标准化构建与发布回滚流程；测试方面依据软件需求规格说明书编写总体测试计划与需求追踪矩阵，开展黑盒与白盒测试设计、集成测试、兼容性测试、安全测试、性能稳定性与弱网测试，并建立缺陷管理与回归流程，最终输出测试总结与验收结论。</w:t>
      </w:r>
    </w:p>
    <w:p>
      <w:pPr>
        <w:pStyle w:val="Heading2"/>
        <w:keepNext/>
        <w:spacing w:after="120" w:before="280" w:line="340" w:lineRule="atLeast"/>
      </w:pPr>
      <w:bookmarkStart w:id="100017" w:name="_Toc100017"/>
      <w:r>
        <w:rPr>
          <w:rFonts w:ascii="Times New Roman" w:eastAsia="SimHei"/>
          <w:b/>
          <w:bCs/>
          <w:color w:val="0F3A47"/>
          <w:sz w:val="28"/>
          <w:szCs w:val="28"/>
        </w:rPr>
        <w:t xml:space="preserve">5.2  任务认领与协作方式</w:t>
      </w:r>
      <w:bookmarkEnd w:id="100017"/>
    </w:p>
    <w:p>
      <w:pPr>
        <w:spacing w:after="160" w:line="312"/>
        <w:ind w:firstLine="480"/>
        <w:jc w:val="both"/>
      </w:pPr>
      <w:r>
        <w:rPr>
          <w:rFonts w:ascii="Times New Roman" w:eastAsia="SimSun"/>
          <w:color w:val="000000"/>
          <w:sz w:val="24"/>
          <w:szCs w:val="24"/>
        </w:rPr>
        <w:t xml:space="preserve">后续任务将延续既有协作机制：成员在 GitHub Issue 中设置负责人（Assignee）并评论预计完成时间与依赖；每个 Issue 指定一名主负责人和至少一名验收人，开发人员不得单独验收自己的关键功能；涉及安全、E2EE 与发布操作的改动至少由两人复核；小组每周核对一次 Issue、PR、缺陷与测试证据，确保进度可控、质量可验。具体任务清单见仓库 Issues 页：https://github.com/HeanX/iChat_Pro/issues。</w:t>
      </w:r>
    </w:p>
    <w:p>
      <w:pPr>
        <w:pStyle w:val="Heading1"/>
        <w:keepNext/>
        <w:spacing w:after="160" w:before="360" w:line="380" w:lineRule="atLeast"/>
      </w:pPr>
      <w:bookmarkStart w:id="100018" w:name="_Toc100018"/>
      <w:r>
        <w:rPr>
          <w:rFonts w:ascii="Times New Roman" w:eastAsia="SimHei"/>
          <w:b/>
          <w:bCs/>
          <w:color w:val="0F3A47"/>
          <w:sz w:val="32"/>
          <w:szCs w:val="32"/>
        </w:rPr>
        <w:t xml:space="preserve">结束语</w:t>
      </w:r>
      <w:bookmarkEnd w:id="100018"/>
    </w:p>
    <w:p>
      <w:pPr>
        <w:spacing w:after="0" w:line="312"/>
        <w:ind w:firstLine="480"/>
        <w:jc w:val="both"/>
      </w:pPr>
      <w:r>
        <w:rPr>
          <w:rFonts w:ascii="Times New Roman" w:eastAsia="SimSun"/>
          <w:color w:val="000000"/>
          <w:sz w:val="24"/>
          <w:szCs w:val="24"/>
        </w:rPr>
        <w:t xml:space="preserve">目前，iChat Pro 的核心功能开发与过程文档交付均已完成，代码托管于 GitHub 并保持持续演进。小组将在既有基础上，按第四阶段规划推进云端部署、跨平台客户端、安全增强与产业级测试工作，逐步把项目从课程演示产品推向可对外服务的完整产品。</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Times New Roman" w:eastAsia="SimSun"/>
        <w:color w:val="808080"/>
        <w:sz w:val="18"/>
        <w:szCs w:val="18"/>
      </w:rPr>
      <w:t xml:space="preserve">iChat Pro 项目课程交付总结报告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0F3A47"/>
      <w:sz w:val="32"/>
      <w:szCs w:val="32"/>
    </w:rPr>
  </w:style>
  <w:style w:type="paragraph" w:styleId="Heading2">
    <w:name w:val="Heading 2"/>
    <w:basedOn w:val="Normal"/>
    <w:next w:val="Normal"/>
    <w:qFormat/>
    <w:pPr>
      <w:spacing w:after="120" w:before="280" w:line="340"/>
      <w:outlineLvl w:val="1"/>
    </w:pPr>
    <w:rPr>
      <w:rFonts w:ascii="Times New Roman" w:eastAsia="SimHei"/>
      <w:b/>
      <w:bCs/>
      <w:color w:val="0F3A47"/>
      <w:sz w:val="28"/>
      <w:szCs w:val="28"/>
    </w:rPr>
  </w:style>
  <w:style w:type="paragraph" w:styleId="Heading3">
    <w:name w:val="Heading 3"/>
    <w:basedOn w:val="Normal"/>
    <w:next w:val="Normal"/>
    <w:qFormat/>
    <w:pPr>
      <w:spacing w:after="100" w:before="220" w:line="312"/>
      <w:outlineLvl w:val="2"/>
    </w:pPr>
    <w:rPr>
      <w:rFonts w:ascii="Times New Roman" w:eastAsia="SimHei"/>
      <w:b/>
      <w:bCs/>
      <w:color w:val="0F3A47"/>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p7rpc7wghcwbv7hm_q9cg" Type="http://schemas.openxmlformats.org/officeDocument/2006/relationships/hyperlink" Target="https://github.com/HeanX/iChat_Pro" TargetMode="External"/><Relationship Id="rId10" Type="http://schemas.openxmlformats.org/officeDocument/2006/relationships/image" Target="media/06c587e25f0a6f65c5990d30b684c6a4302dd2db.png"/><Relationship Id="rId11" Type="http://schemas.openxmlformats.org/officeDocument/2006/relationships/image" Target="media/895cfc7505c5a10c88b5cf4d26c9dadaa46cdd8d.png"/><Relationship Id="rId12" Type="http://schemas.openxmlformats.org/officeDocument/2006/relationships/image" Target="media/5ebf9f1f1dcd21a6fd5c8f39721a982a91317a9f.png"/><Relationship Id="rId13" Type="http://schemas.openxmlformats.org/officeDocument/2006/relationships/image" Target="media/4b7a5fefdc1a4dee233342e949fe993b8dc9e0f6.png"/><Relationship Id="rId14" Type="http://schemas.openxmlformats.org/officeDocument/2006/relationships/image" Target="media/85d794a48d557e540ac7d50561047257f14068c6.png"/><Relationship Id="rId15" Type="http://schemas.openxmlformats.org/officeDocument/2006/relationships/image" Target="media/671640ad62987a73209a8d91028648460c058e8a.png"/><Relationship Id="rId16" Type="http://schemas.openxmlformats.org/officeDocument/2006/relationships/image" Target="media/edd20dabc12c27adf81e2c91d9be1f7c4d413cfc.png"/><Relationship Id="rId17" Type="http://schemas.openxmlformats.org/officeDocument/2006/relationships/image" Target="media/67afe95297a0865cc9535160271226b8f10f2804.png"/><Relationship Id="rId18" Type="http://schemas.openxmlformats.org/officeDocument/2006/relationships/image" Target="media/d4af106d62d41d44638a0ae088330f1ffa924b2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iChat Pro 项目课程交付总结报告</dc:title>
  <dc:creator>iChat Pro 项目小组</dc:creator>
  <cp:lastModifiedBy>Un-named</cp:lastModifiedBy>
  <cp:revision>1</cp:revision>
  <dcterms:created xsi:type="dcterms:W3CDTF">2026-09-29T18:33:19.648Z</dcterms:created>
  <dcterms:modified xsi:type="dcterms:W3CDTF">2026-09-29T18:33:19.649Z</dcterms:modified>
</cp:coreProperties>
</file>

<file path=docProps/custom.xml><?xml version="1.0" encoding="utf-8"?>
<Properties xmlns="http://schemas.openxmlformats.org/officeDocument/2006/custom-properties" xmlns:vt="http://schemas.openxmlformats.org/officeDocument/2006/docPropsVTypes"/>
</file>