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28D" w:rsidRDefault="0003128D" w:rsidP="00E15FB3">
      <w:pPr>
        <w:ind w:firstLine="420"/>
        <w:jc w:val="center"/>
        <w:rPr>
          <w:b/>
          <w:sz w:val="30"/>
          <w:szCs w:val="30"/>
        </w:rPr>
      </w:pPr>
      <w:r w:rsidRPr="00E15FB3">
        <w:rPr>
          <w:rFonts w:hint="eastAsia"/>
          <w:b/>
          <w:sz w:val="30"/>
          <w:szCs w:val="30"/>
        </w:rPr>
        <w:t>台湾地区数位典藏</w:t>
      </w:r>
      <w:r>
        <w:rPr>
          <w:rFonts w:hint="eastAsia"/>
          <w:b/>
          <w:sz w:val="30"/>
          <w:szCs w:val="30"/>
        </w:rPr>
        <w:t>相关</w:t>
      </w:r>
      <w:r w:rsidRPr="00E15FB3">
        <w:rPr>
          <w:rFonts w:hint="eastAsia"/>
          <w:b/>
          <w:sz w:val="30"/>
          <w:szCs w:val="30"/>
        </w:rPr>
        <w:t>内容梳理</w:t>
      </w:r>
      <w:bookmarkStart w:id="0" w:name="_GoBack"/>
      <w:bookmarkEnd w:id="0"/>
      <w:r>
        <w:rPr>
          <w:rFonts w:hint="eastAsia"/>
          <w:b/>
          <w:sz w:val="30"/>
          <w:szCs w:val="30"/>
        </w:rPr>
        <w:t>（二）</w:t>
      </w:r>
    </w:p>
    <w:p w:rsidR="0003128D" w:rsidRPr="00061BA2" w:rsidRDefault="0003128D" w:rsidP="00061BA2">
      <w:pPr>
        <w:ind w:firstLine="420"/>
        <w:jc w:val="center"/>
        <w:rPr>
          <w:rFonts w:ascii="楷体" w:eastAsia="楷体" w:hAnsi="楷体"/>
          <w:sz w:val="24"/>
          <w:szCs w:val="24"/>
        </w:rPr>
      </w:pPr>
      <w:r w:rsidRPr="00061BA2">
        <w:rPr>
          <w:rFonts w:ascii="楷体" w:eastAsia="楷体" w:hAnsi="楷体" w:hint="eastAsia"/>
          <w:sz w:val="24"/>
          <w:szCs w:val="24"/>
        </w:rPr>
        <w:t>北京邮电大学世纪学院</w:t>
      </w:r>
    </w:p>
    <w:p w:rsidR="0003128D" w:rsidRDefault="0003128D" w:rsidP="00061BA2">
      <w:pPr>
        <w:ind w:firstLine="420"/>
        <w:jc w:val="center"/>
        <w:rPr>
          <w:rFonts w:ascii="楷体" w:eastAsia="楷体" w:hAnsi="楷体"/>
          <w:sz w:val="24"/>
          <w:szCs w:val="24"/>
        </w:rPr>
      </w:pPr>
      <w:r w:rsidRPr="00061BA2">
        <w:rPr>
          <w:rFonts w:ascii="楷体" w:eastAsia="楷体" w:hAnsi="楷体" w:hint="eastAsia"/>
          <w:sz w:val="24"/>
          <w:szCs w:val="24"/>
        </w:rPr>
        <w:t>移动媒体与文化计算北京市重点实验室</w:t>
      </w:r>
    </w:p>
    <w:p w:rsidR="0003128D" w:rsidRPr="00061BA2" w:rsidRDefault="0003128D" w:rsidP="00061BA2">
      <w:pPr>
        <w:ind w:firstLine="420"/>
        <w:jc w:val="center"/>
        <w:rPr>
          <w:rFonts w:ascii="楷体" w:eastAsia="楷体" w:hAnsi="楷体"/>
          <w:sz w:val="24"/>
          <w:szCs w:val="24"/>
        </w:rPr>
      </w:pPr>
    </w:p>
    <w:p w:rsidR="0003128D" w:rsidRPr="00D05752" w:rsidRDefault="0003128D" w:rsidP="00D05752">
      <w:pPr>
        <w:pStyle w:val="ListParagraph"/>
        <w:numPr>
          <w:ilvl w:val="0"/>
          <w:numId w:val="4"/>
        </w:numPr>
        <w:spacing w:line="360" w:lineRule="auto"/>
        <w:ind w:firstLineChars="0"/>
        <w:rPr>
          <w:rFonts w:ascii="宋体"/>
          <w:b/>
        </w:rPr>
      </w:pPr>
      <w:r w:rsidRPr="00D05752">
        <w:rPr>
          <w:rFonts w:ascii="宋体" w:hAnsi="宋体" w:hint="eastAsia"/>
          <w:b/>
        </w:rPr>
        <w:t>台湾数位典藏计划背景</w:t>
      </w:r>
    </w:p>
    <w:p w:rsidR="0003128D" w:rsidRPr="00000523" w:rsidRDefault="0003128D" w:rsidP="00000523">
      <w:pPr>
        <w:spacing w:line="360" w:lineRule="auto"/>
        <w:rPr>
          <w:rFonts w:ascii="宋体"/>
        </w:rPr>
      </w:pPr>
      <w:r w:rsidRPr="00000523">
        <w:rPr>
          <w:rFonts w:ascii="宋体" w:hAnsi="宋体" w:hint="eastAsia"/>
        </w:rPr>
        <w:t>（</w:t>
      </w:r>
      <w:r w:rsidRPr="00000523">
        <w:rPr>
          <w:rFonts w:ascii="宋体" w:hAnsi="宋体"/>
        </w:rPr>
        <w:t>1</w:t>
      </w:r>
      <w:r w:rsidRPr="00000523">
        <w:rPr>
          <w:rFonts w:ascii="宋体" w:hAnsi="宋体" w:hint="eastAsia"/>
        </w:rPr>
        <w:t>）缘起</w:t>
      </w:r>
    </w:p>
    <w:p w:rsidR="0003128D" w:rsidRPr="00000523" w:rsidRDefault="0003128D" w:rsidP="00000523">
      <w:pPr>
        <w:spacing w:line="360" w:lineRule="auto"/>
        <w:ind w:firstLine="420"/>
        <w:rPr>
          <w:rFonts w:ascii="宋体"/>
        </w:rPr>
      </w:pPr>
      <w:r>
        <w:rPr>
          <w:rFonts w:ascii="宋体" w:hAnsi="宋体" w:hint="eastAsia"/>
        </w:rPr>
        <w:t>“</w:t>
      </w:r>
      <w:r w:rsidRPr="00000523">
        <w:rPr>
          <w:rFonts w:ascii="宋体" w:hAnsi="宋体" w:hint="eastAsia"/>
        </w:rPr>
        <w:t>数位典藏科技计划</w:t>
      </w:r>
      <w:r>
        <w:rPr>
          <w:rFonts w:ascii="宋体" w:hAnsi="宋体" w:hint="eastAsia"/>
        </w:rPr>
        <w:t>”</w:t>
      </w:r>
      <w:r w:rsidRPr="00000523">
        <w:rPr>
          <w:rFonts w:ascii="宋体" w:hAnsi="宋体" w:hint="eastAsia"/>
        </w:rPr>
        <w:t>并非空穴来风，而是受到了美国和联合国相关计划的影响。</w:t>
      </w:r>
      <w:r w:rsidRPr="00000523">
        <w:rPr>
          <w:rFonts w:ascii="宋体" w:hAnsi="宋体"/>
        </w:rPr>
        <w:t>1990</w:t>
      </w:r>
      <w:r w:rsidRPr="00000523">
        <w:rPr>
          <w:rFonts w:ascii="宋体" w:hAnsi="宋体" w:hint="eastAsia"/>
        </w:rPr>
        <w:t>年，美国国会图书馆启动了“美国记忆”</w:t>
      </w:r>
      <w:r w:rsidRPr="00000523">
        <w:rPr>
          <w:rFonts w:ascii="宋体" w:hAnsi="宋体"/>
        </w:rPr>
        <w:t xml:space="preserve">(American Memory) </w:t>
      </w:r>
      <w:r w:rsidRPr="00000523">
        <w:rPr>
          <w:rFonts w:ascii="宋体" w:hAnsi="宋体" w:hint="eastAsia"/>
        </w:rPr>
        <w:t>计划，以期将数百万件有关美国历史和文化信息进行数据化资源记录，这些资源大部分来源于国会图书馆丰富的馆藏，包括哲学与宗教、教育、地理、历史和社会科学等，几乎涵盖了原始文件的所有类型，包括手稿、书籍、印刷文本、影像及录音等。美国国会图书馆希望通过该项目让所有的学校、图书馆、家庭同那些公共阅览室的长期读者一样，能够便捷地接触、整理、使用这些材料。继美国之后，联合国教科文组织于</w:t>
      </w:r>
      <w:r w:rsidRPr="00000523">
        <w:rPr>
          <w:rFonts w:ascii="宋体" w:hAnsi="宋体"/>
        </w:rPr>
        <w:t>1992</w:t>
      </w:r>
      <w:r w:rsidRPr="00000523">
        <w:rPr>
          <w:rFonts w:ascii="宋体" w:hAnsi="宋体" w:hint="eastAsia"/>
        </w:rPr>
        <w:t>年发起了“世界记忆工程”，其目的是实施联合国教科文组织宪章中规定的保护和保管世界文化遗产的任务，促进文化遗产利用的民主化，提高人们对文献遗产的重要性和保管的必要性的认识。这里需要补充说明的是世界遗产项目。</w:t>
      </w:r>
      <w:r w:rsidRPr="00000523">
        <w:rPr>
          <w:rFonts w:ascii="宋体" w:hAnsi="宋体"/>
        </w:rPr>
        <w:t>1972</w:t>
      </w:r>
      <w:r w:rsidRPr="00000523">
        <w:rPr>
          <w:rFonts w:ascii="宋体" w:hAnsi="宋体" w:hint="eastAsia"/>
        </w:rPr>
        <w:t>年，联合国教科文组织发起世界遗产项目，对自然和人工环境中具有突出意义和普遍价值的文化和自然遗产，如具有历史、美学、考古、科学或人类学研究价值的建筑物或遗址加以保护。由此可见，世界记忆工程是世界遗产目录项目的延续，不过它关注的是文献遗产，具体讲就是手稿、图书馆和档案馆保存的任何介质的珍贵文件，以及口述历史的记录等。</w:t>
      </w:r>
    </w:p>
    <w:p w:rsidR="0003128D" w:rsidRPr="00000523" w:rsidRDefault="0003128D" w:rsidP="00000523">
      <w:pPr>
        <w:spacing w:line="360" w:lineRule="auto"/>
        <w:rPr>
          <w:rFonts w:ascii="宋体"/>
        </w:rPr>
      </w:pPr>
      <w:r w:rsidRPr="00000523">
        <w:rPr>
          <w:rFonts w:ascii="宋体" w:hAnsi="宋体" w:hint="eastAsia"/>
        </w:rPr>
        <w:t>（</w:t>
      </w:r>
      <w:r w:rsidRPr="00000523">
        <w:rPr>
          <w:rFonts w:ascii="宋体" w:hAnsi="宋体"/>
        </w:rPr>
        <w:t>2</w:t>
      </w:r>
      <w:r w:rsidRPr="00000523">
        <w:rPr>
          <w:rFonts w:ascii="宋体" w:hAnsi="宋体" w:hint="eastAsia"/>
        </w:rPr>
        <w:t>）发展</w:t>
      </w:r>
    </w:p>
    <w:p w:rsidR="0003128D" w:rsidRPr="00000523" w:rsidRDefault="0003128D" w:rsidP="00000523">
      <w:pPr>
        <w:spacing w:line="360" w:lineRule="auto"/>
        <w:ind w:firstLine="420"/>
        <w:rPr>
          <w:rFonts w:ascii="宋体"/>
        </w:rPr>
      </w:pPr>
      <w:r w:rsidRPr="00000523">
        <w:rPr>
          <w:rFonts w:ascii="宋体" w:hAnsi="宋体" w:hint="eastAsia"/>
        </w:rPr>
        <w:t>数位典藏与数位学习国家型科技计划发展沿革分为</w:t>
      </w:r>
      <w:r w:rsidRPr="00000523">
        <w:rPr>
          <w:rFonts w:ascii="宋体" w:hAnsi="宋体"/>
        </w:rPr>
        <w:t>3</w:t>
      </w:r>
      <w:r w:rsidRPr="00000523">
        <w:rPr>
          <w:rFonts w:ascii="宋体" w:hAnsi="宋体" w:hint="eastAsia"/>
        </w:rPr>
        <w:t>个阶段。</w:t>
      </w:r>
    </w:p>
    <w:p w:rsidR="0003128D" w:rsidRPr="00000523" w:rsidRDefault="0003128D" w:rsidP="00000523">
      <w:pPr>
        <w:spacing w:line="360" w:lineRule="auto"/>
        <w:ind w:firstLine="420"/>
        <w:rPr>
          <w:rFonts w:ascii="宋体"/>
        </w:rPr>
      </w:pPr>
      <w:r w:rsidRPr="00000523">
        <w:rPr>
          <w:rFonts w:ascii="宋体" w:hAnsi="宋体" w:hint="eastAsia"/>
        </w:rPr>
        <w:t>首先是</w:t>
      </w:r>
      <w:r w:rsidRPr="00000523">
        <w:rPr>
          <w:rFonts w:ascii="宋体" w:hAnsi="宋体"/>
        </w:rPr>
        <w:t>1998</w:t>
      </w:r>
      <w:r w:rsidRPr="00000523">
        <w:rPr>
          <w:rFonts w:ascii="宋体" w:hAnsi="宋体" w:hint="eastAsia"/>
        </w:rPr>
        <w:t>至</w:t>
      </w:r>
      <w:r w:rsidRPr="00000523">
        <w:rPr>
          <w:rFonts w:ascii="宋体" w:hAnsi="宋体"/>
        </w:rPr>
        <w:t>2001</w:t>
      </w:r>
      <w:r w:rsidRPr="00000523">
        <w:rPr>
          <w:rFonts w:ascii="宋体" w:hAnsi="宋体" w:hint="eastAsia"/>
        </w:rPr>
        <w:t>年，在台湾当局数位典藏科技计划推出之前，就曾先后实施过三个计划：数位博物馆计划（</w:t>
      </w:r>
      <w:r w:rsidRPr="00000523">
        <w:rPr>
          <w:rFonts w:ascii="宋体" w:hAnsi="宋体"/>
        </w:rPr>
        <w:t>2002</w:t>
      </w:r>
      <w:r w:rsidRPr="00000523">
        <w:rPr>
          <w:rFonts w:ascii="宋体" w:hAnsi="宋体" w:hint="eastAsia"/>
        </w:rPr>
        <w:t>年起即在“文建会国家文化数据库”，与</w:t>
      </w:r>
      <w:r w:rsidRPr="00000523">
        <w:rPr>
          <w:rFonts w:ascii="宋体" w:hAnsi="宋体"/>
        </w:rPr>
        <w:t xml:space="preserve"> </w:t>
      </w:r>
      <w:r w:rsidRPr="00000523">
        <w:rPr>
          <w:rFonts w:ascii="宋体" w:hAnsi="宋体" w:hint="eastAsia"/>
        </w:rPr>
        <w:t>国科会“数位典藏国家型科技计划”的支援下进行典藏品数字化的计划</w:t>
      </w:r>
      <w:r w:rsidRPr="00000523">
        <w:rPr>
          <w:rFonts w:ascii="宋体" w:hAnsi="宋体"/>
        </w:rPr>
        <w:t xml:space="preserve"> </w:t>
      </w:r>
      <w:r w:rsidRPr="00000523">
        <w:rPr>
          <w:rFonts w:ascii="宋体" w:hAnsi="宋体" w:hint="eastAsia"/>
        </w:rPr>
        <w:t>）、台湾典藏数位化计划、国际数位图书馆合作计划。在实施这三个计划的过程中，台湾当局觉得很有必要对这三个计划加以整合与提升，于是在</w:t>
      </w:r>
      <w:r w:rsidRPr="00000523">
        <w:rPr>
          <w:rFonts w:ascii="宋体" w:hAnsi="宋体"/>
        </w:rPr>
        <w:t>2002</w:t>
      </w:r>
      <w:r w:rsidRPr="00000523">
        <w:rPr>
          <w:rFonts w:ascii="宋体" w:hAnsi="宋体" w:hint="eastAsia"/>
        </w:rPr>
        <w:t>年推出了数位典藏科技计划的第一期，在推出数位典藏科技计划之后，台湾当局认识到数位化工作是数位内容产业的起点，而数位典藏是数位内容发展第一步，数位不仅对于典藏具有重要意义，而且对于营造台湾民众“多元化”的学习环境，在蓬勃发展的知识经济中抢占先机也具有推动作用，</w:t>
      </w:r>
      <w:r w:rsidRPr="00000523">
        <w:rPr>
          <w:rFonts w:ascii="宋体" w:hAnsi="宋体"/>
        </w:rPr>
        <w:t xml:space="preserve"> </w:t>
      </w:r>
      <w:r w:rsidRPr="00000523">
        <w:rPr>
          <w:rFonts w:ascii="宋体" w:hAnsi="宋体" w:hint="eastAsia"/>
        </w:rPr>
        <w:t>因而台湾当局又于</w:t>
      </w:r>
      <w:r w:rsidRPr="00000523">
        <w:rPr>
          <w:rFonts w:ascii="宋体" w:hAnsi="宋体"/>
        </w:rPr>
        <w:t>2003</w:t>
      </w:r>
      <w:r w:rsidRPr="00000523">
        <w:rPr>
          <w:rFonts w:ascii="宋体" w:hAnsi="宋体" w:hint="eastAsia"/>
        </w:rPr>
        <w:t>推出了数位学习国家型科技计划。</w:t>
      </w:r>
    </w:p>
    <w:p w:rsidR="0003128D" w:rsidRPr="00000523" w:rsidRDefault="0003128D" w:rsidP="00000523">
      <w:pPr>
        <w:spacing w:line="360" w:lineRule="auto"/>
        <w:ind w:firstLine="420"/>
        <w:rPr>
          <w:rFonts w:ascii="宋体"/>
        </w:rPr>
      </w:pPr>
      <w:r w:rsidRPr="00000523">
        <w:rPr>
          <w:rFonts w:ascii="宋体" w:hAnsi="宋体" w:hint="eastAsia"/>
        </w:rPr>
        <w:t>在实行这两个计划地过程中，台湾当局深感有整合的必要，于是又在</w:t>
      </w:r>
      <w:r w:rsidRPr="00000523">
        <w:rPr>
          <w:rFonts w:ascii="宋体" w:hAnsi="宋体"/>
        </w:rPr>
        <w:t>2008</w:t>
      </w:r>
      <w:r w:rsidRPr="00000523">
        <w:rPr>
          <w:rFonts w:ascii="宋体" w:hAnsi="宋体" w:hint="eastAsia"/>
        </w:rPr>
        <w:t>年将数位典藏科技计划与数位学习科技计划进行整合，形成数位典藏与数位学习科技计划。总体目标则改为“典藏多样台湾，深化数字学习”。分目标又包括以下七项“呈现台湾文化与自然多样性；促成典藏内容与科技融入产业、教育、研究与社会发展；建立数位典藏与学习产业；深化数位学习在正规教育及终身学习的应用；奠定语文数位教学的国际地位；推动数位典藏与学习成果国际化、建立国际合作网路”。</w:t>
      </w:r>
    </w:p>
    <w:p w:rsidR="0003128D" w:rsidRPr="00000523" w:rsidRDefault="0003128D" w:rsidP="00000523">
      <w:pPr>
        <w:spacing w:line="360" w:lineRule="auto"/>
        <w:rPr>
          <w:rFonts w:ascii="宋体"/>
        </w:rPr>
      </w:pPr>
      <w:r w:rsidRPr="00000523">
        <w:rPr>
          <w:rFonts w:ascii="宋体" w:hAnsi="宋体" w:hint="eastAsia"/>
        </w:rPr>
        <w:t>（</w:t>
      </w:r>
      <w:r w:rsidRPr="00000523">
        <w:rPr>
          <w:rFonts w:ascii="宋体" w:hAnsi="宋体"/>
        </w:rPr>
        <w:t>3</w:t>
      </w:r>
      <w:r w:rsidRPr="00000523">
        <w:rPr>
          <w:rFonts w:ascii="宋体" w:hAnsi="宋体" w:hint="eastAsia"/>
        </w:rPr>
        <w:t>）参与机构</w:t>
      </w:r>
    </w:p>
    <w:p w:rsidR="0003128D" w:rsidRPr="00000523" w:rsidRDefault="0003128D" w:rsidP="00000523">
      <w:pPr>
        <w:spacing w:line="360" w:lineRule="auto"/>
        <w:ind w:firstLine="420"/>
        <w:rPr>
          <w:rFonts w:ascii="宋体"/>
        </w:rPr>
      </w:pPr>
      <w:r w:rsidRPr="00000523">
        <w:rPr>
          <w:rFonts w:ascii="宋体" w:hAnsi="宋体" w:hint="eastAsia"/>
        </w:rPr>
        <w:t>除民间力量外，主要参与的官方机构有</w:t>
      </w:r>
      <w:r w:rsidRPr="00000523">
        <w:rPr>
          <w:rFonts w:ascii="宋体" w:hAnsi="宋体"/>
        </w:rPr>
        <w:t>8</w:t>
      </w:r>
      <w:r w:rsidRPr="00000523">
        <w:rPr>
          <w:rFonts w:ascii="宋体" w:hAnsi="宋体" w:hint="eastAsia"/>
        </w:rPr>
        <w:t>个，分别为中央研究院、国立自然科学博物馆、国立故宫博物院、国立台湾大学、国立历史博物馆、国史馆、国史馆台湾文献馆、国家图书馆，各自分别有对应负责的计划，这些计划也是数位典藏的主要内容。</w:t>
      </w:r>
    </w:p>
    <w:p w:rsidR="0003128D" w:rsidRPr="00000523" w:rsidRDefault="0003128D" w:rsidP="00000523">
      <w:pPr>
        <w:spacing w:line="360" w:lineRule="auto"/>
        <w:rPr>
          <w:rFonts w:ascii="宋体"/>
        </w:rPr>
      </w:pPr>
    </w:p>
    <w:p w:rsidR="0003128D" w:rsidRPr="00D05752" w:rsidRDefault="0003128D" w:rsidP="00000523">
      <w:pPr>
        <w:spacing w:line="360" w:lineRule="auto"/>
        <w:rPr>
          <w:rFonts w:ascii="宋体"/>
          <w:b/>
        </w:rPr>
      </w:pPr>
      <w:r w:rsidRPr="00D05752">
        <w:rPr>
          <w:rFonts w:ascii="宋体" w:hAnsi="宋体" w:hint="eastAsia"/>
          <w:b/>
        </w:rPr>
        <w:t>二、</w:t>
      </w:r>
      <w:r w:rsidRPr="00D05752">
        <w:rPr>
          <w:rFonts w:ascii="宋体" w:hAnsi="宋体"/>
          <w:b/>
        </w:rPr>
        <w:t xml:space="preserve"> </w:t>
      </w:r>
      <w:r w:rsidRPr="00D05752">
        <w:rPr>
          <w:rFonts w:ascii="宋体" w:hAnsi="宋体" w:hint="eastAsia"/>
          <w:b/>
        </w:rPr>
        <w:t>“国家文化资料库”推动数位人文发展</w:t>
      </w:r>
    </w:p>
    <w:p w:rsidR="0003128D" w:rsidRPr="00000523" w:rsidRDefault="0003128D" w:rsidP="00000523">
      <w:pPr>
        <w:spacing w:line="360" w:lineRule="auto"/>
        <w:ind w:firstLine="420"/>
        <w:rPr>
          <w:rFonts w:ascii="宋体"/>
        </w:rPr>
      </w:pPr>
      <w:r w:rsidRPr="00000523">
        <w:rPr>
          <w:rFonts w:ascii="宋体" w:hAnsi="宋体"/>
        </w:rPr>
        <w:t xml:space="preserve"> </w:t>
      </w:r>
      <w:r w:rsidRPr="00000523">
        <w:rPr>
          <w:rFonts w:ascii="宋体" w:hAnsi="宋体" w:hint="eastAsia"/>
        </w:rPr>
        <w:t>“数位人文”是“人文计算”的发展，形式主要包括机构、期刊、会议三大部分。相比人文计算，数位人文有以下三方面特点：第一，拥有更加庞大的资料量；第二，强调的不只是计算，不认为计算能解答所有人文的问题；第三，重视资料的开放与分享，且努力降低进入领域的门槛。在台湾学界中，数位人文的发展或有着不同的轨迹。“人文计算”在台湾算不上流行，反倒是数位典藏所累积的庞大资源和能量，成为数位人文在台湾发展的动力。</w:t>
      </w:r>
    </w:p>
    <w:p w:rsidR="0003128D" w:rsidRPr="00000523" w:rsidRDefault="0003128D" w:rsidP="00000523">
      <w:pPr>
        <w:spacing w:line="360" w:lineRule="auto"/>
        <w:rPr>
          <w:rFonts w:ascii="宋体"/>
        </w:rPr>
      </w:pPr>
      <w:r w:rsidRPr="00000523">
        <w:rPr>
          <w:rFonts w:ascii="宋体"/>
        </w:rPr>
        <w:tab/>
      </w:r>
      <w:r w:rsidRPr="00000523">
        <w:rPr>
          <w:rFonts w:ascii="宋体" w:hAnsi="宋体" w:hint="eastAsia"/>
        </w:rPr>
        <w:t>“数位典藏国家型计划”的参与单位均为政府机关及学术机构，数位化的内容也集中在珍贵的中华文化藏品与历史档案中，但民间庶民文化的部分就无法提及。因此，台湾的文化建设委员会也于</w:t>
      </w:r>
      <w:r w:rsidRPr="00000523">
        <w:rPr>
          <w:rFonts w:ascii="宋体" w:hAnsi="宋体"/>
        </w:rPr>
        <w:t>2001</w:t>
      </w:r>
      <w:r w:rsidRPr="00000523">
        <w:rPr>
          <w:rFonts w:ascii="宋体" w:hAnsi="宋体" w:hint="eastAsia"/>
        </w:rPr>
        <w:t>年启动另外一项大型数位化计划</w:t>
      </w:r>
      <w:r w:rsidRPr="00000523">
        <w:rPr>
          <w:rFonts w:ascii="宋体" w:hAnsi="宋体"/>
        </w:rPr>
        <w:t>——</w:t>
      </w:r>
      <w:r w:rsidRPr="00000523">
        <w:rPr>
          <w:rFonts w:ascii="宋体" w:hAnsi="宋体" w:hint="eastAsia"/>
        </w:rPr>
        <w:t>“</w:t>
      </w:r>
      <w:r w:rsidRPr="00000523">
        <w:rPr>
          <w:rFonts w:ascii="宋体" w:hAnsi="宋体" w:hint="eastAsia"/>
          <w:b/>
        </w:rPr>
        <w:t>国家文化资料库</w:t>
      </w:r>
      <w:r w:rsidRPr="00000523">
        <w:rPr>
          <w:rFonts w:ascii="宋体" w:hAnsi="宋体" w:hint="eastAsia"/>
        </w:rPr>
        <w:t>”，它与数位典藏国家型计划的不同点在于数位化的对象以台湾的艺术作品、文献与庶民文化为主。目前国家文化资料库数位化文物包括老照片、美术、音乐、戏剧、舞蹈、文学、古文书、电视新闻影像及旧报纸等，共计</w:t>
      </w:r>
      <w:r w:rsidRPr="00000523">
        <w:rPr>
          <w:rFonts w:ascii="宋体" w:hAnsi="宋体"/>
        </w:rPr>
        <w:t>11</w:t>
      </w:r>
      <w:r w:rsidRPr="00000523">
        <w:rPr>
          <w:rFonts w:ascii="宋体" w:hAnsi="宋体" w:hint="eastAsia"/>
        </w:rPr>
        <w:t>大类。</w:t>
      </w:r>
    </w:p>
    <w:p w:rsidR="0003128D" w:rsidRPr="00000523" w:rsidRDefault="0003128D" w:rsidP="00000523">
      <w:pPr>
        <w:widowControl/>
        <w:spacing w:line="360" w:lineRule="auto"/>
        <w:jc w:val="center"/>
        <w:rPr>
          <w:rFonts w:ascii="宋体" w:cs="宋体"/>
          <w:kern w:val="0"/>
          <w:sz w:val="24"/>
          <w:szCs w:val="24"/>
        </w:rPr>
      </w:pPr>
      <w:r w:rsidRPr="00677DA0">
        <w:rPr>
          <w:rFonts w:ascii="宋体" w:cs="宋体"/>
          <w:noProo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54pt;height:213.75pt;visibility:visible">
            <v:imagedata r:id="rId5" o:title=""/>
          </v:shape>
        </w:pict>
      </w:r>
    </w:p>
    <w:p w:rsidR="0003128D" w:rsidRPr="00C56A87" w:rsidRDefault="0003128D" w:rsidP="00000523">
      <w:pPr>
        <w:widowControl/>
        <w:spacing w:line="360" w:lineRule="auto"/>
        <w:jc w:val="center"/>
        <w:rPr>
          <w:rFonts w:ascii="宋体" w:cs="宋体"/>
          <w:kern w:val="0"/>
          <w:sz w:val="24"/>
          <w:szCs w:val="24"/>
        </w:rPr>
      </w:pPr>
      <w:r w:rsidRPr="00677DA0">
        <w:rPr>
          <w:rFonts w:ascii="宋体" w:cs="宋体"/>
          <w:noProof/>
          <w:kern w:val="0"/>
          <w:sz w:val="24"/>
          <w:szCs w:val="24"/>
        </w:rPr>
        <w:pict>
          <v:shape id="图片 2" o:spid="_x0000_i1026" type="#_x0000_t75" style="width:352.5pt;height:213pt;visibility:visible">
            <v:imagedata r:id="rId6" o:title=""/>
          </v:shape>
        </w:pict>
      </w:r>
    </w:p>
    <w:p w:rsidR="0003128D" w:rsidRPr="00234FB1" w:rsidRDefault="0003128D" w:rsidP="00000523">
      <w:pPr>
        <w:widowControl/>
        <w:spacing w:line="360" w:lineRule="auto"/>
        <w:jc w:val="center"/>
        <w:rPr>
          <w:rFonts w:ascii="宋体" w:cs="宋体"/>
          <w:kern w:val="0"/>
          <w:sz w:val="24"/>
          <w:szCs w:val="24"/>
        </w:rPr>
      </w:pPr>
    </w:p>
    <w:p w:rsidR="0003128D" w:rsidRPr="00000523" w:rsidRDefault="0003128D" w:rsidP="00000523">
      <w:pPr>
        <w:spacing w:line="360" w:lineRule="auto"/>
        <w:ind w:firstLine="420"/>
        <w:rPr>
          <w:rFonts w:ascii="宋体"/>
        </w:rPr>
      </w:pPr>
      <w:r w:rsidRPr="00000523">
        <w:rPr>
          <w:rFonts w:ascii="宋体" w:hAnsi="宋体" w:hint="eastAsia"/>
        </w:rPr>
        <w:t>结合数位典藏国家型计划所涵盖的中华文明“大传统”和国家文化资料库涵盖的台湾文化“小传统”，基本上台湾的文化资产和传承已有大概的数位保存与呈现。</w:t>
      </w:r>
    </w:p>
    <w:p w:rsidR="0003128D" w:rsidRPr="00000523" w:rsidRDefault="0003128D" w:rsidP="00000523">
      <w:pPr>
        <w:spacing w:line="360" w:lineRule="auto"/>
        <w:rPr>
          <w:rFonts w:ascii="宋体"/>
        </w:rPr>
      </w:pPr>
      <w:r w:rsidRPr="00000523">
        <w:rPr>
          <w:rFonts w:ascii="宋体"/>
        </w:rPr>
        <w:tab/>
      </w:r>
    </w:p>
    <w:p w:rsidR="0003128D" w:rsidRPr="00D05752" w:rsidRDefault="0003128D" w:rsidP="00D05752">
      <w:pPr>
        <w:pStyle w:val="ListParagraph"/>
        <w:numPr>
          <w:ilvl w:val="0"/>
          <w:numId w:val="5"/>
        </w:numPr>
        <w:spacing w:line="360" w:lineRule="auto"/>
        <w:ind w:firstLineChars="0"/>
        <w:rPr>
          <w:rFonts w:ascii="宋体"/>
          <w:b/>
        </w:rPr>
      </w:pPr>
      <w:r w:rsidRPr="00D05752">
        <w:rPr>
          <w:rFonts w:ascii="宋体" w:hAnsi="宋体" w:hint="eastAsia"/>
          <w:b/>
        </w:rPr>
        <w:t>台湾数位典藏产业的加值系统</w:t>
      </w:r>
    </w:p>
    <w:p w:rsidR="0003128D" w:rsidRPr="00000523" w:rsidRDefault="0003128D" w:rsidP="00000523">
      <w:pPr>
        <w:spacing w:line="360" w:lineRule="auto"/>
        <w:ind w:firstLine="420"/>
        <w:rPr>
          <w:rFonts w:ascii="宋体"/>
        </w:rPr>
      </w:pPr>
      <w:r w:rsidRPr="00000523">
        <w:rPr>
          <w:rFonts w:ascii="宋体" w:hAnsi="宋体" w:hint="eastAsia"/>
        </w:rPr>
        <w:t>台湾数位典藏计划的数字馆藏加值产业链至少包含五个环节，即数字内</w:t>
      </w:r>
      <w:r>
        <w:rPr>
          <w:rFonts w:ascii="宋体" w:hAnsi="宋体" w:hint="eastAsia"/>
        </w:rPr>
        <w:t>容的提供者（数字档案馆）</w:t>
      </w:r>
      <w:r>
        <w:rPr>
          <w:rFonts w:ascii="宋体" w:hAnsi="宋体"/>
        </w:rPr>
        <w:t>——</w:t>
      </w:r>
      <w:r>
        <w:rPr>
          <w:rFonts w:ascii="宋体" w:hAnsi="宋体" w:hint="eastAsia"/>
        </w:rPr>
        <w:t>交易平台管理者</w:t>
      </w:r>
      <w:r>
        <w:rPr>
          <w:rFonts w:ascii="宋体" w:hAnsi="宋体"/>
        </w:rPr>
        <w:t>——</w:t>
      </w:r>
      <w:r>
        <w:rPr>
          <w:rFonts w:ascii="宋体" w:hAnsi="宋体" w:hint="eastAsia"/>
        </w:rPr>
        <w:t>加值利用者</w:t>
      </w:r>
      <w:r>
        <w:rPr>
          <w:rFonts w:ascii="宋体" w:hAnsi="宋体"/>
        </w:rPr>
        <w:t>——</w:t>
      </w:r>
      <w:r w:rsidRPr="00000523">
        <w:rPr>
          <w:rFonts w:ascii="宋体" w:hAnsi="宋体" w:hint="eastAsia"/>
        </w:rPr>
        <w:t>流通商</w:t>
      </w:r>
      <w:r>
        <w:rPr>
          <w:rFonts w:ascii="宋体" w:hAnsi="宋体"/>
        </w:rPr>
        <w:t>——</w:t>
      </w:r>
      <w:r w:rsidRPr="00000523">
        <w:rPr>
          <w:rFonts w:ascii="宋体" w:hAnsi="宋体" w:hint="eastAsia"/>
        </w:rPr>
        <w:t>最终使用者。通过这五个环节，才能最终将数字馆藏资源转化为实际经济效益和社会效益。</w:t>
      </w:r>
      <w:r w:rsidRPr="00000523">
        <w:rPr>
          <w:rFonts w:ascii="宋体" w:hAnsi="宋体"/>
        </w:rPr>
        <w:t xml:space="preserve"> </w:t>
      </w:r>
    </w:p>
    <w:p w:rsidR="0003128D" w:rsidRPr="00000523" w:rsidRDefault="0003128D" w:rsidP="00000523">
      <w:pPr>
        <w:spacing w:line="360" w:lineRule="auto"/>
        <w:ind w:firstLine="420"/>
        <w:rPr>
          <w:rFonts w:ascii="宋体"/>
        </w:rPr>
      </w:pPr>
      <w:r w:rsidRPr="00000523">
        <w:rPr>
          <w:rFonts w:ascii="宋体" w:hAnsi="宋体" w:hint="eastAsia"/>
        </w:rPr>
        <w:t>（</w:t>
      </w:r>
      <w:r w:rsidRPr="00000523">
        <w:rPr>
          <w:rFonts w:ascii="宋体" w:hAnsi="宋体"/>
        </w:rPr>
        <w:t>1</w:t>
      </w:r>
      <w:r w:rsidRPr="00000523">
        <w:rPr>
          <w:rFonts w:ascii="宋体" w:hAnsi="宋体" w:hint="eastAsia"/>
        </w:rPr>
        <w:t>）典藏素材提供。典藏素材的提供者包括公家（档案馆、博物馆等相关文化机构）与民间典藏单位。公家单位如数位典藏国家型科技计划中的机构计划参与者与研究单位、中央与各方文化机构收藏的资料等；民间的文化素材是指属于个人或团体的现代的创作、产业与民间艺术家签约等数据库中的素材。</w:t>
      </w:r>
    </w:p>
    <w:p w:rsidR="0003128D" w:rsidRPr="00000523" w:rsidRDefault="0003128D" w:rsidP="00000523">
      <w:pPr>
        <w:spacing w:line="360" w:lineRule="auto"/>
        <w:ind w:firstLine="420"/>
        <w:rPr>
          <w:rFonts w:ascii="宋体"/>
        </w:rPr>
      </w:pPr>
      <w:r w:rsidRPr="00000523">
        <w:rPr>
          <w:rFonts w:ascii="宋体" w:hAnsi="宋体" w:hint="eastAsia"/>
        </w:rPr>
        <w:t>（</w:t>
      </w:r>
      <w:r w:rsidRPr="00000523">
        <w:rPr>
          <w:rFonts w:ascii="宋体" w:hAnsi="宋体"/>
        </w:rPr>
        <w:t>2</w:t>
      </w:r>
      <w:r w:rsidRPr="00000523">
        <w:rPr>
          <w:rFonts w:ascii="宋体" w:hAnsi="宋体" w:hint="eastAsia"/>
        </w:rPr>
        <w:t>）典藏素材数位化。素材数字化厂商主要包含数位技术厂商与数位财产保护厂商两大类。其中数位技术厂商主要有三种：影像输入，压缩和检索；数位财产保护厂商是指拥有数位水印与数位著作权管理等技术的厂商。</w:t>
      </w:r>
    </w:p>
    <w:p w:rsidR="0003128D" w:rsidRPr="00000523" w:rsidRDefault="0003128D" w:rsidP="00000523">
      <w:pPr>
        <w:spacing w:line="360" w:lineRule="auto"/>
        <w:ind w:firstLine="420"/>
        <w:rPr>
          <w:rFonts w:ascii="宋体"/>
        </w:rPr>
      </w:pPr>
      <w:r w:rsidRPr="00000523">
        <w:rPr>
          <w:rFonts w:ascii="宋体" w:hAnsi="宋体" w:hint="eastAsia"/>
        </w:rPr>
        <w:t>（</w:t>
      </w:r>
      <w:r w:rsidRPr="00000523">
        <w:rPr>
          <w:rFonts w:ascii="宋体" w:hAnsi="宋体"/>
        </w:rPr>
        <w:t>3</w:t>
      </w:r>
      <w:r w:rsidRPr="00000523">
        <w:rPr>
          <w:rFonts w:ascii="宋体" w:hAnsi="宋体" w:hint="eastAsia"/>
        </w:rPr>
        <w:t>）典藏素材授权。商品创意加值商要取得素材的使用权，可以直接与素材提供者接洽商谈取得授权，或是透过专业授权商取得授权。简单描述授权的过程：当他人提出申请授权数位化档案时，数字档案馆方面要确认相关档案是否为机密档案，如果是机密档案，则无法提供授权；如果不是，还要再次清查本馆是否为著作权的所有人或者是否取得原著作权所有人的授权，如果答案是肯定的，就可以对该份档案进行估值，拟定授权合同，签订合同最终完成授权。</w:t>
      </w:r>
    </w:p>
    <w:p w:rsidR="0003128D" w:rsidRPr="00000523" w:rsidRDefault="0003128D" w:rsidP="00000523">
      <w:pPr>
        <w:spacing w:line="360" w:lineRule="auto"/>
        <w:ind w:firstLine="420"/>
        <w:rPr>
          <w:rFonts w:ascii="宋体"/>
        </w:rPr>
      </w:pPr>
      <w:r w:rsidRPr="00000523">
        <w:rPr>
          <w:rFonts w:ascii="宋体" w:hAnsi="宋体" w:hint="eastAsia"/>
        </w:rPr>
        <w:t>（</w:t>
      </w:r>
      <w:r w:rsidRPr="00000523">
        <w:rPr>
          <w:rFonts w:ascii="宋体" w:hAnsi="宋体"/>
        </w:rPr>
        <w:t>4</w:t>
      </w:r>
      <w:r w:rsidRPr="00000523">
        <w:rPr>
          <w:rFonts w:ascii="宋体" w:hAnsi="宋体" w:hint="eastAsia"/>
        </w:rPr>
        <w:t>）商品创意加值。数位典藏经过创意加值成为各种商品，依商品的形态可分为：实体商品和数位商品。</w:t>
      </w:r>
    </w:p>
    <w:p w:rsidR="0003128D" w:rsidRPr="00000523" w:rsidRDefault="0003128D" w:rsidP="00000523">
      <w:pPr>
        <w:spacing w:line="360" w:lineRule="auto"/>
        <w:ind w:firstLine="420"/>
        <w:rPr>
          <w:rFonts w:ascii="宋体"/>
        </w:rPr>
      </w:pPr>
      <w:r w:rsidRPr="00000523">
        <w:rPr>
          <w:rFonts w:ascii="宋体" w:hAnsi="宋体" w:hint="eastAsia"/>
        </w:rPr>
        <w:t>（</w:t>
      </w:r>
      <w:r w:rsidRPr="00000523">
        <w:rPr>
          <w:rFonts w:ascii="宋体" w:hAnsi="宋体"/>
        </w:rPr>
        <w:t>5</w:t>
      </w:r>
      <w:r w:rsidRPr="00000523">
        <w:rPr>
          <w:rFonts w:ascii="宋体" w:hAnsi="宋体" w:hint="eastAsia"/>
        </w:rPr>
        <w:t>）流通路径。素材经过加值应用成为商品后，需通过一定的路径和过程才能到达消费者手中。以该过程是否具有实体店面可分为：实体路径和虚拟路径。</w:t>
      </w:r>
    </w:p>
    <w:p w:rsidR="0003128D" w:rsidRPr="00000523" w:rsidRDefault="0003128D" w:rsidP="00000523">
      <w:pPr>
        <w:spacing w:line="360" w:lineRule="auto"/>
        <w:ind w:firstLine="420"/>
        <w:rPr>
          <w:rFonts w:ascii="宋体"/>
        </w:rPr>
      </w:pPr>
    </w:p>
    <w:p w:rsidR="0003128D" w:rsidRPr="00D05752" w:rsidRDefault="0003128D" w:rsidP="00000523">
      <w:pPr>
        <w:spacing w:line="360" w:lineRule="auto"/>
        <w:rPr>
          <w:rFonts w:ascii="宋体"/>
          <w:b/>
        </w:rPr>
      </w:pPr>
      <w:r w:rsidRPr="00D05752">
        <w:rPr>
          <w:rFonts w:ascii="宋体" w:hAnsi="宋体" w:hint="eastAsia"/>
          <w:b/>
        </w:rPr>
        <w:t>四、台湾数位典藏计划的活化与转换</w:t>
      </w:r>
    </w:p>
    <w:p w:rsidR="0003128D" w:rsidRPr="00000523" w:rsidRDefault="0003128D" w:rsidP="00000523">
      <w:pPr>
        <w:spacing w:line="360" w:lineRule="auto"/>
        <w:rPr>
          <w:rFonts w:ascii="宋体"/>
        </w:rPr>
      </w:pPr>
      <w:r w:rsidRPr="00000523">
        <w:rPr>
          <w:rFonts w:ascii="宋体"/>
        </w:rPr>
        <w:tab/>
      </w:r>
      <w:r w:rsidRPr="00000523">
        <w:rPr>
          <w:rFonts w:ascii="宋体" w:hAnsi="宋体" w:hint="eastAsia"/>
        </w:rPr>
        <w:t>在数位藏品的活化与转换方面，目前台湾已经发展了</w:t>
      </w:r>
      <w:r w:rsidRPr="00000523">
        <w:rPr>
          <w:rFonts w:ascii="宋体" w:hAnsi="宋体"/>
        </w:rPr>
        <w:t>9</w:t>
      </w:r>
      <w:r w:rsidRPr="00000523">
        <w:rPr>
          <w:rFonts w:ascii="宋体" w:hAnsi="宋体" w:hint="eastAsia"/>
        </w:rPr>
        <w:t>种不同的典藏资源再利用模式，包括数位应用系统、数位教材、漫画书、多媒体互动系统、电影、线上游戏、商品、应用软件以及主题网站等多种类型。其他比较典型的数位资源再利用包括利用博物馆的文物，以拟人化的方式拍摄具有戏剧情节的电影，制作适合小学生阅读的社会科学教材，或者与产业机构合作推出文创商品等等。</w:t>
      </w:r>
    </w:p>
    <w:p w:rsidR="0003128D" w:rsidRPr="00000523" w:rsidRDefault="0003128D" w:rsidP="00000523">
      <w:pPr>
        <w:spacing w:line="360" w:lineRule="auto"/>
        <w:rPr>
          <w:rFonts w:ascii="宋体"/>
        </w:rPr>
      </w:pPr>
      <w:r w:rsidRPr="00000523">
        <w:rPr>
          <w:rFonts w:ascii="宋体" w:hAnsi="宋体" w:hint="eastAsia"/>
        </w:rPr>
        <w:t xml:space="preserve">　　活化和转换后的数位典藏资源的展现方式多种多样，最常见的有</w:t>
      </w:r>
      <w:r w:rsidRPr="00000523">
        <w:rPr>
          <w:rFonts w:ascii="宋体" w:hAnsi="宋体"/>
        </w:rPr>
        <w:t>6</w:t>
      </w:r>
      <w:r w:rsidRPr="00000523">
        <w:rPr>
          <w:rFonts w:ascii="宋体" w:hAnsi="宋体" w:hint="eastAsia"/>
        </w:rPr>
        <w:t>种：目录展示、主题展示、在线相册展示、时间轴展示、地图展示和知识网络形式的展示等。以</w:t>
      </w:r>
      <w:r w:rsidRPr="00A27303">
        <w:rPr>
          <w:rFonts w:ascii="宋体" w:hAnsi="宋体" w:hint="eastAsia"/>
          <w:b/>
        </w:rPr>
        <w:t>目录形式</w:t>
      </w:r>
      <w:r w:rsidRPr="00000523">
        <w:rPr>
          <w:rFonts w:ascii="宋体" w:hAnsi="宋体" w:hint="eastAsia"/>
        </w:rPr>
        <w:t>提供检索和搜寻数位典藏藏品服务最为典型的是数位典藏联合目录网站，当查询某个藏品时，该网站会显示出该藏品的图片档案、后设资料、链接会员网站的信息、引用的咨询以及图像授权窗口的资讯等目录性相关资讯，而通过某些链接可以进一步获取原文或原</w:t>
      </w:r>
      <w:r>
        <w:rPr>
          <w:rFonts w:ascii="宋体" w:hAnsi="宋体" w:hint="eastAsia"/>
        </w:rPr>
        <w:t>作品的更为详尽的资讯内容；</w:t>
      </w:r>
      <w:r w:rsidRPr="00A27303">
        <w:rPr>
          <w:rFonts w:ascii="宋体" w:hAnsi="宋体" w:hint="eastAsia"/>
          <w:b/>
        </w:rPr>
        <w:t>主题展示</w:t>
      </w:r>
      <w:r>
        <w:rPr>
          <w:rFonts w:ascii="宋体" w:hAnsi="宋体" w:hint="eastAsia"/>
        </w:rPr>
        <w:t>的核心在于呈现藏品背后的故事；</w:t>
      </w:r>
      <w:r w:rsidRPr="00A27303">
        <w:rPr>
          <w:rFonts w:ascii="宋体" w:hAnsi="宋体" w:hint="eastAsia"/>
          <w:b/>
        </w:rPr>
        <w:t>在线相册</w:t>
      </w:r>
      <w:r>
        <w:rPr>
          <w:rFonts w:ascii="宋体" w:hAnsi="宋体" w:hint="eastAsia"/>
        </w:rPr>
        <w:t>则主要应用网络相册来展示典藏图片；而以</w:t>
      </w:r>
      <w:r w:rsidRPr="00A27303">
        <w:rPr>
          <w:rFonts w:ascii="宋体" w:hAnsi="宋体" w:hint="eastAsia"/>
          <w:b/>
        </w:rPr>
        <w:t>时间轴展示</w:t>
      </w:r>
      <w:r>
        <w:rPr>
          <w:rFonts w:ascii="宋体" w:hAnsi="宋体" w:hint="eastAsia"/>
        </w:rPr>
        <w:t>典藏物件的历史关系，可以拓展使用者感受藏品的视野；</w:t>
      </w:r>
      <w:r w:rsidRPr="00A27303">
        <w:rPr>
          <w:rFonts w:ascii="宋体" w:hAnsi="宋体" w:hint="eastAsia"/>
          <w:b/>
        </w:rPr>
        <w:t>地图展示</w:t>
      </w:r>
      <w:r>
        <w:rPr>
          <w:rFonts w:ascii="宋体" w:hAnsi="宋体" w:hint="eastAsia"/>
        </w:rPr>
        <w:t>以地图的形式呈现藏品物件的采集、分布或迁徙的状态；</w:t>
      </w:r>
      <w:r w:rsidRPr="00A27303">
        <w:rPr>
          <w:rFonts w:ascii="宋体" w:hAnsi="宋体" w:hint="eastAsia"/>
          <w:b/>
        </w:rPr>
        <w:t>知识网络展示</w:t>
      </w:r>
      <w:r w:rsidRPr="00000523">
        <w:rPr>
          <w:rFonts w:ascii="宋体" w:hAnsi="宋体" w:hint="eastAsia"/>
        </w:rPr>
        <w:t>则以知识组织阶层的方式来体现藏品的分类。此外，该计划还积极鼓励各种典藏机构通过公众授权的模式，对数位典藏的利用进行规范，从而让数位藏品能够更加充分地向公众开放，并为公众提供检索和利用。</w:t>
      </w:r>
    </w:p>
    <w:p w:rsidR="0003128D" w:rsidRPr="00000523" w:rsidRDefault="0003128D" w:rsidP="00000523">
      <w:pPr>
        <w:spacing w:line="360" w:lineRule="auto"/>
        <w:ind w:firstLine="420"/>
        <w:rPr>
          <w:rFonts w:ascii="宋体"/>
        </w:rPr>
      </w:pPr>
    </w:p>
    <w:p w:rsidR="0003128D" w:rsidRPr="00D05752" w:rsidRDefault="0003128D" w:rsidP="00000523">
      <w:pPr>
        <w:spacing w:line="360" w:lineRule="auto"/>
        <w:rPr>
          <w:rFonts w:ascii="宋体"/>
          <w:b/>
        </w:rPr>
      </w:pPr>
      <w:r w:rsidRPr="00D05752">
        <w:rPr>
          <w:rFonts w:ascii="宋体" w:hAnsi="宋体" w:hint="eastAsia"/>
          <w:b/>
        </w:rPr>
        <w:t>五、其他地区</w:t>
      </w:r>
      <w:r>
        <w:rPr>
          <w:rFonts w:ascii="宋体" w:hAnsi="宋体" w:hint="eastAsia"/>
          <w:b/>
        </w:rPr>
        <w:t>数位典藏</w:t>
      </w:r>
      <w:r w:rsidRPr="00D05752">
        <w:rPr>
          <w:rFonts w:ascii="宋体" w:hAnsi="宋体" w:hint="eastAsia"/>
          <w:b/>
        </w:rPr>
        <w:t>与台湾之比较</w:t>
      </w:r>
    </w:p>
    <w:p w:rsidR="0003128D" w:rsidRPr="00000523" w:rsidRDefault="0003128D" w:rsidP="004057F7">
      <w:pPr>
        <w:spacing w:line="360" w:lineRule="auto"/>
        <w:ind w:firstLine="420"/>
        <w:rPr>
          <w:rFonts w:ascii="宋体"/>
        </w:rPr>
      </w:pPr>
      <w:r w:rsidRPr="00000523">
        <w:rPr>
          <w:rFonts w:ascii="宋体" w:hAnsi="宋体" w:hint="eastAsia"/>
        </w:rPr>
        <w:t>台湾并非特例，许多国家也同步展开大规模的数位化计划。不过，台湾的数位典藏计划最初以博物馆和学术研究机构为中心；但在许多其他国家，大型图书馆扮演了数位化的先驱角色。比如美国国会图书馆的“美国记忆”，其资料主要集中在与美国历史和文化相关的部分。日本的国会图书馆也于</w:t>
      </w:r>
      <w:r w:rsidRPr="00000523">
        <w:rPr>
          <w:rFonts w:ascii="宋体" w:hAnsi="宋体"/>
        </w:rPr>
        <w:t>1998</w:t>
      </w:r>
      <w:r w:rsidRPr="00000523">
        <w:rPr>
          <w:rFonts w:ascii="宋体" w:hAnsi="宋体" w:hint="eastAsia"/>
        </w:rPr>
        <w:t>年提出“电子图书馆构想”，将馆内明治、大正和昭和前期的图书加以扫描，并提供数位的目录索引。</w:t>
      </w:r>
    </w:p>
    <w:p w:rsidR="0003128D" w:rsidRDefault="0003128D" w:rsidP="00000523">
      <w:pPr>
        <w:spacing w:line="360" w:lineRule="auto"/>
        <w:ind w:firstLine="420"/>
      </w:pPr>
      <w:r w:rsidRPr="00000523">
        <w:rPr>
          <w:rFonts w:ascii="宋体" w:hAnsi="宋体" w:hint="eastAsia"/>
        </w:rPr>
        <w:t>除官方所支持的数位图书馆或数位化计划外，许多商业公司也投身其中，它们所建置的资料库主要由大学或其他公共图书馆所购买，比较典型的例子是两项中国古籍数位化工程，第一项是由香港迪志文化出版公司所推出的“四库全书”。在传统中国的大型丛书中，《四库全书》是第一套被数位化的；第二项是由北京大学等校与北京爱如生公司携手推出的“中国基本古籍库”。</w:t>
      </w:r>
    </w:p>
    <w:p w:rsidR="0003128D" w:rsidRDefault="0003128D" w:rsidP="008C3C1D"/>
    <w:p w:rsidR="0003128D" w:rsidRDefault="0003128D" w:rsidP="008C3C1D"/>
    <w:sectPr w:rsidR="0003128D" w:rsidSect="002F3AC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23AE"/>
    <w:multiLevelType w:val="hybridMultilevel"/>
    <w:tmpl w:val="A0AA2FFE"/>
    <w:lvl w:ilvl="0" w:tplc="3FB8C6B4">
      <w:start w:val="3"/>
      <w:numFmt w:val="japaneseCounting"/>
      <w:lvlText w:val="%1、"/>
      <w:lvlJc w:val="left"/>
      <w:pPr>
        <w:ind w:left="450" w:hanging="45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9A05440"/>
    <w:multiLevelType w:val="hybridMultilevel"/>
    <w:tmpl w:val="795E6D02"/>
    <w:lvl w:ilvl="0" w:tplc="367EE0B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1ED3E30"/>
    <w:multiLevelType w:val="hybridMultilevel"/>
    <w:tmpl w:val="20D259FA"/>
    <w:lvl w:ilvl="0" w:tplc="19BA632C">
      <w:start w:val="3"/>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A757AE1"/>
    <w:multiLevelType w:val="hybridMultilevel"/>
    <w:tmpl w:val="16504C2C"/>
    <w:lvl w:ilvl="0" w:tplc="66424720">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A84739B"/>
    <w:multiLevelType w:val="hybridMultilevel"/>
    <w:tmpl w:val="35462022"/>
    <w:lvl w:ilvl="0" w:tplc="4D0C1CD4">
      <w:start w:val="1"/>
      <w:numFmt w:val="japaneseCounting"/>
      <w:lvlText w:val="%1、"/>
      <w:lvlJc w:val="left"/>
      <w:pPr>
        <w:ind w:left="450" w:hanging="45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06C3"/>
    <w:rsid w:val="00000523"/>
    <w:rsid w:val="00004271"/>
    <w:rsid w:val="000273A3"/>
    <w:rsid w:val="0003128D"/>
    <w:rsid w:val="00061BA2"/>
    <w:rsid w:val="00074AF2"/>
    <w:rsid w:val="001A0470"/>
    <w:rsid w:val="001E5CC6"/>
    <w:rsid w:val="0022000E"/>
    <w:rsid w:val="00234FB1"/>
    <w:rsid w:val="00235F11"/>
    <w:rsid w:val="00280A4A"/>
    <w:rsid w:val="002B3EEF"/>
    <w:rsid w:val="002F3AC9"/>
    <w:rsid w:val="00336CBC"/>
    <w:rsid w:val="003A4F8B"/>
    <w:rsid w:val="004057F7"/>
    <w:rsid w:val="00473309"/>
    <w:rsid w:val="004806C3"/>
    <w:rsid w:val="0052630C"/>
    <w:rsid w:val="00596C9A"/>
    <w:rsid w:val="005A119B"/>
    <w:rsid w:val="005A30ED"/>
    <w:rsid w:val="00646C11"/>
    <w:rsid w:val="006609EB"/>
    <w:rsid w:val="00677A57"/>
    <w:rsid w:val="00677DA0"/>
    <w:rsid w:val="00693756"/>
    <w:rsid w:val="006E163F"/>
    <w:rsid w:val="00791577"/>
    <w:rsid w:val="00851875"/>
    <w:rsid w:val="008C3C1D"/>
    <w:rsid w:val="008C7CF9"/>
    <w:rsid w:val="00954EFA"/>
    <w:rsid w:val="009C202D"/>
    <w:rsid w:val="00A27303"/>
    <w:rsid w:val="00AA1DA7"/>
    <w:rsid w:val="00AB03B3"/>
    <w:rsid w:val="00AE68C2"/>
    <w:rsid w:val="00B37808"/>
    <w:rsid w:val="00B55328"/>
    <w:rsid w:val="00B66802"/>
    <w:rsid w:val="00BA3149"/>
    <w:rsid w:val="00C56A87"/>
    <w:rsid w:val="00C80816"/>
    <w:rsid w:val="00D05752"/>
    <w:rsid w:val="00DA4067"/>
    <w:rsid w:val="00DE7E87"/>
    <w:rsid w:val="00E15FB3"/>
    <w:rsid w:val="00E805BE"/>
    <w:rsid w:val="00F64E1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AC9"/>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7A57"/>
    <w:pPr>
      <w:ind w:firstLineChars="200" w:firstLine="420"/>
    </w:pPr>
  </w:style>
  <w:style w:type="paragraph" w:styleId="BalloonText">
    <w:name w:val="Balloon Text"/>
    <w:basedOn w:val="Normal"/>
    <w:link w:val="BalloonTextChar"/>
    <w:uiPriority w:val="99"/>
    <w:semiHidden/>
    <w:rsid w:val="00234FB1"/>
    <w:rPr>
      <w:sz w:val="18"/>
      <w:szCs w:val="18"/>
    </w:rPr>
  </w:style>
  <w:style w:type="character" w:customStyle="1" w:styleId="BalloonTextChar">
    <w:name w:val="Balloon Text Char"/>
    <w:basedOn w:val="DefaultParagraphFont"/>
    <w:link w:val="BalloonText"/>
    <w:uiPriority w:val="99"/>
    <w:semiHidden/>
    <w:locked/>
    <w:rsid w:val="00234FB1"/>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345866185">
      <w:marLeft w:val="0"/>
      <w:marRight w:val="0"/>
      <w:marTop w:val="0"/>
      <w:marBottom w:val="0"/>
      <w:divBdr>
        <w:top w:val="none" w:sz="0" w:space="0" w:color="auto"/>
        <w:left w:val="none" w:sz="0" w:space="0" w:color="auto"/>
        <w:bottom w:val="none" w:sz="0" w:space="0" w:color="auto"/>
        <w:right w:val="none" w:sz="0" w:space="0" w:color="auto"/>
      </w:divBdr>
    </w:div>
    <w:div w:id="345866186">
      <w:marLeft w:val="0"/>
      <w:marRight w:val="0"/>
      <w:marTop w:val="0"/>
      <w:marBottom w:val="0"/>
      <w:divBdr>
        <w:top w:val="none" w:sz="0" w:space="0" w:color="auto"/>
        <w:left w:val="none" w:sz="0" w:space="0" w:color="auto"/>
        <w:bottom w:val="none" w:sz="0" w:space="0" w:color="auto"/>
        <w:right w:val="none" w:sz="0" w:space="0" w:color="auto"/>
      </w:divBdr>
    </w:div>
    <w:div w:id="345866187">
      <w:marLeft w:val="0"/>
      <w:marRight w:val="0"/>
      <w:marTop w:val="0"/>
      <w:marBottom w:val="0"/>
      <w:divBdr>
        <w:top w:val="none" w:sz="0" w:space="0" w:color="auto"/>
        <w:left w:val="none" w:sz="0" w:space="0" w:color="auto"/>
        <w:bottom w:val="none" w:sz="0" w:space="0" w:color="auto"/>
        <w:right w:val="none" w:sz="0" w:space="0" w:color="auto"/>
      </w:divBdr>
    </w:div>
    <w:div w:id="345866189">
      <w:marLeft w:val="0"/>
      <w:marRight w:val="0"/>
      <w:marTop w:val="0"/>
      <w:marBottom w:val="0"/>
      <w:divBdr>
        <w:top w:val="none" w:sz="0" w:space="0" w:color="auto"/>
        <w:left w:val="none" w:sz="0" w:space="0" w:color="auto"/>
        <w:bottom w:val="none" w:sz="0" w:space="0" w:color="auto"/>
        <w:right w:val="none" w:sz="0" w:space="0" w:color="auto"/>
      </w:divBdr>
      <w:divsChild>
        <w:div w:id="345866190">
          <w:marLeft w:val="0"/>
          <w:marRight w:val="0"/>
          <w:marTop w:val="0"/>
          <w:marBottom w:val="0"/>
          <w:divBdr>
            <w:top w:val="none" w:sz="0" w:space="0" w:color="auto"/>
            <w:left w:val="none" w:sz="0" w:space="0" w:color="auto"/>
            <w:bottom w:val="none" w:sz="0" w:space="0" w:color="auto"/>
            <w:right w:val="none" w:sz="0" w:space="0" w:color="auto"/>
          </w:divBdr>
        </w:div>
      </w:divsChild>
    </w:div>
    <w:div w:id="345866191">
      <w:marLeft w:val="0"/>
      <w:marRight w:val="0"/>
      <w:marTop w:val="0"/>
      <w:marBottom w:val="0"/>
      <w:divBdr>
        <w:top w:val="none" w:sz="0" w:space="0" w:color="auto"/>
        <w:left w:val="none" w:sz="0" w:space="0" w:color="auto"/>
        <w:bottom w:val="none" w:sz="0" w:space="0" w:color="auto"/>
        <w:right w:val="none" w:sz="0" w:space="0" w:color="auto"/>
      </w:divBdr>
    </w:div>
    <w:div w:id="345866192">
      <w:marLeft w:val="0"/>
      <w:marRight w:val="0"/>
      <w:marTop w:val="0"/>
      <w:marBottom w:val="0"/>
      <w:divBdr>
        <w:top w:val="none" w:sz="0" w:space="0" w:color="auto"/>
        <w:left w:val="none" w:sz="0" w:space="0" w:color="auto"/>
        <w:bottom w:val="none" w:sz="0" w:space="0" w:color="auto"/>
        <w:right w:val="none" w:sz="0" w:space="0" w:color="auto"/>
      </w:divBdr>
    </w:div>
    <w:div w:id="345866193">
      <w:marLeft w:val="0"/>
      <w:marRight w:val="0"/>
      <w:marTop w:val="0"/>
      <w:marBottom w:val="0"/>
      <w:divBdr>
        <w:top w:val="none" w:sz="0" w:space="0" w:color="auto"/>
        <w:left w:val="none" w:sz="0" w:space="0" w:color="auto"/>
        <w:bottom w:val="none" w:sz="0" w:space="0" w:color="auto"/>
        <w:right w:val="none" w:sz="0" w:space="0" w:color="auto"/>
      </w:divBdr>
    </w:div>
    <w:div w:id="345866194">
      <w:marLeft w:val="0"/>
      <w:marRight w:val="0"/>
      <w:marTop w:val="0"/>
      <w:marBottom w:val="0"/>
      <w:divBdr>
        <w:top w:val="none" w:sz="0" w:space="0" w:color="auto"/>
        <w:left w:val="none" w:sz="0" w:space="0" w:color="auto"/>
        <w:bottom w:val="none" w:sz="0" w:space="0" w:color="auto"/>
        <w:right w:val="none" w:sz="0" w:space="0" w:color="auto"/>
      </w:divBdr>
    </w:div>
    <w:div w:id="345866195">
      <w:marLeft w:val="0"/>
      <w:marRight w:val="0"/>
      <w:marTop w:val="0"/>
      <w:marBottom w:val="0"/>
      <w:divBdr>
        <w:top w:val="none" w:sz="0" w:space="0" w:color="auto"/>
        <w:left w:val="none" w:sz="0" w:space="0" w:color="auto"/>
        <w:bottom w:val="none" w:sz="0" w:space="0" w:color="auto"/>
        <w:right w:val="none" w:sz="0" w:space="0" w:color="auto"/>
      </w:divBdr>
    </w:div>
    <w:div w:id="345866196">
      <w:marLeft w:val="0"/>
      <w:marRight w:val="0"/>
      <w:marTop w:val="0"/>
      <w:marBottom w:val="0"/>
      <w:divBdr>
        <w:top w:val="none" w:sz="0" w:space="0" w:color="auto"/>
        <w:left w:val="none" w:sz="0" w:space="0" w:color="auto"/>
        <w:bottom w:val="none" w:sz="0" w:space="0" w:color="auto"/>
        <w:right w:val="none" w:sz="0" w:space="0" w:color="auto"/>
      </w:divBdr>
    </w:div>
    <w:div w:id="345866197">
      <w:marLeft w:val="0"/>
      <w:marRight w:val="0"/>
      <w:marTop w:val="0"/>
      <w:marBottom w:val="0"/>
      <w:divBdr>
        <w:top w:val="none" w:sz="0" w:space="0" w:color="auto"/>
        <w:left w:val="none" w:sz="0" w:space="0" w:color="auto"/>
        <w:bottom w:val="none" w:sz="0" w:space="0" w:color="auto"/>
        <w:right w:val="none" w:sz="0" w:space="0" w:color="auto"/>
      </w:divBdr>
      <w:divsChild>
        <w:div w:id="345866188">
          <w:marLeft w:val="0"/>
          <w:marRight w:val="0"/>
          <w:marTop w:val="0"/>
          <w:marBottom w:val="0"/>
          <w:divBdr>
            <w:top w:val="none" w:sz="0" w:space="0" w:color="auto"/>
            <w:left w:val="none" w:sz="0" w:space="0" w:color="auto"/>
            <w:bottom w:val="none" w:sz="0" w:space="0" w:color="auto"/>
            <w:right w:val="none" w:sz="0" w:space="0" w:color="auto"/>
          </w:divBdr>
        </w:div>
      </w:divsChild>
    </w:div>
    <w:div w:id="345866198">
      <w:marLeft w:val="0"/>
      <w:marRight w:val="0"/>
      <w:marTop w:val="0"/>
      <w:marBottom w:val="0"/>
      <w:divBdr>
        <w:top w:val="none" w:sz="0" w:space="0" w:color="auto"/>
        <w:left w:val="none" w:sz="0" w:space="0" w:color="auto"/>
        <w:bottom w:val="none" w:sz="0" w:space="0" w:color="auto"/>
        <w:right w:val="none" w:sz="0" w:space="0" w:color="auto"/>
      </w:divBdr>
    </w:div>
    <w:div w:id="3458661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5</Pages>
  <Words>515</Words>
  <Characters>2942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台湾地区数位典藏相关内容梳理</dc:title>
  <dc:subject/>
  <dc:creator>User</dc:creator>
  <cp:keywords/>
  <dc:description/>
  <cp:lastModifiedBy>李杰</cp:lastModifiedBy>
  <cp:revision>3</cp:revision>
  <dcterms:created xsi:type="dcterms:W3CDTF">2017-10-22T16:15:00Z</dcterms:created>
  <dcterms:modified xsi:type="dcterms:W3CDTF">2017-10-22T16:22:00Z</dcterms:modified>
</cp:coreProperties>
</file>