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rFonts w:ascii="Times New Roman" w:cs="Times New Roman" w:eastAsia="Times New Roman" w:hAnsi="Times New Roman"/>
          <w:b w:val="1"/>
          <w:color w:val="000000"/>
        </w:rPr>
      </w:pPr>
      <w:bookmarkStart w:colFirst="0" w:colLast="0" w:name="_heading=h.3znysh7" w:id="0"/>
      <w:bookmarkEnd w:id="0"/>
      <w:r w:rsidDel="00000000" w:rsidR="00000000" w:rsidRPr="00000000">
        <w:rPr>
          <w:rFonts w:ascii="Times New Roman" w:cs="Times New Roman" w:eastAsia="Times New Roman" w:hAnsi="Times New Roman"/>
          <w:b w:val="1"/>
          <w:color w:val="000000"/>
          <w:rtl w:val="0"/>
        </w:rPr>
        <w:t xml:space="preserve">1 Анализ финансовой деятельности организации ООО «ГТА»</w:t>
      </w:r>
    </w:p>
    <w:p w:rsidR="00000000" w:rsidDel="00000000" w:rsidP="00000000" w:rsidRDefault="00000000" w:rsidRPr="00000000" w14:paraId="00000002">
      <w:pPr>
        <w:pStyle w:val="Heading2"/>
        <w:jc w:val="center"/>
        <w:rPr>
          <w:rFonts w:ascii="Times New Roman" w:cs="Times New Roman" w:eastAsia="Times New Roman" w:hAnsi="Times New Roman"/>
          <w:b w:val="1"/>
          <w:color w:val="000000"/>
          <w:sz w:val="32"/>
          <w:szCs w:val="32"/>
        </w:rPr>
      </w:pPr>
      <w:bookmarkStart w:colFirst="0" w:colLast="0" w:name="_heading=h.2et92p0" w:id="1"/>
      <w:bookmarkEnd w:id="1"/>
      <w:r w:rsidDel="00000000" w:rsidR="00000000" w:rsidRPr="00000000">
        <w:rPr>
          <w:rFonts w:ascii="Times New Roman" w:cs="Times New Roman" w:eastAsia="Times New Roman" w:hAnsi="Times New Roman"/>
          <w:b w:val="1"/>
          <w:color w:val="000000"/>
          <w:sz w:val="32"/>
          <w:szCs w:val="32"/>
          <w:rtl w:val="0"/>
        </w:rPr>
        <w:t xml:space="preserve">1.1 Исследование объекта автоматизации</w:t>
      </w:r>
    </w:p>
    <w:p w:rsidR="00000000" w:rsidDel="00000000" w:rsidP="00000000" w:rsidRDefault="00000000" w:rsidRPr="00000000" w14:paraId="0000000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ООО "ГТА" — это таксомоторный парк, который находится в городе Москва и предоставляет услуги такси для населения и бизнеса в городе и пригороде. Организация была создана в 2015 году. На текущий момент, данная организация предоставляет следующие услуги своим клиентам:</w:t>
      </w:r>
    </w:p>
    <w:p w:rsidR="00000000" w:rsidDel="00000000" w:rsidP="00000000" w:rsidRDefault="00000000" w:rsidRPr="00000000" w14:paraId="00000004">
      <w:pPr>
        <w:numPr>
          <w:ilvl w:val="0"/>
          <w:numId w:val="1"/>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Найм водителей на работу с агрегатором Яндекс. Такси</w:t>
      </w:r>
    </w:p>
    <w:p w:rsidR="00000000" w:rsidDel="00000000" w:rsidP="00000000" w:rsidRDefault="00000000" w:rsidRPr="00000000" w14:paraId="00000005">
      <w:pPr>
        <w:numPr>
          <w:ilvl w:val="0"/>
          <w:numId w:val="1"/>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Аренда автомобилей</w:t>
      </w:r>
    </w:p>
    <w:p w:rsidR="00000000" w:rsidDel="00000000" w:rsidP="00000000" w:rsidRDefault="00000000" w:rsidRPr="00000000" w14:paraId="00000006">
      <w:pPr>
        <w:numPr>
          <w:ilvl w:val="0"/>
          <w:numId w:val="1"/>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Выплаты заработанных денег на счет водителя</w:t>
      </w:r>
    </w:p>
    <w:p w:rsidR="00000000" w:rsidDel="00000000" w:rsidP="00000000" w:rsidRDefault="00000000" w:rsidRPr="00000000" w14:paraId="0000000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организация работает по всей России, водителей можно подключать без собеседований дистанционно в любой город страны.</w:t>
      </w:r>
    </w:p>
    <w:p w:rsidR="00000000" w:rsidDel="00000000" w:rsidP="00000000" w:rsidRDefault="00000000" w:rsidRPr="00000000" w14:paraId="0000000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более комплексного анализа и описания исследуемой организации, необходимо определение ее положения в отрасли легкового такси. Соответственно, первым этапом данного анализа является определение ближайших конкурентов исследуемой организации. Среди ближайших конкурентов можно выделить:</w:t>
      </w:r>
    </w:p>
    <w:p w:rsidR="00000000" w:rsidDel="00000000" w:rsidP="00000000" w:rsidRDefault="00000000" w:rsidRPr="00000000" w14:paraId="00000009">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ООО "Гаражный Комплекс"</w:t>
      </w:r>
    </w:p>
    <w:p w:rsidR="00000000" w:rsidDel="00000000" w:rsidP="00000000" w:rsidRDefault="00000000" w:rsidRPr="00000000" w14:paraId="0000000A">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ООО "Инвест Экспресс"</w:t>
      </w:r>
    </w:p>
    <w:p w:rsidR="00000000" w:rsidDel="00000000" w:rsidP="00000000" w:rsidRDefault="00000000" w:rsidRPr="00000000" w14:paraId="0000000B">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ООО "Леандр"</w:t>
      </w:r>
    </w:p>
    <w:p w:rsidR="00000000" w:rsidDel="00000000" w:rsidP="00000000" w:rsidRDefault="00000000" w:rsidRPr="00000000" w14:paraId="0000000C">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ООО "Элитавто-ДВ"</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отметить, что при выборе ближайших конкурентов организации ООО «ГТА», учитывалось их положение в рейтинге по выручке. После перечисления основных конкурентов исследуемой организации, необходимо определить ее положение на рынке. В целях более результативного анализа, на рисунке 1.1 представлена диаграмма, отражающая положение организации ООО «ГТА» и ее ближайших конкурентов на рынке</w:t>
      </w:r>
    </w:p>
    <w:p w:rsidR="00000000" w:rsidDel="00000000" w:rsidP="00000000" w:rsidRDefault="00000000" w:rsidRPr="00000000" w14:paraId="0000000E">
      <w:pPr>
        <w:spacing w:after="0"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360" w:lineRule="auto"/>
        <w:ind w:firstLine="709"/>
        <w:jc w:val="center"/>
        <w:rPr/>
      </w:pPr>
      <w:r w:rsidDel="00000000" w:rsidR="00000000" w:rsidRPr="00000000">
        <w:rPr>
          <w:rFonts w:ascii="Times New Roman" w:cs="Times New Roman" w:eastAsia="Times New Roman" w:hAnsi="Times New Roman"/>
          <w:sz w:val="28"/>
          <w:szCs w:val="28"/>
        </w:rPr>
        <w:drawing>
          <wp:inline distB="0" distT="0" distL="0" distR="0">
            <wp:extent cx="3667125" cy="3057525"/>
            <wp:effectExtent b="0" l="0" r="0" t="0"/>
            <wp:docPr id="5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67125" cy="3057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spacing w:after="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Положение исследуемой организации на рынке Москвы</w:t>
      </w:r>
    </w:p>
    <w:p w:rsidR="00000000" w:rsidDel="00000000" w:rsidP="00000000" w:rsidRDefault="00000000" w:rsidRPr="00000000" w14:paraId="00000012">
      <w:pPr>
        <w:spacing w:after="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81650" cy="1428750"/>
            <wp:effectExtent b="0" l="0" r="0" t="0"/>
            <wp:docPr id="5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16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Ближайшие конкуренты на рынке по выручке</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диаграммы, представленной на рисунке 1.1 и статистике выручки, представленной на рисунке 1.2, возможно сформулировать ряд следующих выводов:</w:t>
      </w:r>
    </w:p>
    <w:p w:rsidR="00000000" w:rsidDel="00000000" w:rsidP="00000000" w:rsidRDefault="00000000" w:rsidRPr="00000000" w14:paraId="00000015">
      <w:pPr>
        <w:numPr>
          <w:ilvl w:val="0"/>
          <w:numId w:val="3"/>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рынок такси в городе Москва крайне насыщен, т.к. включает в себя не менее 124 компаний, при этом лидирующие позиции в отрасли занимают компании с миллионными показателями выручки.</w:t>
      </w:r>
    </w:p>
    <w:p w:rsidR="00000000" w:rsidDel="00000000" w:rsidP="00000000" w:rsidRDefault="00000000" w:rsidRPr="00000000" w14:paraId="00000016">
      <w:pPr>
        <w:numPr>
          <w:ilvl w:val="0"/>
          <w:numId w:val="3"/>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ООО «ГТА», в совокупности с перечисленными ранее ближайшими конкурентами, занимает менее 2,5% от всего рынка Москвы, что характеризует ее как микропредприятие.</w:t>
      </w:r>
    </w:p>
    <w:p w:rsidR="00000000" w:rsidDel="00000000" w:rsidP="00000000" w:rsidRDefault="00000000" w:rsidRPr="00000000" w14:paraId="00000017">
      <w:pPr>
        <w:numPr>
          <w:ilvl w:val="0"/>
          <w:numId w:val="3"/>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Разрыв исследуемой организации по показателю выручки с ближайшими конкурентами достаточно мал, что говорит о высоком уровне конкуренции в рассматриваемой отрасли.</w:t>
      </w:r>
    </w:p>
    <w:p w:rsidR="00000000" w:rsidDel="00000000" w:rsidP="00000000" w:rsidRDefault="00000000" w:rsidRPr="00000000" w14:paraId="00000018">
      <w:pPr>
        <w:numPr>
          <w:ilvl w:val="0"/>
          <w:numId w:val="3"/>
        </w:numPr>
        <w:spacing w:after="0" w:line="36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компания обладает всеми необходимыми ресурсами для обретения большей востребованности на рынке, что отразится на ее показателях выручки и, соответственно, положении в рейтинге.</w:t>
      </w:r>
    </w:p>
    <w:p w:rsidR="00000000" w:rsidDel="00000000" w:rsidP="00000000" w:rsidRDefault="00000000" w:rsidRPr="00000000" w14:paraId="0000001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приводится основная юридическая информация по исследуемой организации ООО «ГТА»:</w:t>
      </w:r>
    </w:p>
    <w:p w:rsidR="00000000" w:rsidDel="00000000" w:rsidP="00000000" w:rsidRDefault="00000000" w:rsidRPr="00000000" w14:paraId="0000001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Юридический адрес: 123181, город Москва, ул. Исаковского, д. 20 к. 1, кв. 105</w:t>
      </w:r>
    </w:p>
    <w:p w:rsidR="00000000" w:rsidDel="00000000" w:rsidP="00000000" w:rsidRDefault="00000000" w:rsidRPr="00000000" w14:paraId="0000001B">
      <w:pPr>
        <w:spacing w:after="0" w:line="360" w:lineRule="auto"/>
        <w:ind w:firstLine="709"/>
        <w:jc w:val="both"/>
        <w:rPr/>
      </w:pPr>
      <w:r w:rsidDel="00000000" w:rsidR="00000000" w:rsidRPr="00000000">
        <w:rPr>
          <w:rFonts w:ascii="Times New Roman" w:cs="Times New Roman" w:eastAsia="Times New Roman" w:hAnsi="Times New Roman"/>
          <w:sz w:val="28"/>
          <w:szCs w:val="28"/>
          <w:rtl w:val="0"/>
        </w:rPr>
        <w:t xml:space="preserve">Основной вид деятельности: Деятельность легкового такси и арендованных легковых автомобилей с водителем</w:t>
      </w:r>
      <w:r w:rsidDel="00000000" w:rsidR="00000000" w:rsidRPr="00000000">
        <w:rPr>
          <w:rtl w:val="0"/>
        </w:rPr>
      </w:r>
    </w:p>
    <w:p w:rsidR="00000000" w:rsidDel="00000000" w:rsidP="00000000" w:rsidRDefault="00000000" w:rsidRPr="00000000" w14:paraId="0000001C">
      <w:pPr>
        <w:spacing w:after="0" w:line="360" w:lineRule="auto"/>
        <w:ind w:firstLine="709"/>
        <w:jc w:val="both"/>
        <w:rPr/>
      </w:pPr>
      <w:r w:rsidDel="00000000" w:rsidR="00000000" w:rsidRPr="00000000">
        <w:rPr>
          <w:rFonts w:ascii="Times New Roman" w:cs="Times New Roman" w:eastAsia="Times New Roman" w:hAnsi="Times New Roman"/>
          <w:sz w:val="28"/>
          <w:szCs w:val="28"/>
          <w:rtl w:val="0"/>
        </w:rPr>
        <w:t xml:space="preserve">ОГРН: 1157746145732 от 28 февраля 2015 г.</w:t>
      </w:r>
      <w:r w:rsidDel="00000000" w:rsidR="00000000" w:rsidRPr="00000000">
        <w:rPr>
          <w:rtl w:val="0"/>
        </w:rPr>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ИНН/КПП: 7734348267/ 773401001</w:t>
      </w:r>
    </w:p>
    <w:p w:rsidR="00000000" w:rsidDel="00000000" w:rsidP="00000000" w:rsidRDefault="00000000" w:rsidRPr="00000000" w14:paraId="0000001E">
      <w:pPr>
        <w:pStyle w:val="Heading2"/>
        <w:jc w:val="center"/>
        <w:rPr>
          <w:rFonts w:ascii="Times New Roman" w:cs="Times New Roman" w:eastAsia="Times New Roman" w:hAnsi="Times New Roman"/>
          <w:b w:val="1"/>
          <w:color w:val="000000"/>
          <w:sz w:val="32"/>
          <w:szCs w:val="32"/>
        </w:rPr>
      </w:pPr>
      <w:bookmarkStart w:colFirst="0" w:colLast="0" w:name="_heading=h.tyjcwt" w:id="2"/>
      <w:bookmarkEnd w:id="2"/>
      <w:r w:rsidDel="00000000" w:rsidR="00000000" w:rsidRPr="00000000">
        <w:rPr>
          <w:rFonts w:ascii="Times New Roman" w:cs="Times New Roman" w:eastAsia="Times New Roman" w:hAnsi="Times New Roman"/>
          <w:b w:val="1"/>
          <w:color w:val="000000"/>
          <w:sz w:val="32"/>
          <w:szCs w:val="32"/>
          <w:rtl w:val="0"/>
        </w:rPr>
        <w:t xml:space="preserve">1.2. Финансовый анализ организации ООО «ГТА»</w:t>
      </w:r>
    </w:p>
    <w:p w:rsidR="00000000" w:rsidDel="00000000" w:rsidP="00000000" w:rsidRDefault="00000000" w:rsidRPr="00000000" w14:paraId="0000001F">
      <w:pPr>
        <w:spacing w:after="0" w:line="360" w:lineRule="auto"/>
        <w:ind w:firstLine="709"/>
        <w:jc w:val="both"/>
        <w:rPr>
          <w:rFonts w:ascii="Times New Roman" w:cs="Times New Roman" w:eastAsia="Times New Roman" w:hAnsi="Times New Roman"/>
          <w:sz w:val="28"/>
          <w:szCs w:val="28"/>
        </w:rPr>
        <w:sectPr>
          <w:pgSz w:h="16838" w:w="11906" w:orient="portrait"/>
          <w:pgMar w:bottom="851" w:top="851" w:left="1701" w:right="850" w:header="708" w:footer="324"/>
          <w:pgNumType w:start="1"/>
        </w:sectPr>
      </w:pPr>
      <w:r w:rsidDel="00000000" w:rsidR="00000000" w:rsidRPr="00000000">
        <w:rPr>
          <w:rFonts w:ascii="Times New Roman" w:cs="Times New Roman" w:eastAsia="Times New Roman" w:hAnsi="Times New Roman"/>
          <w:sz w:val="28"/>
          <w:szCs w:val="28"/>
          <w:rtl w:val="0"/>
        </w:rPr>
        <w:t xml:space="preserve">Сравнительный аналитический баланс организации ООО «ГТА» за 2020-2022 годы представлен в таблице 1.1.</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Таблица 1.1 – Сравнительный аналитический баланс ООО «ГТА» за 2020-2022 годы </w:t>
      </w:r>
      <w:r w:rsidDel="00000000" w:rsidR="00000000" w:rsidRPr="00000000">
        <w:rPr>
          <w:rFonts w:ascii="Times New Roman" w:cs="Times New Roman" w:eastAsia="Times New Roman" w:hAnsi="Times New Roman"/>
          <w:sz w:val="24"/>
          <w:szCs w:val="24"/>
          <w:rtl w:val="0"/>
        </w:rPr>
        <w:t xml:space="preserve"> </w:t>
      </w:r>
    </w:p>
    <w:tbl>
      <w:tblPr>
        <w:tblStyle w:val="Table1"/>
        <w:tblW w:w="16166.999999999996" w:type="dxa"/>
        <w:jc w:val="left"/>
        <w:tblInd w:w="-572.0" w:type="dxa"/>
        <w:tblLayout w:type="fixed"/>
        <w:tblLook w:val="0400"/>
      </w:tblPr>
      <w:tblGrid>
        <w:gridCol w:w="1560"/>
        <w:gridCol w:w="516"/>
        <w:gridCol w:w="616"/>
        <w:gridCol w:w="616"/>
        <w:gridCol w:w="616"/>
        <w:gridCol w:w="43"/>
        <w:gridCol w:w="753"/>
        <w:gridCol w:w="733"/>
        <w:gridCol w:w="733"/>
        <w:gridCol w:w="733"/>
        <w:gridCol w:w="699"/>
        <w:gridCol w:w="709"/>
        <w:gridCol w:w="516"/>
        <w:gridCol w:w="797"/>
        <w:gridCol w:w="738"/>
        <w:gridCol w:w="851"/>
        <w:gridCol w:w="955"/>
        <w:gridCol w:w="851"/>
        <w:gridCol w:w="833"/>
        <w:gridCol w:w="733"/>
        <w:gridCol w:w="833"/>
        <w:gridCol w:w="733"/>
        <w:tblGridChange w:id="0">
          <w:tblGrid>
            <w:gridCol w:w="1560"/>
            <w:gridCol w:w="516"/>
            <w:gridCol w:w="616"/>
            <w:gridCol w:w="616"/>
            <w:gridCol w:w="616"/>
            <w:gridCol w:w="43"/>
            <w:gridCol w:w="753"/>
            <w:gridCol w:w="733"/>
            <w:gridCol w:w="733"/>
            <w:gridCol w:w="733"/>
            <w:gridCol w:w="699"/>
            <w:gridCol w:w="709"/>
            <w:gridCol w:w="516"/>
            <w:gridCol w:w="797"/>
            <w:gridCol w:w="738"/>
            <w:gridCol w:w="851"/>
            <w:gridCol w:w="955"/>
            <w:gridCol w:w="851"/>
            <w:gridCol w:w="833"/>
            <w:gridCol w:w="733"/>
            <w:gridCol w:w="833"/>
            <w:gridCol w:w="733"/>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Показатели</w:t>
            </w:r>
            <w:r w:rsidDel="00000000" w:rsidR="00000000" w:rsidRPr="00000000">
              <w:rPr>
                <w:vertAlign w:val="superscript"/>
                <w:rtl w:val="0"/>
              </w:rPr>
              <w:t xml:space="preserve"> </w:t>
            </w:r>
            <w:r w:rsidDel="00000000" w:rsidR="00000000" w:rsidRPr="00000000">
              <w:rPr>
                <w:rtl w:val="0"/>
              </w:rPr>
            </w:r>
          </w:p>
        </w:tc>
        <w:tc>
          <w:tcPr>
            <w:gridSpan w:val="4"/>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Абсолютные величины, тысяч рублей</w:t>
            </w:r>
          </w:p>
        </w:tc>
        <w:tc>
          <w:tcPr>
            <w:gridSpan w:val="5"/>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Удельный вес, %</w:t>
            </w:r>
          </w:p>
        </w:tc>
        <w:tc>
          <w:tcPr>
            <w:gridSpan w:val="1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Отклонения</w:t>
            </w:r>
          </w:p>
        </w:tc>
      </w:tr>
      <w:tr>
        <w:trPr>
          <w:cantSplit w:val="0"/>
          <w:trHeight w:val="6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4"/>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Абсолютные величины, тысяч рублей</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Удельного веса,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К величинам на начало года,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К изменению итога баланса, %</w:t>
            </w:r>
          </w:p>
        </w:tc>
      </w:tr>
      <w:tr>
        <w:trPr>
          <w:cantSplit w:val="0"/>
          <w:trHeight w:val="2026"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начало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2021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2022 г.</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начало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2021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2022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2021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2022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2021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2022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2021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2022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2020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2021 г.</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На конец 2022 г.</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r>
      <w:tr>
        <w:trPr>
          <w:cantSplit w:val="0"/>
          <w:trHeight w:val="300" w:hRule="atLeast"/>
          <w:tblHeader w:val="0"/>
        </w:trPr>
        <w:tc>
          <w:tcPr>
            <w:gridSpan w:val="2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Внеоборотные активы</w:t>
            </w:r>
          </w:p>
        </w:tc>
      </w:tr>
      <w:tr>
        <w:trPr>
          <w:cantSplit w:val="0"/>
          <w:trHeight w:val="74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Материальные внеоборотные активы</w:t>
            </w:r>
            <w:r w:rsidDel="00000000" w:rsidR="00000000" w:rsidRPr="00000000">
              <w:rPr>
                <w:vertAlign w:val="superscript"/>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-57,45%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Итог по разделу 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-57,45%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r>
      <w:tr>
        <w:trPr>
          <w:cantSplit w:val="0"/>
          <w:trHeight w:val="300" w:hRule="atLeast"/>
          <w:tblHeader w:val="0"/>
        </w:trPr>
        <w:tc>
          <w:tcPr>
            <w:gridSpan w:val="2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 Оборотные активы</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Запасы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Финансовые и другие оборотные активы</w:t>
            </w:r>
            <w:r w:rsidDel="00000000" w:rsidR="00000000" w:rsidRPr="00000000">
              <w:rPr>
                <w:vertAlign w:val="superscript"/>
                <w:rtl w:val="0"/>
              </w:rPr>
              <w:t xml:space="preserve">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70,1%</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Денежные средства и денежные эквиваленты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29,8%</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Итог по разделу II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БАЛАНС </w:t>
              <w:br w:type="textWrapping"/>
              <w:t xml:space="preserve">(I + II)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bl>
    <w:p w:rsidR="00000000" w:rsidDel="00000000" w:rsidP="00000000" w:rsidRDefault="00000000" w:rsidRPr="00000000" w14:paraId="0000013F">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1.1</w:t>
      </w:r>
    </w:p>
    <w:tbl>
      <w:tblPr>
        <w:tblStyle w:val="Table2"/>
        <w:tblW w:w="15990.999999999996" w:type="dxa"/>
        <w:jc w:val="left"/>
        <w:tblInd w:w="-572.0" w:type="dxa"/>
        <w:tblLayout w:type="fixed"/>
        <w:tblLook w:val="0400"/>
      </w:tblPr>
      <w:tblGrid>
        <w:gridCol w:w="577"/>
        <w:gridCol w:w="132"/>
        <w:gridCol w:w="513"/>
        <w:gridCol w:w="95"/>
        <w:gridCol w:w="80"/>
        <w:gridCol w:w="441"/>
        <w:gridCol w:w="616"/>
        <w:gridCol w:w="243"/>
        <w:gridCol w:w="373"/>
        <w:gridCol w:w="227"/>
        <w:gridCol w:w="531"/>
        <w:gridCol w:w="469"/>
        <w:gridCol w:w="276"/>
        <w:gridCol w:w="724"/>
        <w:gridCol w:w="9"/>
        <w:gridCol w:w="733"/>
        <w:gridCol w:w="58"/>
        <w:gridCol w:w="675"/>
        <w:gridCol w:w="225"/>
        <w:gridCol w:w="400"/>
        <w:gridCol w:w="74"/>
        <w:gridCol w:w="709"/>
        <w:gridCol w:w="417"/>
        <w:gridCol w:w="192"/>
        <w:gridCol w:w="8"/>
        <w:gridCol w:w="801"/>
        <w:gridCol w:w="708"/>
        <w:gridCol w:w="851"/>
        <w:gridCol w:w="850"/>
        <w:gridCol w:w="390"/>
        <w:gridCol w:w="461"/>
        <w:gridCol w:w="833"/>
        <w:gridCol w:w="733"/>
        <w:gridCol w:w="833"/>
        <w:gridCol w:w="734"/>
        <w:tblGridChange w:id="0">
          <w:tblGrid>
            <w:gridCol w:w="577"/>
            <w:gridCol w:w="132"/>
            <w:gridCol w:w="513"/>
            <w:gridCol w:w="95"/>
            <w:gridCol w:w="80"/>
            <w:gridCol w:w="441"/>
            <w:gridCol w:w="616"/>
            <w:gridCol w:w="243"/>
            <w:gridCol w:w="373"/>
            <w:gridCol w:w="227"/>
            <w:gridCol w:w="531"/>
            <w:gridCol w:w="469"/>
            <w:gridCol w:w="276"/>
            <w:gridCol w:w="724"/>
            <w:gridCol w:w="9"/>
            <w:gridCol w:w="733"/>
            <w:gridCol w:w="58"/>
            <w:gridCol w:w="675"/>
            <w:gridCol w:w="225"/>
            <w:gridCol w:w="400"/>
            <w:gridCol w:w="74"/>
            <w:gridCol w:w="709"/>
            <w:gridCol w:w="417"/>
            <w:gridCol w:w="192"/>
            <w:gridCol w:w="8"/>
            <w:gridCol w:w="801"/>
            <w:gridCol w:w="708"/>
            <w:gridCol w:w="851"/>
            <w:gridCol w:w="850"/>
            <w:gridCol w:w="390"/>
            <w:gridCol w:w="461"/>
            <w:gridCol w:w="833"/>
            <w:gridCol w:w="733"/>
            <w:gridCol w:w="833"/>
            <w:gridCol w:w="734"/>
          </w:tblGrid>
        </w:tblGridChange>
      </w:tblGrid>
      <w:tr>
        <w:trPr>
          <w:cantSplit w:val="0"/>
          <w:trHeight w:val="370" w:hRule="atLeast"/>
          <w:tblHeader w:val="0"/>
        </w:trPr>
        <w:tc>
          <w:tcPr>
            <w:gridSpan w:val="3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 Капитал и резервы</w:t>
            </w:r>
          </w:p>
        </w:tc>
      </w:tr>
      <w:tr>
        <w:trPr>
          <w:cantSplit w:val="0"/>
          <w:trHeight w:val="84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Капитал и резервы</w:t>
            </w:r>
            <w:r w:rsidDel="00000000" w:rsidR="00000000" w:rsidRPr="00000000">
              <w:rPr>
                <w:vertAlign w:val="superscript"/>
                <w:rtl w:val="0"/>
              </w:rPr>
              <w:t xml:space="preserve"> 3</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262</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209</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268</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72,4%</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80,4%</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79,5%</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49,1%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63,8%</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76,6%</w:t>
            </w:r>
          </w:p>
        </w:tc>
      </w:tr>
      <w:tr>
        <w:trPr>
          <w:cantSplit w:val="0"/>
          <w:trHeight w:val="600"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Итог по разделу III</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209</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268</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80,4%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79,5%</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76,6%</w:t>
            </w:r>
          </w:p>
        </w:tc>
      </w:tr>
      <w:tr>
        <w:trPr>
          <w:cantSplit w:val="0"/>
          <w:trHeight w:val="347" w:hRule="atLeast"/>
          <w:tblHeader w:val="0"/>
        </w:trPr>
        <w:tc>
          <w:tcPr>
            <w:gridSpan w:val="35"/>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IV. Долгосрочные обязательства</w:t>
            </w:r>
          </w:p>
        </w:tc>
      </w:tr>
      <w:tr>
        <w:trPr>
          <w:cantSplit w:val="0"/>
          <w:trHeight w:val="409"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Долгосрочные заемные средства</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28,5%</w:t>
            </w:r>
          </w:p>
        </w:tc>
      </w:tr>
      <w:tr>
        <w:trPr>
          <w:cantSplit w:val="0"/>
          <w:trHeight w:val="409"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Итог по разделу IV</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28,5%</w:t>
            </w:r>
          </w:p>
        </w:tc>
      </w:tr>
      <w:tr>
        <w:trPr>
          <w:cantSplit w:val="0"/>
          <w:trHeight w:val="300" w:hRule="atLeast"/>
          <w:tblHeader w:val="0"/>
        </w:trPr>
        <w:tc>
          <w:tcPr>
            <w:gridSpan w:val="3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 Краткосрочные обязательства</w:t>
            </w:r>
          </w:p>
        </w:tc>
      </w:tr>
      <w:tr>
        <w:trPr>
          <w:cantSplit w:val="0"/>
          <w:trHeight w:val="600"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Кредиторская задолженность</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w:t>
            </w:r>
          </w:p>
        </w:tc>
      </w:tr>
      <w:tr>
        <w:trPr>
          <w:cantSplit w:val="0"/>
          <w:trHeight w:val="600"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Итог по разделу V</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w:t>
            </w:r>
          </w:p>
        </w:tc>
      </w:tr>
      <w:tr>
        <w:trPr>
          <w:cantSplit w:val="0"/>
          <w:trHeight w:val="600"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БАЛАНС (III + IV +V)</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5">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3">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6">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8">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E">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100%</w:t>
            </w:r>
          </w:p>
        </w:tc>
      </w:tr>
      <w:tr>
        <w:trPr>
          <w:cantSplit w:val="0"/>
          <w:trHeight w:val="1835" w:hRule="atLeast"/>
          <w:tblHeader w:val="0"/>
        </w:trPr>
        <w:tc>
          <w:tcPr>
            <w:tcMar>
              <w:left w:w="10.0" w:type="dxa"/>
              <w:right w:w="10.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tcMar>
              <w:left w:w="10.0" w:type="dxa"/>
              <w:right w:w="10.0" w:type="dxa"/>
            </w:tcMa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8"/>
                <w:szCs w:val="28"/>
                <w:u w:val="none"/>
                <w:shd w:fill="auto" w:val="clear"/>
                <w:vertAlign w:val="baseline"/>
              </w:rPr>
            </w:pPr>
            <w:r w:rsidDel="00000000" w:rsidR="00000000" w:rsidRPr="00000000">
              <w:rPr>
                <w:rtl w:val="0"/>
              </w:rPr>
            </w:r>
          </w:p>
        </w:tc>
        <w:tc>
          <w:tcPr>
            <w:gridSpan w:val="28"/>
            <w:tcMar>
              <w:top w:w="0.0" w:type="dxa"/>
              <w:left w:w="0.0" w:type="dxa"/>
              <w:bottom w:w="0.0" w:type="dxa"/>
              <w:right w:w="0.0" w:type="dxa"/>
            </w:tcMar>
            <w:vAlign w:val="cente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 Включая основные средства, незавершенные капитальные вложения в основные средства.</w:t>
              <w:br w:type="textWrapping"/>
              <w:t xml:space="preserve">2 Включая дебиторскую задолженность.</w:t>
              <w:br w:type="textWrapping"/>
              <w:t xml:space="preserve">3 Некоммерческая организация вместо показателей "Капиталы и резервы" включает "Целевые средства", "Фонд недвижимого и особо ценного движимого имущества и иные целевые фонды".</w:t>
            </w:r>
          </w:p>
        </w:tc>
      </w:tr>
      <w:tr>
        <w:trPr>
          <w:cantSplit w:val="0"/>
          <w:trHeight w:val="20" w:hRule="atLeast"/>
          <w:tblHeader w:val="0"/>
        </w:trPr>
        <w:tc>
          <w:tcPr>
            <w:tcMar>
              <w:left w:w="10.0" w:type="dxa"/>
              <w:right w:w="10.0" w:type="dxa"/>
            </w:tcM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left w:w="10.0" w:type="dxa"/>
              <w:right w:w="10.0" w:type="dxa"/>
            </w:tcMa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2"/>
            <w:tcMar>
              <w:top w:w="0.0" w:type="dxa"/>
              <w:left w:w="0.0" w:type="dxa"/>
              <w:bottom w:w="0.0" w:type="dxa"/>
              <w:right w:w="0.0" w:type="dxa"/>
            </w:tcMar>
          </w:tcPr>
          <w:p w:rsidR="00000000" w:rsidDel="00000000" w:rsidP="00000000" w:rsidRDefault="00000000" w:rsidRPr="00000000" w14:paraId="000002C1">
            <w:pPr>
              <w:rPr/>
            </w:pPr>
            <w:r w:rsidDel="00000000" w:rsidR="00000000" w:rsidRPr="00000000">
              <w:rPr>
                <w:rtl w:val="0"/>
              </w:rPr>
            </w:r>
          </w:p>
        </w:tc>
        <w:tc>
          <w:tcPr>
            <w:tcMar>
              <w:left w:w="10.0" w:type="dxa"/>
              <w:right w:w="10.0" w:type="dxa"/>
            </w:tcM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3"/>
            <w:tcMar>
              <w:left w:w="10.0" w:type="dxa"/>
              <w:right w:w="10.0" w:type="dxa"/>
            </w:tcM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2"/>
            <w:tcMar>
              <w:left w:w="10.0" w:type="dxa"/>
              <w:right w:w="10.0" w:type="dxa"/>
            </w:tcMa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2"/>
            <w:tcMar>
              <w:left w:w="10.0" w:type="dxa"/>
              <w:right w:w="10.0" w:type="dxa"/>
            </w:tcMa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2"/>
            <w:tcMar>
              <w:left w:w="10.0" w:type="dxa"/>
              <w:right w:w="10.0" w:type="dxa"/>
            </w:tcMa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3"/>
            <w:tcMar>
              <w:left w:w="10.0" w:type="dxa"/>
              <w:right w:w="10.0" w:type="dxa"/>
            </w:tcM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2"/>
            <w:tcMar>
              <w:left w:w="10.0" w:type="dxa"/>
              <w:right w:w="10.0" w:type="dxa"/>
            </w:tcMa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tcMar>
              <w:left w:w="10.0" w:type="dxa"/>
              <w:right w:w="10.0" w:type="dxa"/>
            </w:tcMa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3"/>
            <w:tcMar>
              <w:left w:w="10.0" w:type="dxa"/>
              <w:right w:w="10.0" w:type="dxa"/>
            </w:tcMar>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c>
          <w:tcPr>
            <w:gridSpan w:val="2"/>
            <w:tcMar>
              <w:left w:w="10.0" w:type="dxa"/>
              <w:right w:w="10.0" w:type="dxa"/>
            </w:tcMa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nsSerif" w:cs="SansSerif" w:eastAsia="SansSerif" w:hAnsi="SansSerif"/>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D8">
      <w:pPr>
        <w:spacing w:after="0" w:line="360" w:lineRule="auto"/>
        <w:rPr>
          <w:rFonts w:ascii="Times New Roman" w:cs="Times New Roman" w:eastAsia="Times New Roman" w:hAnsi="Times New Roman"/>
          <w:sz w:val="24"/>
          <w:szCs w:val="24"/>
        </w:rPr>
        <w:sectPr>
          <w:type w:val="nextPage"/>
          <w:pgSz w:h="11906" w:w="16838" w:orient="landscape"/>
          <w:pgMar w:bottom="851" w:top="709" w:left="1134" w:right="1134" w:header="709" w:footer="709"/>
        </w:sectPr>
      </w:pPr>
      <w:r w:rsidDel="00000000" w:rsidR="00000000" w:rsidRPr="00000000">
        <w:rPr>
          <w:rtl w:val="0"/>
        </w:rPr>
      </w:r>
    </w:p>
    <w:p w:rsidR="00000000" w:rsidDel="00000000" w:rsidP="00000000" w:rsidRDefault="00000000" w:rsidRPr="00000000" w14:paraId="000002D9">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Выводы по таблице 1.1</w:t>
      </w:r>
    </w:p>
    <w:p w:rsidR="00000000" w:rsidDel="00000000" w:rsidP="00000000" w:rsidRDefault="00000000" w:rsidRPr="00000000" w14:paraId="000002DA">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Структура активов: за рассматриваемый период компания характеризуется изменением структуры активов в пользу оборотных активов, что свидетельствует об активной операционной деятельности и эффективном использовании активов.</w:t>
      </w:r>
    </w:p>
    <w:p w:rsidR="00000000" w:rsidDel="00000000" w:rsidP="00000000" w:rsidRDefault="00000000" w:rsidRPr="00000000" w14:paraId="000002DB">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Уменьшение внеоборотных активов: Материальные внеоборотные активы значительно сократились и в последующие годы отсутствовали, что указывает на стремление компании снизить затраты на поддержание таких активов или пересмотреть бизнес-стратегию.</w:t>
      </w:r>
    </w:p>
    <w:p w:rsidR="00000000" w:rsidDel="00000000" w:rsidP="00000000" w:rsidRDefault="00000000" w:rsidRPr="00000000" w14:paraId="000002DC">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Изменение капитала и резервов: Капитал и резервы фирмы снизились в конце 2020 года, но затем начали расти, достигнув наивысшего значения в конце 2022 года. Это свидетельствует о повышении финансовой устойчивости и накоплении капитала для будущего развития или инвестиций.</w:t>
      </w:r>
    </w:p>
    <w:p w:rsidR="00000000" w:rsidDel="00000000" w:rsidP="00000000" w:rsidRDefault="00000000" w:rsidRPr="00000000" w14:paraId="000002DD">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Изменение обязательств: Кредиторская задолженность снизилась к концу 2020 года, затем немного увеличилась в 2021 году и снова сократилась в 2022 году. Это говорит о стремлении компании к улучшению финансовой позиции и оптимизации управления дебиторской задолженностью.</w:t>
      </w:r>
    </w:p>
    <w:p w:rsidR="00000000" w:rsidDel="00000000" w:rsidP="00000000" w:rsidRDefault="00000000" w:rsidRPr="00000000" w14:paraId="000002DE">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Фирма ООО "ГТА" проявляет устойчивость, эффективно использует активы, увеличивает капитал и сокращает обязательства. Эти факторы указывают на позитивные перспективы и устойчивость компании в будущем.</w:t>
      </w:r>
    </w:p>
    <w:p w:rsidR="00000000" w:rsidDel="00000000" w:rsidP="00000000" w:rsidRDefault="00000000" w:rsidRPr="00000000" w14:paraId="000002DF">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Особое внимание стоит обратить на несколько данных. Первым является </w:t>
      </w:r>
      <w:r w:rsidDel="00000000" w:rsidR="00000000" w:rsidRPr="00000000">
        <w:rPr>
          <w:rFonts w:ascii="Times New Roman" w:cs="Times New Roman" w:eastAsia="Times New Roman" w:hAnsi="Times New Roman"/>
          <w:sz w:val="28"/>
          <w:szCs w:val="28"/>
          <w:rtl w:val="0"/>
        </w:rPr>
        <w:t xml:space="preserve">оценка изменений удельного веса собственных оборотных средств (далее - СОС), соответствующая диаграмма представлена на рисунке</w:t>
      </w:r>
      <w:r w:rsidDel="00000000" w:rsidR="00000000" w:rsidRPr="00000000">
        <w:rPr>
          <w:rtl w:val="0"/>
        </w:rPr>
      </w:r>
    </w:p>
    <w:p w:rsidR="00000000" w:rsidDel="00000000" w:rsidP="00000000" w:rsidRDefault="00000000" w:rsidRPr="00000000" w14:paraId="000002E0">
      <w:pPr>
        <w:spacing w:after="0" w:line="360" w:lineRule="auto"/>
        <w:ind w:firstLine="708"/>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Рисунок 1.3-</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Изменение удельного веса СОС организации ООО «ГТА» за 2020-2022 годы</w:t>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486400" cy="3200400"/>
            <wp:wrapSquare wrapText="bothSides" distB="0" distT="0" distL="114300" distR="114300"/>
            <wp:docPr id="50" name=""/>
            <a:graphic>
              <a:graphicData uri="http://schemas.openxmlformats.org/drawingml/2006/chart">
                <c:chart r:id="rId9"/>
              </a:graphicData>
            </a:graphic>
          </wp:anchor>
        </w:drawing>
      </w:r>
    </w:p>
    <w:p w:rsidR="00000000" w:rsidDel="00000000" w:rsidP="00000000" w:rsidRDefault="00000000" w:rsidRPr="00000000" w14:paraId="000002E1">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 результатам диаграммы </w:t>
      </w:r>
      <w:r w:rsidDel="00000000" w:rsidR="00000000" w:rsidRPr="00000000">
        <w:rPr>
          <w:rFonts w:ascii="Times New Roman" w:cs="Times New Roman" w:eastAsia="Times New Roman" w:hAnsi="Times New Roman"/>
          <w:sz w:val="28"/>
          <w:szCs w:val="28"/>
          <w:rtl w:val="0"/>
        </w:rPr>
        <w:t xml:space="preserve">(рисунок 1.3)</w:t>
      </w:r>
      <w:r w:rsidDel="00000000" w:rsidR="00000000" w:rsidRPr="00000000">
        <w:rPr>
          <w:rFonts w:ascii="Times New Roman" w:cs="Times New Roman" w:eastAsia="Times New Roman" w:hAnsi="Times New Roman"/>
          <w:color w:val="000000"/>
          <w:sz w:val="28"/>
          <w:szCs w:val="28"/>
          <w:rtl w:val="0"/>
        </w:rPr>
        <w:t xml:space="preserve">. сделаем вывод. В случае увеличения удельного веса СОС на 4% в 2020 и 2021 годах, означает что СОС стали занимать большую долю в общей структуре средств обращения с обязательствами. </w:t>
      </w:r>
    </w:p>
    <w:p w:rsidR="00000000" w:rsidDel="00000000" w:rsidP="00000000" w:rsidRDefault="00000000" w:rsidRPr="00000000" w14:paraId="000002E2">
      <w:pPr>
        <w:spacing w:after="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Снижение удельного веса СОС до -0,9% в 2022 году указывает на обратную тенденцию. Доля СОС в структуре средств обращения с обязательствами сократилась, что связано с появлением долгосрочных обязательств.</w:t>
      </w:r>
    </w:p>
    <w:p w:rsidR="00000000" w:rsidDel="00000000" w:rsidP="00000000" w:rsidRDefault="00000000" w:rsidRPr="00000000" w14:paraId="000002E3">
      <w:pPr>
        <w:spacing w:after="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Следующее на что нужно обратить внимание,</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является соотношение темпов роста собственного и заемного капиталов. Соответствующая диаграмма, представлена на рисунке </w:t>
      </w: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tl w:val="0"/>
        </w:rPr>
      </w:r>
    </w:p>
    <w:p w:rsidR="00000000" w:rsidDel="00000000" w:rsidP="00000000" w:rsidRDefault="00000000" w:rsidRPr="00000000" w14:paraId="000002E4">
      <w:pPr>
        <w:spacing w:after="0" w:line="360" w:lineRule="auto"/>
        <w:jc w:val="center"/>
        <w:rPr>
          <w:rFonts w:ascii="Times New Roman" w:cs="Times New Roman" w:eastAsia="Times New Roman" w:hAnsi="Times New Roman"/>
          <w:color w:val="000000"/>
          <w:sz w:val="32"/>
          <w:szCs w:val="32"/>
        </w:rPr>
      </w:pPr>
      <w:r w:rsidDel="00000000" w:rsidR="00000000" w:rsidRPr="00000000">
        <w:rPr/>
        <w:drawing>
          <wp:inline distB="0" distT="0" distL="0" distR="0">
            <wp:extent cx="5513696" cy="3480180"/>
            <wp:docPr id="51"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2E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Рисунок 1.4- </w:t>
      </w:r>
      <w:r w:rsidDel="00000000" w:rsidR="00000000" w:rsidRPr="00000000">
        <w:rPr>
          <w:rFonts w:ascii="Times New Roman" w:cs="Times New Roman" w:eastAsia="Times New Roman" w:hAnsi="Times New Roman"/>
          <w:sz w:val="28"/>
          <w:szCs w:val="28"/>
          <w:rtl w:val="0"/>
        </w:rPr>
        <w:t xml:space="preserve">Соотношение темпов роста капиталов организации</w:t>
      </w:r>
    </w:p>
    <w:p w:rsidR="00000000" w:rsidDel="00000000" w:rsidP="00000000" w:rsidRDefault="00000000" w:rsidRPr="00000000" w14:paraId="000002E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 результатам диаграммы (рисунок 1.4), возможно сформулировать вывод о положительной динамике соотношения капиталов на протяжении всего периода. За рассматриваемый период собственный капитал имел более стабильные темпы роста по сравнению с заемным капиталом. </w:t>
      </w:r>
    </w:p>
    <w:p w:rsidR="00000000" w:rsidDel="00000000" w:rsidP="00000000" w:rsidRDefault="00000000" w:rsidRPr="00000000" w14:paraId="000002E7">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2021 году оба капитала сократились, но заемный капитал сократился значительнее, чем собственный.</w:t>
        <w:tab/>
      </w:r>
    </w:p>
    <w:p w:rsidR="00000000" w:rsidDel="00000000" w:rsidP="00000000" w:rsidRDefault="00000000" w:rsidRPr="00000000" w14:paraId="000002E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2022 году оба капитала возросли, но собственный капитал показал более существенный рост, чем заемный.</w:t>
      </w:r>
    </w:p>
    <w:p w:rsidR="00000000" w:rsidDel="00000000" w:rsidP="00000000" w:rsidRDefault="00000000" w:rsidRPr="00000000" w14:paraId="000002E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финансового анализа организации ООО «ГТА», является оценка ее платежеспособности и ликвидности. Анализ платежеспособности исследуемой компании представлен в таблице 1.2.</w:t>
      </w:r>
    </w:p>
    <w:p w:rsidR="00000000" w:rsidDel="00000000" w:rsidP="00000000" w:rsidRDefault="00000000" w:rsidRPr="00000000" w14:paraId="000002E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1.2 – Показатели платёжеспособности организации за 2020-2022 годы</w:t>
      </w:r>
    </w:p>
    <w:tbl>
      <w:tblPr>
        <w:tblStyle w:val="Table3"/>
        <w:tblW w:w="93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945"/>
        <w:gridCol w:w="1946"/>
        <w:gridCol w:w="1946"/>
        <w:gridCol w:w="1946"/>
        <w:tblGridChange w:id="0">
          <w:tblGrid>
            <w:gridCol w:w="1555"/>
            <w:gridCol w:w="1945"/>
            <w:gridCol w:w="1946"/>
            <w:gridCol w:w="1946"/>
            <w:gridCol w:w="19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Показатели</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Начало 2020 г.</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Конец 2020 г. / Начало 2021 г.</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Конец 2021 г. /</w:t>
              <w:br w:type="textWrapping"/>
              <w:t xml:space="preserve">Начало 2022 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Конец 2022 г.</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ОА</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337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47</w:t>
            </w:r>
            <w:r w:rsidDel="00000000" w:rsidR="00000000" w:rsidRPr="00000000">
              <w:rPr>
                <w:rtl w:val="0"/>
              </w:rPr>
            </w:r>
          </w:p>
        </w:tc>
      </w:tr>
    </w:tbl>
    <w:p w:rsidR="00000000" w:rsidDel="00000000" w:rsidP="00000000" w:rsidRDefault="00000000" w:rsidRPr="00000000" w14:paraId="000002F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проведении оценки платежеспособности организации, установлено, что компания считается платежеспособной, если соотношение между оборотными активами (ОА) и краткосрочными обязательствами (КО) удовлетворяет условию ОА&gt; =КО, Анализируя данные, представленные в таблице 1.3, можно сделать вывод о том, что ООО "ГТА" платежеспособно в течение всего исследуемого периода, начиная с 2020 года и заканчивая 2022 годом.</w:t>
      </w:r>
    </w:p>
    <w:p w:rsidR="00000000" w:rsidDel="00000000" w:rsidP="00000000" w:rsidRDefault="00000000" w:rsidRPr="00000000" w14:paraId="000002F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для определения ликвидности баланса группы актива и пассива сравниваются между собой.</w:t>
      </w:r>
    </w:p>
    <w:p w:rsidR="00000000" w:rsidDel="00000000" w:rsidP="00000000" w:rsidRDefault="00000000" w:rsidRPr="00000000" w14:paraId="000002F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Условия абсолютной ликвидности, следующие:</w:t>
      </w:r>
      <w:r w:rsidDel="00000000" w:rsidR="00000000" w:rsidRPr="00000000">
        <w:rPr>
          <w:rFonts w:ascii="Times New Roman" w:cs="Times New Roman" w:eastAsia="Times New Roman" w:hAnsi="Times New Roman"/>
          <w:b w:val="1"/>
          <w:sz w:val="28"/>
          <w:szCs w:val="28"/>
          <w:rtl w:val="0"/>
        </w:rPr>
        <w:t xml:space="preserve"> А1</w:t>
      </w:r>
      <w:r w:rsidDel="00000000" w:rsidR="00000000" w:rsidRPr="00000000">
        <w:rPr>
          <w:rFonts w:ascii="Times New Roman" w:cs="Times New Roman" w:eastAsia="Times New Roman" w:hAnsi="Times New Roman"/>
          <w:b w:val="1"/>
          <w:sz w:val="28"/>
          <w:szCs w:val="28"/>
        </w:rPr>
        <w:drawing>
          <wp:inline distB="0" distT="0" distL="0" distR="0">
            <wp:extent cx="127000" cy="152400"/>
            <wp:effectExtent b="0" l="0" r="0" t="0"/>
            <wp:docPr id="5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П1; А2</w:t>
      </w:r>
      <w:r w:rsidDel="00000000" w:rsidR="00000000" w:rsidRPr="00000000">
        <w:rPr>
          <w:rFonts w:ascii="Times New Roman" w:cs="Times New Roman" w:eastAsia="Times New Roman" w:hAnsi="Times New Roman"/>
          <w:b w:val="1"/>
          <w:sz w:val="28"/>
          <w:szCs w:val="28"/>
        </w:rPr>
        <w:drawing>
          <wp:inline distB="0" distT="0" distL="0" distR="0">
            <wp:extent cx="127000" cy="152400"/>
            <wp:effectExtent b="0" l="0" r="0" t="0"/>
            <wp:docPr id="5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П2; А3 </w:t>
      </w:r>
      <w:r w:rsidDel="00000000" w:rsidR="00000000" w:rsidRPr="00000000">
        <w:rPr>
          <w:rFonts w:ascii="Times New Roman" w:cs="Times New Roman" w:eastAsia="Times New Roman" w:hAnsi="Times New Roman"/>
          <w:b w:val="1"/>
          <w:sz w:val="28"/>
          <w:szCs w:val="28"/>
        </w:rPr>
        <w:drawing>
          <wp:inline distB="0" distT="0" distL="0" distR="0">
            <wp:extent cx="127000" cy="152400"/>
            <wp:effectExtent b="0" l="0" r="0" t="0"/>
            <wp:docPr id="5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7000" cy="152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ПЗ; А4 &lt;П4</w:t>
      </w:r>
    </w:p>
    <w:p w:rsidR="00000000" w:rsidDel="00000000" w:rsidP="00000000" w:rsidRDefault="00000000" w:rsidRPr="00000000" w14:paraId="000002FD">
      <w:pPr>
        <w:widowControl w:val="0"/>
        <w:spacing w:after="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А1 – быстрореализуемые активы; А2 – средне реализуемые активы; А3 – медленно реализуемые активы; А4 – трудно реализуемые активы; П1 – наиболее срочные обязательства;</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П2 – краткосрочные обязательства; П3 – долгосрочные обязательства; П4 – постоянные обязательства.</w:t>
      </w:r>
    </w:p>
    <w:p w:rsidR="00000000" w:rsidDel="00000000" w:rsidP="00000000" w:rsidRDefault="00000000" w:rsidRPr="00000000" w14:paraId="000002F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таблице 1.3-1.5 представлено сравнение активов и пассивов для определения ликвидности организации.</w:t>
      </w:r>
    </w:p>
    <w:p w:rsidR="00000000" w:rsidDel="00000000" w:rsidP="00000000" w:rsidRDefault="00000000" w:rsidRPr="00000000" w14:paraId="000002F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1.3 – Активы и пассивы организации за 2020 Год </w:t>
      </w:r>
    </w:p>
    <w:tbl>
      <w:tblPr>
        <w:tblStyle w:val="Table4"/>
        <w:tblW w:w="9356.0" w:type="dxa"/>
        <w:jc w:val="left"/>
        <w:tblInd w:w="-5.0" w:type="dxa"/>
        <w:tblLayout w:type="fixed"/>
        <w:tblLook w:val="0400"/>
      </w:tblPr>
      <w:tblGrid>
        <w:gridCol w:w="567"/>
        <w:gridCol w:w="1240"/>
        <w:gridCol w:w="1241"/>
        <w:gridCol w:w="567"/>
        <w:gridCol w:w="1205"/>
        <w:gridCol w:w="1276"/>
        <w:gridCol w:w="1701"/>
        <w:gridCol w:w="1559"/>
        <w:tblGridChange w:id="0">
          <w:tblGrid>
            <w:gridCol w:w="567"/>
            <w:gridCol w:w="1240"/>
            <w:gridCol w:w="1241"/>
            <w:gridCol w:w="567"/>
            <w:gridCol w:w="1205"/>
            <w:gridCol w:w="1276"/>
            <w:gridCol w:w="1701"/>
            <w:gridCol w:w="1559"/>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0">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Начало 2020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Конец 2020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3">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Начало 2020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Конец 2020 г.</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Платежный излишек или </w:t>
              <w:br w:type="textWrapping"/>
              <w:t xml:space="preserve">недостаток</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начало года</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конец года</w:t>
            </w:r>
          </w:p>
        </w:tc>
      </w:tr>
      <w:tr>
        <w:trPr>
          <w:cantSplit w:val="0"/>
          <w:trHeight w:val="63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w:t>
            </w:r>
          </w:p>
        </w:tc>
      </w:tr>
      <w:tr>
        <w:trPr>
          <w:cantSplit w:val="0"/>
          <w:trHeight w:val="4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w:t>
            </w:r>
          </w:p>
        </w:tc>
      </w:tr>
      <w:tr>
        <w:trPr>
          <w:cantSplit w:val="0"/>
          <w:trHeight w:val="4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-242</w:t>
            </w:r>
          </w:p>
        </w:tc>
      </w:tr>
    </w:tbl>
    <w:p w:rsidR="00000000" w:rsidDel="00000000" w:rsidP="00000000" w:rsidRDefault="00000000" w:rsidRPr="00000000" w14:paraId="00000330">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1.4 – Активы и пассивы организации за 2021 Год</w:t>
      </w:r>
    </w:p>
    <w:tbl>
      <w:tblPr>
        <w:tblStyle w:val="Table5"/>
        <w:tblW w:w="9356.0" w:type="dxa"/>
        <w:jc w:val="left"/>
        <w:tblInd w:w="-5.0" w:type="dxa"/>
        <w:tblLayout w:type="fixed"/>
        <w:tblLook w:val="0400"/>
      </w:tblPr>
      <w:tblGrid>
        <w:gridCol w:w="567"/>
        <w:gridCol w:w="1240"/>
        <w:gridCol w:w="1241"/>
        <w:gridCol w:w="567"/>
        <w:gridCol w:w="1205"/>
        <w:gridCol w:w="1276"/>
        <w:gridCol w:w="1701"/>
        <w:gridCol w:w="1559"/>
        <w:tblGridChange w:id="0">
          <w:tblGrid>
            <w:gridCol w:w="567"/>
            <w:gridCol w:w="1240"/>
            <w:gridCol w:w="1241"/>
            <w:gridCol w:w="567"/>
            <w:gridCol w:w="1205"/>
            <w:gridCol w:w="1276"/>
            <w:gridCol w:w="1701"/>
            <w:gridCol w:w="1559"/>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Начало 2021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Конец 2021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Начало 2021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Конец 2021 г.</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Платежный излишек или </w:t>
              <w:br w:type="textWrapping"/>
              <w:t xml:space="preserve">недостаток</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начало года</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конец года</w:t>
            </w:r>
          </w:p>
        </w:tc>
      </w:tr>
      <w:tr>
        <w:trPr>
          <w:cantSplit w:val="0"/>
          <w:trHeight w:val="4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r>
      <w:tr>
        <w:trPr>
          <w:cantSplit w:val="0"/>
          <w:trHeight w:val="42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41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257</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209</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-209</w:t>
            </w:r>
          </w:p>
        </w:tc>
      </w:tr>
    </w:tbl>
    <w:p w:rsidR="00000000" w:rsidDel="00000000" w:rsidP="00000000" w:rsidRDefault="00000000" w:rsidRPr="00000000" w14:paraId="00000362">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1.5– Активы и пассивы организации за 2022 Год</w:t>
      </w:r>
    </w:p>
    <w:tbl>
      <w:tblPr>
        <w:tblStyle w:val="Table6"/>
        <w:tblW w:w="9356.0" w:type="dxa"/>
        <w:jc w:val="left"/>
        <w:tblInd w:w="-5.0" w:type="dxa"/>
        <w:tblLayout w:type="fixed"/>
        <w:tblLook w:val="0400"/>
      </w:tblPr>
      <w:tblGrid>
        <w:gridCol w:w="567"/>
        <w:gridCol w:w="1240"/>
        <w:gridCol w:w="1241"/>
        <w:gridCol w:w="567"/>
        <w:gridCol w:w="1205"/>
        <w:gridCol w:w="1276"/>
        <w:gridCol w:w="1701"/>
        <w:gridCol w:w="1559"/>
        <w:tblGridChange w:id="0">
          <w:tblGrid>
            <w:gridCol w:w="567"/>
            <w:gridCol w:w="1240"/>
            <w:gridCol w:w="1241"/>
            <w:gridCol w:w="567"/>
            <w:gridCol w:w="1205"/>
            <w:gridCol w:w="1276"/>
            <w:gridCol w:w="1701"/>
            <w:gridCol w:w="1559"/>
          </w:tblGrid>
        </w:tblGridChange>
      </w:tblGrid>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Начало 2022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Конец 2022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Начало 2022 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Конец 2022 г.</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Платежный излишек или </w:t>
              <w:br w:type="textWrapping"/>
              <w:t xml:space="preserve">недостаток</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начало года</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 конец года</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56</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8">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9">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B">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235</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-268</w:t>
            </w:r>
          </w:p>
        </w:tc>
      </w:tr>
    </w:tbl>
    <w:p w:rsidR="00000000" w:rsidDel="00000000" w:rsidP="00000000" w:rsidRDefault="00000000" w:rsidRPr="00000000" w14:paraId="0000039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результатов, приведенных в таблицах 1.3-1.5, мы можем проанализировать выполнение условий ликвидности на начало и конец выбранного периода. Результаты для организации ООО "ГТА" в период с 2020 по 2022 годы показывают следующую картину:</w:t>
      </w:r>
    </w:p>
    <w:p w:rsidR="00000000" w:rsidDel="00000000" w:rsidP="00000000" w:rsidRDefault="00000000" w:rsidRPr="00000000" w14:paraId="0000039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Условия ликвидности:</w:t>
      </w:r>
    </w:p>
    <w:p w:rsidR="00000000" w:rsidDel="00000000" w:rsidP="00000000" w:rsidRDefault="00000000" w:rsidRPr="00000000" w14:paraId="0000039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А1&lt;П1; А2&gt; П2; А3&gt; П3; А4&lt;П4</w:t>
      </w:r>
    </w:p>
    <w:p w:rsidR="00000000" w:rsidDel="00000000" w:rsidP="00000000" w:rsidRDefault="00000000" w:rsidRPr="00000000" w14:paraId="0000039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Сравнивая получившийся результат с условиями абсолютной ликвидности, можно заметить, что не соответствует требование – быстро реализуемые активы предприятия превышают наиболее срочные обязательства. Исходя из этого, можно сделать вывод, что предприятие не обладает достаточным количеством активов, которые можно быстро реализовать, для выполнения своих наиболее срочных обязательств.</w:t>
      </w:r>
    </w:p>
    <w:p w:rsidR="00000000" w:rsidDel="00000000" w:rsidP="00000000" w:rsidRDefault="00000000" w:rsidRPr="00000000" w14:paraId="0000039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оценки платежеспособности и ликвидности организации ООО «ГТА», является расчет и описание коэффициентов финансовой ликвидности и платежеспособности. Соответствующие значения представлены в таблице 1.6.</w:t>
      </w:r>
    </w:p>
    <w:p w:rsidR="00000000" w:rsidDel="00000000" w:rsidP="00000000" w:rsidRDefault="00000000" w:rsidRPr="00000000" w14:paraId="0000039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1.6 – Коэффициенты финансовой ликвидности и платежеспособности за 2020-2022 годы</w:t>
      </w:r>
    </w:p>
    <w:tbl>
      <w:tblPr>
        <w:tblStyle w:val="Table7"/>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993"/>
        <w:gridCol w:w="850"/>
        <w:gridCol w:w="425"/>
        <w:gridCol w:w="1795"/>
        <w:gridCol w:w="2221"/>
        <w:gridCol w:w="2221"/>
        <w:tblGridChange w:id="0">
          <w:tblGrid>
            <w:gridCol w:w="1134"/>
            <w:gridCol w:w="993"/>
            <w:gridCol w:w="850"/>
            <w:gridCol w:w="425"/>
            <w:gridCol w:w="1795"/>
            <w:gridCol w:w="2221"/>
            <w:gridCol w:w="2221"/>
          </w:tblGrid>
        </w:tblGridChange>
      </w:tblGrid>
      <w:tr>
        <w:trPr>
          <w:cantSplit w:val="0"/>
          <w:tblHeader w:val="0"/>
        </w:trPr>
        <w:tc>
          <w:tcPr>
            <w:vMerge w:val="restart"/>
            <w:vAlign w:val="center"/>
          </w:tcPr>
          <w:p w:rsidR="00000000" w:rsidDel="00000000" w:rsidP="00000000" w:rsidRDefault="00000000" w:rsidRPr="00000000" w14:paraId="000003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Показатель</w:t>
            </w:r>
          </w:p>
        </w:tc>
        <w:tc>
          <w:tcPr>
            <w:vMerge w:val="restart"/>
            <w:vAlign w:val="center"/>
          </w:tcPr>
          <w:p w:rsidR="00000000" w:rsidDel="00000000" w:rsidP="00000000" w:rsidRDefault="00000000" w:rsidRPr="00000000" w14:paraId="000003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Расчёт</w:t>
            </w:r>
          </w:p>
        </w:tc>
        <w:tc>
          <w:tcPr>
            <w:vMerge w:val="restart"/>
            <w:vAlign w:val="center"/>
          </w:tcPr>
          <w:p w:rsidR="00000000" w:rsidDel="00000000" w:rsidP="00000000" w:rsidRDefault="00000000" w:rsidRPr="00000000" w14:paraId="000003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w:t>
            </w:r>
          </w:p>
          <w:p w:rsidR="00000000" w:rsidDel="00000000" w:rsidP="00000000" w:rsidRDefault="00000000" w:rsidRPr="00000000" w14:paraId="000003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w:t>
            </w:r>
          </w:p>
        </w:tc>
        <w:tc>
          <w:tcPr>
            <w:gridSpan w:val="4"/>
            <w:vAlign w:val="center"/>
          </w:tcPr>
          <w:p w:rsidR="00000000" w:rsidDel="00000000" w:rsidP="00000000" w:rsidRDefault="00000000" w:rsidRPr="00000000" w14:paraId="000003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показателей на конец периода и их интерпретация</w:t>
            </w:r>
          </w:p>
        </w:tc>
      </w:tr>
      <w:tr>
        <w:trPr>
          <w:cantSplit w:val="0"/>
          <w:tblHeader w:val="0"/>
        </w:trPr>
        <w:tc>
          <w:tcPr>
            <w:vMerge w:val="continue"/>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3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г.</w:t>
            </w:r>
          </w:p>
        </w:tc>
        <w:tc>
          <w:tcPr>
            <w:vAlign w:val="center"/>
          </w:tcPr>
          <w:p w:rsidR="00000000" w:rsidDel="00000000" w:rsidP="00000000" w:rsidRDefault="00000000" w:rsidRPr="00000000" w14:paraId="000003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2021г.</w:t>
            </w:r>
          </w:p>
        </w:tc>
        <w:tc>
          <w:tcPr>
            <w:vAlign w:val="center"/>
          </w:tcPr>
          <w:p w:rsidR="00000000" w:rsidDel="00000000" w:rsidP="00000000" w:rsidRDefault="00000000" w:rsidRPr="00000000" w14:paraId="000003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г.</w:t>
            </w:r>
          </w:p>
        </w:tc>
      </w:tr>
      <w:tr>
        <w:trPr>
          <w:cantSplit w:val="1"/>
          <w:trHeight w:val="2400" w:hRule="atLeast"/>
          <w:tblHeader w:val="0"/>
        </w:trPr>
        <w:tc>
          <w:tcPr>
            <w:vAlign w:val="center"/>
          </w:tcPr>
          <w:p w:rsidR="00000000" w:rsidDel="00000000" w:rsidP="00000000" w:rsidRDefault="00000000" w:rsidRPr="00000000" w14:paraId="000003A9">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(текущая) </w:t>
              <w:br w:type="textWrapping"/>
              <w:t xml:space="preserve">ликвидность</w:t>
            </w:r>
          </w:p>
        </w:tc>
        <w:tc>
          <w:tcPr>
            <w:vAlign w:val="center"/>
          </w:tcPr>
          <w:p w:rsidR="00000000" w:rsidDel="00000000" w:rsidP="00000000" w:rsidRDefault="00000000" w:rsidRPr="00000000" w14:paraId="000003AA">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1200/(1510+1520)</w:t>
            </w:r>
          </w:p>
        </w:tc>
        <w:tc>
          <w:tcPr>
            <w:vAlign w:val="center"/>
          </w:tcPr>
          <w:p w:rsidR="00000000" w:rsidDel="00000000" w:rsidP="00000000" w:rsidRDefault="00000000" w:rsidRPr="00000000" w14:paraId="000003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c>
          <w:tcPr>
            <w:gridSpan w:val="2"/>
            <w:vAlign w:val="center"/>
          </w:tcPr>
          <w:p w:rsidR="00000000" w:rsidDel="00000000" w:rsidP="00000000" w:rsidRDefault="00000000" w:rsidRPr="00000000" w14:paraId="000003A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3,98</w:t>
            </w:r>
          </w:p>
          <w:p w:rsidR="00000000" w:rsidDel="00000000" w:rsidP="00000000" w:rsidRDefault="00000000" w:rsidRPr="00000000" w14:paraId="000003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хорошую общую ликвидность предприятия.</w:t>
            </w:r>
          </w:p>
        </w:tc>
        <w:tc>
          <w:tcPr>
            <w:vAlign w:val="center"/>
          </w:tcPr>
          <w:p w:rsidR="00000000" w:rsidDel="00000000" w:rsidP="00000000" w:rsidRDefault="00000000" w:rsidRPr="00000000" w14:paraId="000003A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5,09</w:t>
            </w:r>
          </w:p>
          <w:p w:rsidR="00000000" w:rsidDel="00000000" w:rsidP="00000000" w:rsidRDefault="00000000" w:rsidRPr="00000000" w14:paraId="000003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свидетельствует о высокой общей ликвидности</w:t>
            </w:r>
          </w:p>
        </w:tc>
        <w:tc>
          <w:tcPr>
            <w:vAlign w:val="center"/>
          </w:tcPr>
          <w:p w:rsidR="00000000" w:rsidDel="00000000" w:rsidP="00000000" w:rsidRDefault="00000000" w:rsidRPr="00000000" w14:paraId="000003B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7,17</w:t>
            </w:r>
          </w:p>
          <w:p w:rsidR="00000000" w:rsidDel="00000000" w:rsidP="00000000" w:rsidRDefault="00000000" w:rsidRPr="00000000" w14:paraId="000003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подтверждает устойчивую общую ликвидность предприятия.</w:t>
            </w:r>
          </w:p>
        </w:tc>
      </w:tr>
      <w:tr>
        <w:trPr>
          <w:cantSplit w:val="1"/>
          <w:trHeight w:val="416" w:hRule="atLeast"/>
          <w:tblHeader w:val="0"/>
        </w:trPr>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3B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таблицы 1.6</w:t>
            </w:r>
          </w:p>
        </w:tc>
      </w:tr>
      <w:tr>
        <w:trPr>
          <w:cantSplit w:val="1"/>
          <w:trHeight w:val="2260" w:hRule="atLeast"/>
          <w:tblHeader w:val="0"/>
        </w:trPr>
        <w:tc>
          <w:tcPr>
            <w:vAlign w:val="center"/>
          </w:tcPr>
          <w:p w:rsidR="00000000" w:rsidDel="00000000" w:rsidP="00000000" w:rsidRDefault="00000000" w:rsidRPr="00000000" w14:paraId="000003B7">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Срочная (промежуточная ликвидность) ликвидность</w:t>
            </w:r>
          </w:p>
        </w:tc>
        <w:tc>
          <w:tcPr>
            <w:vAlign w:val="center"/>
          </w:tcPr>
          <w:p w:rsidR="00000000" w:rsidDel="00000000" w:rsidP="00000000" w:rsidRDefault="00000000" w:rsidRPr="00000000" w14:paraId="000003B8">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1250/(1510+1520)</w:t>
            </w:r>
          </w:p>
        </w:tc>
        <w:tc>
          <w:tcPr>
            <w:vAlign w:val="center"/>
          </w:tcPr>
          <w:p w:rsidR="00000000" w:rsidDel="00000000" w:rsidP="00000000" w:rsidRDefault="00000000" w:rsidRPr="00000000" w14:paraId="000003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0,7 - 0,8</w:t>
            </w:r>
          </w:p>
          <w:p w:rsidR="00000000" w:rsidDel="00000000" w:rsidP="00000000" w:rsidRDefault="00000000" w:rsidRPr="00000000" w14:paraId="000003BA">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3B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w:t>
            </w:r>
          </w:p>
          <w:p w:rsidR="00000000" w:rsidDel="00000000" w:rsidP="00000000" w:rsidRDefault="00000000" w:rsidRPr="00000000" w14:paraId="000003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ограничения в платежеспособности предприятия на срочной основе</w:t>
            </w:r>
          </w:p>
        </w:tc>
        <w:tc>
          <w:tcPr>
            <w:vAlign w:val="center"/>
          </w:tcPr>
          <w:p w:rsidR="00000000" w:rsidDel="00000000" w:rsidP="00000000" w:rsidRDefault="00000000" w:rsidRPr="00000000" w14:paraId="000003B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0,01</w:t>
            </w:r>
          </w:p>
          <w:p w:rsidR="00000000" w:rsidDel="00000000" w:rsidP="00000000" w:rsidRDefault="00000000" w:rsidRPr="00000000" w14:paraId="000003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ограничения в платежеспособности предприятия на срочной основе</w:t>
            </w:r>
          </w:p>
        </w:tc>
        <w:tc>
          <w:tcPr>
            <w:vAlign w:val="center"/>
          </w:tcPr>
          <w:p w:rsidR="00000000" w:rsidDel="00000000" w:rsidP="00000000" w:rsidRDefault="00000000" w:rsidRPr="00000000" w14:paraId="000003C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0,5</w:t>
            </w:r>
          </w:p>
          <w:p w:rsidR="00000000" w:rsidDel="00000000" w:rsidP="00000000" w:rsidRDefault="00000000" w:rsidRPr="00000000" w14:paraId="000003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равно остается ниже рекомендуемого диапазона, указывая на продолжающиеся ограничения в срочной ликвидности.</w:t>
            </w:r>
          </w:p>
        </w:tc>
      </w:tr>
      <w:tr>
        <w:trPr>
          <w:cantSplit w:val="1"/>
          <w:trHeight w:val="2547" w:hRule="atLeast"/>
          <w:tblHeader w:val="0"/>
        </w:trPr>
        <w:tc>
          <w:tcPr>
            <w:vAlign w:val="center"/>
          </w:tcPr>
          <w:p w:rsidR="00000000" w:rsidDel="00000000" w:rsidP="00000000" w:rsidRDefault="00000000" w:rsidRPr="00000000" w14:paraId="000003C2">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Абсолютная (быстрая) ликвидность</w:t>
            </w:r>
          </w:p>
        </w:tc>
        <w:tc>
          <w:tcPr>
            <w:vAlign w:val="center"/>
          </w:tcPr>
          <w:p w:rsidR="00000000" w:rsidDel="00000000" w:rsidP="00000000" w:rsidRDefault="00000000" w:rsidRPr="00000000" w14:paraId="000003C3">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(1250+1240)/ (1510+1520)</w:t>
            </w:r>
          </w:p>
        </w:tc>
        <w:tc>
          <w:tcPr>
            <w:vAlign w:val="center"/>
          </w:tcPr>
          <w:p w:rsidR="00000000" w:rsidDel="00000000" w:rsidP="00000000" w:rsidRDefault="00000000" w:rsidRPr="00000000" w14:paraId="000003C4">
            <w:pPr>
              <w:spacing w:after="0" w:line="240" w:lineRule="auto"/>
              <w:jc w:val="center"/>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 0,2</w:t>
                </w:r>
              </w:sdtContent>
            </w:sdt>
          </w:p>
          <w:p w:rsidR="00000000" w:rsidDel="00000000" w:rsidP="00000000" w:rsidRDefault="00000000" w:rsidRPr="00000000" w14:paraId="000003C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3C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w:t>
            </w:r>
          </w:p>
          <w:p w:rsidR="00000000" w:rsidDel="00000000" w:rsidP="00000000" w:rsidRDefault="00000000" w:rsidRPr="00000000" w14:paraId="000003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отсутствие быстрореализуемых активов для покрытия обязательств.</w:t>
            </w:r>
          </w:p>
        </w:tc>
        <w:tc>
          <w:tcPr>
            <w:vAlign w:val="center"/>
          </w:tcPr>
          <w:p w:rsidR="00000000" w:rsidDel="00000000" w:rsidP="00000000" w:rsidRDefault="00000000" w:rsidRPr="00000000" w14:paraId="000003C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0,01</w:t>
            </w:r>
          </w:p>
          <w:p w:rsidR="00000000" w:rsidDel="00000000" w:rsidP="00000000" w:rsidRDefault="00000000" w:rsidRPr="00000000" w14:paraId="000003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равно остается очень низким.</w:t>
            </w:r>
          </w:p>
        </w:tc>
        <w:tc>
          <w:tcPr>
            <w:vAlign w:val="center"/>
          </w:tcPr>
          <w:p w:rsidR="00000000" w:rsidDel="00000000" w:rsidP="00000000" w:rsidRDefault="00000000" w:rsidRPr="00000000" w14:paraId="000003C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0,51</w:t>
            </w:r>
          </w:p>
          <w:p w:rsidR="00000000" w:rsidDel="00000000" w:rsidP="00000000" w:rsidRDefault="00000000" w:rsidRPr="00000000" w14:paraId="000003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еще ниже рекомендуемого значения, но указывает на некоторое улучшение в наличии быстрореализуемых активов.</w:t>
            </w:r>
          </w:p>
        </w:tc>
      </w:tr>
      <w:tr>
        <w:trPr>
          <w:cantSplit w:val="1"/>
          <w:trHeight w:val="2259" w:hRule="atLeast"/>
          <w:tblHeader w:val="0"/>
        </w:trPr>
        <w:tc>
          <w:tcPr>
            <w:vAlign w:val="center"/>
          </w:tcPr>
          <w:p w:rsidR="00000000" w:rsidDel="00000000" w:rsidP="00000000" w:rsidRDefault="00000000" w:rsidRPr="00000000" w14:paraId="000003CD">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собственной платежеспособности (Ксп)</w:t>
            </w:r>
          </w:p>
        </w:tc>
        <w:tc>
          <w:tcPr>
            <w:vAlign w:val="center"/>
          </w:tcPr>
          <w:p w:rsidR="00000000" w:rsidDel="00000000" w:rsidP="00000000" w:rsidRDefault="00000000" w:rsidRPr="00000000" w14:paraId="000003CE">
            <w:pPr>
              <w:spacing w:after="0" w:line="240"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1300/(1520 + 1510 + 1550 + 1400)</w:t>
            </w:r>
          </w:p>
        </w:tc>
        <w:tc>
          <w:tcPr>
            <w:vAlign w:val="center"/>
          </w:tcPr>
          <w:p w:rsidR="00000000" w:rsidDel="00000000" w:rsidP="00000000" w:rsidRDefault="00000000" w:rsidRPr="00000000" w14:paraId="000003CF">
            <w:pPr>
              <w:spacing w:after="0" w:line="240" w:lineRule="auto"/>
              <w:jc w:val="center"/>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 1</w:t>
                </w:r>
              </w:sdtContent>
            </w:sdt>
          </w:p>
        </w:tc>
        <w:tc>
          <w:tcPr>
            <w:gridSpan w:val="2"/>
            <w:vAlign w:val="center"/>
          </w:tcPr>
          <w:p w:rsidR="00000000" w:rsidDel="00000000" w:rsidP="00000000" w:rsidRDefault="00000000" w:rsidRPr="00000000" w14:paraId="000003D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3,23</w:t>
            </w:r>
          </w:p>
          <w:p w:rsidR="00000000" w:rsidDel="00000000" w:rsidP="00000000" w:rsidRDefault="00000000" w:rsidRPr="00000000" w14:paraId="000003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указывая на хорошую платежеспособность предприятия на основе собственных средств.</w:t>
            </w:r>
          </w:p>
        </w:tc>
        <w:tc>
          <w:tcPr>
            <w:vAlign w:val="center"/>
          </w:tcPr>
          <w:p w:rsidR="00000000" w:rsidDel="00000000" w:rsidP="00000000" w:rsidRDefault="00000000" w:rsidRPr="00000000" w14:paraId="000003D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4,09</w:t>
            </w:r>
          </w:p>
          <w:p w:rsidR="00000000" w:rsidDel="00000000" w:rsidP="00000000" w:rsidRDefault="00000000" w:rsidRPr="00000000" w14:paraId="000003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подтверждая стабильность платежеспособности предприятия.</w:t>
            </w:r>
          </w:p>
        </w:tc>
        <w:tc>
          <w:tcPr>
            <w:vAlign w:val="center"/>
          </w:tcPr>
          <w:p w:rsidR="00000000" w:rsidDel="00000000" w:rsidP="00000000" w:rsidRDefault="00000000" w:rsidRPr="00000000" w14:paraId="000003D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5,7</w:t>
            </w:r>
          </w:p>
          <w:p w:rsidR="00000000" w:rsidDel="00000000" w:rsidP="00000000" w:rsidRDefault="00000000" w:rsidRPr="00000000" w14:paraId="000003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продолжает расти, что указывает на укрепление платежеспособности на основе собственных средств.</w:t>
            </w:r>
          </w:p>
        </w:tc>
      </w:tr>
    </w:tbl>
    <w:p w:rsidR="00000000" w:rsidDel="00000000" w:rsidP="00000000" w:rsidRDefault="00000000" w:rsidRPr="00000000" w14:paraId="000003D7">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общая ликвидность и платежеспособность предприятия остаются на высоком уровне на протяжении рассматриваемого периода, однако наблюдаются ограничения в срочной и абсолютной ликвидности. Коэффициент собственной платежеспособности показывает устойчивый рост, что свидетельствует о хорошей финансовой основе предприятия.</w:t>
      </w:r>
    </w:p>
    <w:p w:rsidR="00000000" w:rsidDel="00000000" w:rsidP="00000000" w:rsidRDefault="00000000" w:rsidRPr="00000000" w14:paraId="000003D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1.7-</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Абсолютные показатели финансовой устойчивости за 2020-2022 год</w:t>
      </w:r>
    </w:p>
    <w:tbl>
      <w:tblPr>
        <w:tblStyle w:val="Table8"/>
        <w:tblW w:w="934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1822"/>
        <w:gridCol w:w="1327"/>
        <w:gridCol w:w="1328"/>
        <w:gridCol w:w="1328"/>
        <w:tblGridChange w:id="0">
          <w:tblGrid>
            <w:gridCol w:w="3544"/>
            <w:gridCol w:w="1822"/>
            <w:gridCol w:w="1327"/>
            <w:gridCol w:w="1328"/>
            <w:gridCol w:w="1328"/>
          </w:tblGrid>
        </w:tblGridChange>
      </w:tblGrid>
      <w:tr>
        <w:trPr>
          <w:cantSplit w:val="0"/>
          <w:trHeight w:val="244" w:hRule="atLeast"/>
          <w:tblHeader w:val="0"/>
        </w:trPr>
        <w:tc>
          <w:tcPr>
            <w:vMerge w:val="restart"/>
            <w:vAlign w:val="center"/>
          </w:tcPr>
          <w:p w:rsidR="00000000" w:rsidDel="00000000" w:rsidP="00000000" w:rsidRDefault="00000000" w:rsidRPr="00000000" w14:paraId="000003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Показатель</w:t>
            </w:r>
          </w:p>
        </w:tc>
        <w:tc>
          <w:tcPr>
            <w:vMerge w:val="restart"/>
            <w:vAlign w:val="center"/>
          </w:tcPr>
          <w:p w:rsidR="00000000" w:rsidDel="00000000" w:rsidP="00000000" w:rsidRDefault="00000000" w:rsidRPr="00000000" w14:paraId="000003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w:t>
            </w:r>
          </w:p>
        </w:tc>
        <w:tc>
          <w:tcPr>
            <w:gridSpan w:val="3"/>
            <w:vAlign w:val="center"/>
          </w:tcPr>
          <w:p w:rsidR="00000000" w:rsidDel="00000000" w:rsidP="00000000" w:rsidRDefault="00000000" w:rsidRPr="00000000" w14:paraId="000003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показателя на конец </w:t>
              <w:br w:type="textWrapping"/>
              <w:t xml:space="preserve">отчётного периода</w:t>
            </w:r>
          </w:p>
        </w:tc>
      </w:tr>
      <w:tr>
        <w:trPr>
          <w:cantSplit w:val="0"/>
          <w:trHeight w:val="70" w:hRule="atLeast"/>
          <w:tblHeader w:val="0"/>
        </w:trPr>
        <w:tc>
          <w:tcPr>
            <w:vMerge w:val="continue"/>
            <w:vAlign w:val="cente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г.</w:t>
            </w:r>
          </w:p>
        </w:tc>
        <w:tc>
          <w:tcPr>
            <w:vAlign w:val="center"/>
          </w:tcPr>
          <w:p w:rsidR="00000000" w:rsidDel="00000000" w:rsidP="00000000" w:rsidRDefault="00000000" w:rsidRPr="00000000" w14:paraId="000003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г.</w:t>
            </w:r>
          </w:p>
        </w:tc>
        <w:tc>
          <w:tcPr>
            <w:vAlign w:val="center"/>
          </w:tcPr>
          <w:p w:rsidR="00000000" w:rsidDel="00000000" w:rsidP="00000000" w:rsidRDefault="00000000" w:rsidRPr="00000000" w14:paraId="000003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г.</w:t>
            </w:r>
          </w:p>
        </w:tc>
      </w:tr>
      <w:tr>
        <w:trPr>
          <w:cantSplit w:val="0"/>
          <w:trHeight w:val="383" w:hRule="atLeast"/>
          <w:tblHeader w:val="0"/>
        </w:trPr>
        <w:tc>
          <w:tcPr>
            <w:tcBorders>
              <w:bottom w:color="000000" w:space="0" w:sz="4" w:val="single"/>
            </w:tcBorders>
            <w:vAlign w:val="center"/>
          </w:tcPr>
          <w:p w:rsidR="00000000" w:rsidDel="00000000" w:rsidP="00000000" w:rsidRDefault="00000000" w:rsidRPr="00000000" w14:paraId="000003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Собственные оборотные средства - СОС (чистый оборотный капитал)</w:t>
            </w:r>
          </w:p>
        </w:tc>
        <w:tc>
          <w:tcPr>
            <w:vAlign w:val="center"/>
          </w:tcPr>
          <w:p w:rsidR="00000000" w:rsidDel="00000000" w:rsidP="00000000" w:rsidRDefault="00000000" w:rsidRPr="00000000" w14:paraId="000003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СОС=3 раздел – 1 раздел</w:t>
            </w:r>
          </w:p>
        </w:tc>
        <w:tc>
          <w:tcPr>
            <w:vAlign w:val="center"/>
          </w:tcPr>
          <w:p w:rsidR="00000000" w:rsidDel="00000000" w:rsidP="00000000" w:rsidRDefault="00000000" w:rsidRPr="00000000" w14:paraId="000003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p>
        </w:tc>
        <w:tc>
          <w:tcPr>
            <w:vAlign w:val="center"/>
          </w:tcPr>
          <w:p w:rsidR="00000000" w:rsidDel="00000000" w:rsidP="00000000" w:rsidRDefault="00000000" w:rsidRPr="00000000" w14:paraId="000003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vAlign w:val="center"/>
          </w:tcPr>
          <w:p w:rsidR="00000000" w:rsidDel="00000000" w:rsidP="00000000" w:rsidRDefault="00000000" w:rsidRPr="00000000" w14:paraId="000003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r>
      <w:tr>
        <w:trPr>
          <w:cantSplit w:val="0"/>
          <w:tblHeader w:val="0"/>
        </w:trPr>
        <w:tc>
          <w:tcPr>
            <w:vAlign w:val="center"/>
          </w:tcPr>
          <w:p w:rsidR="00000000" w:rsidDel="00000000" w:rsidP="00000000" w:rsidRDefault="00000000" w:rsidRPr="00000000" w14:paraId="000003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Наличие собственных и долгосрочных заёмных источников финансирования запасов</w:t>
            </w:r>
          </w:p>
          <w:p w:rsidR="00000000" w:rsidDel="00000000" w:rsidP="00000000" w:rsidRDefault="00000000" w:rsidRPr="00000000" w14:paraId="000003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-СДИ </w:t>
            </w:r>
          </w:p>
        </w:tc>
        <w:tc>
          <w:tcPr>
            <w:vAlign w:val="center"/>
          </w:tcPr>
          <w:p w:rsidR="00000000" w:rsidDel="00000000" w:rsidP="00000000" w:rsidRDefault="00000000" w:rsidRPr="00000000" w14:paraId="000003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СДИ=СОС+ 4 раздел</w:t>
            </w:r>
          </w:p>
        </w:tc>
        <w:tc>
          <w:tcPr>
            <w:vAlign w:val="center"/>
          </w:tcPr>
          <w:p w:rsidR="00000000" w:rsidDel="00000000" w:rsidP="00000000" w:rsidRDefault="00000000" w:rsidRPr="00000000" w14:paraId="000003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w:t>
            </w:r>
          </w:p>
        </w:tc>
        <w:tc>
          <w:tcPr>
            <w:vAlign w:val="center"/>
          </w:tcPr>
          <w:p w:rsidR="00000000" w:rsidDel="00000000" w:rsidP="00000000" w:rsidRDefault="00000000" w:rsidRPr="00000000" w14:paraId="000003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vAlign w:val="center"/>
          </w:tcPr>
          <w:p w:rsidR="00000000" w:rsidDel="00000000" w:rsidP="00000000" w:rsidRDefault="00000000" w:rsidRPr="00000000" w14:paraId="000003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r>
    </w:tbl>
    <w:p w:rsidR="00000000" w:rsidDel="00000000" w:rsidP="00000000" w:rsidRDefault="00000000" w:rsidRPr="00000000" w14:paraId="000003EE">
      <w:pPr>
        <w:spacing w:after="0" w:line="360" w:lineRule="auto"/>
        <w:rPr>
          <w:rFonts w:ascii="Times New Roman" w:cs="Times New Roman" w:eastAsia="Times New Roman" w:hAnsi="Times New Roman"/>
          <w:sz w:val="28"/>
          <w:szCs w:val="28"/>
        </w:rPr>
      </w:pPr>
      <w:r w:rsidDel="00000000" w:rsidR="00000000" w:rsidRPr="00000000">
        <w:rPr>
          <w:rtl w:val="0"/>
        </w:rPr>
      </w:r>
    </w:p>
    <w:tbl>
      <w:tblPr>
        <w:tblStyle w:val="Table9"/>
        <w:tblW w:w="934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1822"/>
        <w:gridCol w:w="1327"/>
        <w:gridCol w:w="1328"/>
        <w:gridCol w:w="1328"/>
        <w:tblGridChange w:id="0">
          <w:tblGrid>
            <w:gridCol w:w="3544"/>
            <w:gridCol w:w="1822"/>
            <w:gridCol w:w="1327"/>
            <w:gridCol w:w="1328"/>
            <w:gridCol w:w="1328"/>
          </w:tblGrid>
        </w:tblGridChange>
      </w:tblGrid>
      <w:tr>
        <w:trPr>
          <w:cantSplit w:val="0"/>
          <w:trHeight w:val="557" w:hRule="atLeast"/>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Продолжение таблицы 1.7</w:t>
            </w:r>
            <w:r w:rsidDel="00000000" w:rsidR="00000000" w:rsidRPr="00000000">
              <w:rPr>
                <w:rtl w:val="0"/>
              </w:rPr>
            </w:r>
          </w:p>
        </w:tc>
      </w:tr>
      <w:tr>
        <w:trPr>
          <w:cantSplit w:val="0"/>
          <w:trHeight w:val="557" w:hRule="atLeast"/>
          <w:tblHeader w:val="0"/>
        </w:trPr>
        <w:tc>
          <w:tcPr>
            <w:tcBorders>
              <w:top w:color="000000" w:space="0" w:sz="4" w:val="single"/>
            </w:tcBorders>
            <w:vAlign w:val="center"/>
          </w:tcPr>
          <w:p w:rsidR="00000000" w:rsidDel="00000000" w:rsidP="00000000" w:rsidRDefault="00000000" w:rsidRPr="00000000" w14:paraId="000003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величина основных источников формирования запасов - ОИЗ</w:t>
            </w:r>
          </w:p>
        </w:tc>
        <w:tc>
          <w:tcPr>
            <w:vAlign w:val="center"/>
          </w:tcPr>
          <w:p w:rsidR="00000000" w:rsidDel="00000000" w:rsidP="00000000" w:rsidRDefault="00000000" w:rsidRPr="00000000" w14:paraId="000003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ОИЗ=СДИ+5 раздел</w:t>
            </w:r>
          </w:p>
        </w:tc>
        <w:tc>
          <w:tcPr>
            <w:vAlign w:val="center"/>
          </w:tcPr>
          <w:p w:rsidR="00000000" w:rsidDel="00000000" w:rsidP="00000000" w:rsidRDefault="00000000" w:rsidRPr="00000000" w14:paraId="000003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c>
          <w:tcPr>
            <w:vAlign w:val="center"/>
          </w:tcPr>
          <w:p w:rsidR="00000000" w:rsidDel="00000000" w:rsidP="00000000" w:rsidRDefault="00000000" w:rsidRPr="00000000" w14:paraId="000003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vAlign w:val="center"/>
          </w:tcPr>
          <w:p w:rsidR="00000000" w:rsidDel="00000000" w:rsidP="00000000" w:rsidRDefault="00000000" w:rsidRPr="00000000" w14:paraId="000003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w:t>
            </w:r>
          </w:p>
        </w:tc>
      </w:tr>
      <w:tr>
        <w:trPr>
          <w:cantSplit w:val="0"/>
          <w:tblHeader w:val="0"/>
        </w:trPr>
        <w:tc>
          <w:tcPr>
            <w:vAlign w:val="center"/>
          </w:tcPr>
          <w:p w:rsidR="00000000" w:rsidDel="00000000" w:rsidP="00000000" w:rsidRDefault="00000000" w:rsidRPr="00000000" w14:paraId="000003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ΔСОС – излишек/недостаток собственных оборотных средств</w:t>
            </w:r>
          </w:p>
        </w:tc>
        <w:tc>
          <w:tcPr>
            <w:vAlign w:val="center"/>
          </w:tcPr>
          <w:p w:rsidR="00000000" w:rsidDel="00000000" w:rsidP="00000000" w:rsidRDefault="00000000" w:rsidRPr="00000000" w14:paraId="000003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ΔСОС=СОС-запасы</w:t>
            </w:r>
          </w:p>
        </w:tc>
        <w:tc>
          <w:tcPr>
            <w:vAlign w:val="center"/>
          </w:tcPr>
          <w:p w:rsidR="00000000" w:rsidDel="00000000" w:rsidP="00000000" w:rsidRDefault="00000000" w:rsidRPr="00000000" w14:paraId="000003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vAlign w:val="center"/>
          </w:tcPr>
          <w:p w:rsidR="00000000" w:rsidDel="00000000" w:rsidP="00000000" w:rsidRDefault="00000000" w:rsidRPr="00000000" w14:paraId="000003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vAlign w:val="center"/>
          </w:tcPr>
          <w:p w:rsidR="00000000" w:rsidDel="00000000" w:rsidP="00000000" w:rsidRDefault="00000000" w:rsidRPr="00000000" w14:paraId="000003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vAlign w:val="center"/>
          </w:tcPr>
          <w:p w:rsidR="00000000" w:rsidDel="00000000" w:rsidP="00000000" w:rsidRDefault="00000000" w:rsidRPr="00000000" w14:paraId="000003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ΔСДИ - излишек/недостаток собственных и долгосрочных источников финансирования</w:t>
            </w:r>
          </w:p>
        </w:tc>
        <w:tc>
          <w:tcPr>
            <w:vAlign w:val="center"/>
          </w:tcPr>
          <w:p w:rsidR="00000000" w:rsidDel="00000000" w:rsidP="00000000" w:rsidRDefault="00000000" w:rsidRPr="00000000" w14:paraId="000003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ΔСДИ=СДИ-Запасы</w:t>
            </w:r>
          </w:p>
        </w:tc>
        <w:tc>
          <w:tcPr>
            <w:vAlign w:val="center"/>
          </w:tcPr>
          <w:p w:rsidR="00000000" w:rsidDel="00000000" w:rsidP="00000000" w:rsidRDefault="00000000" w:rsidRPr="00000000" w14:paraId="000003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vAlign w:val="center"/>
          </w:tcPr>
          <w:p w:rsidR="00000000" w:rsidDel="00000000" w:rsidP="00000000" w:rsidRDefault="00000000" w:rsidRPr="00000000" w14:paraId="000003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vAlign w:val="center"/>
          </w:tcPr>
          <w:p w:rsidR="00000000" w:rsidDel="00000000" w:rsidP="00000000" w:rsidRDefault="00000000" w:rsidRPr="00000000" w14:paraId="000003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blHeader w:val="0"/>
        </w:trPr>
        <w:tc>
          <w:tcPr>
            <w:vAlign w:val="center"/>
          </w:tcPr>
          <w:p w:rsidR="00000000" w:rsidDel="00000000" w:rsidP="00000000" w:rsidRDefault="00000000" w:rsidRPr="00000000" w14:paraId="000003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ΔОИЗ - излишек/недостаток общей величины основных источников покрытия запасов</w:t>
            </w:r>
          </w:p>
        </w:tc>
        <w:tc>
          <w:tcPr>
            <w:vAlign w:val="center"/>
          </w:tcPr>
          <w:p w:rsidR="00000000" w:rsidDel="00000000" w:rsidP="00000000" w:rsidRDefault="00000000" w:rsidRPr="00000000" w14:paraId="000004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ΔОИЗ=ОИЗ-Запасы</w:t>
            </w:r>
          </w:p>
        </w:tc>
        <w:tc>
          <w:tcPr>
            <w:vAlign w:val="center"/>
          </w:tcPr>
          <w:p w:rsidR="00000000" w:rsidDel="00000000" w:rsidP="00000000" w:rsidRDefault="00000000" w:rsidRPr="00000000" w14:paraId="000004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14:paraId="000004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4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bl>
    <w:p w:rsidR="00000000" w:rsidDel="00000000" w:rsidP="00000000" w:rsidRDefault="00000000" w:rsidRPr="00000000" w14:paraId="00000404">
      <w:pPr>
        <w:spacing w:after="0" w:before="12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предоставленных значений из таблицы 1.7. мы можем оценить финансовую устойчивость организации. Для определения абсолютной финансовой устойчивости предприятия используется следующее выражение:</w:t>
      </w:r>
    </w:p>
    <w:p w:rsidR="00000000" w:rsidDel="00000000" w:rsidP="00000000" w:rsidRDefault="00000000" w:rsidRPr="00000000" w14:paraId="00000405">
      <w:pPr>
        <w:spacing w:after="0" w:before="120" w:line="360" w:lineRule="auto"/>
        <w:ind w:left="707" w:firstLine="709.000000000000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М1 = (1, 1, 1), т. е. </w:t>
      </w:r>
      <w:r w:rsidDel="00000000" w:rsidR="00000000" w:rsidRPr="00000000">
        <w:rPr>
          <w:b w:val="1"/>
          <w:sz w:val="28"/>
          <w:szCs w:val="28"/>
        </w:rPr>
        <w:drawing>
          <wp:inline distB="0" distT="0" distL="0" distR="0">
            <wp:extent cx="139700" cy="165100"/>
            <wp:effectExtent b="0" l="0" r="0" t="0"/>
            <wp:docPr id="5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9700" cy="165100"/>
                    </a:xfrm>
                    <a:prstGeom prst="rect"/>
                    <a:ln/>
                  </pic:spPr>
                </pic:pic>
              </a:graphicData>
            </a:graphic>
          </wp:inline>
        </w:drawing>
      </w:r>
      <w:sdt>
        <w:sdtPr>
          <w:tag w:val="goog_rdk_2"/>
        </w:sdtPr>
        <w:sdtContent>
          <w:r w:rsidDel="00000000" w:rsidR="00000000" w:rsidRPr="00000000">
            <w:rPr>
              <w:rFonts w:ascii="Gungsuh" w:cs="Gungsuh" w:eastAsia="Gungsuh" w:hAnsi="Gungsuh"/>
              <w:sz w:val="28"/>
              <w:szCs w:val="28"/>
              <w:rtl w:val="0"/>
            </w:rPr>
            <w:t xml:space="preserve">СОС ≥ 0; </w:t>
          </w:r>
        </w:sdtContent>
      </w:sdt>
      <w:r w:rsidDel="00000000" w:rsidR="00000000" w:rsidRPr="00000000">
        <w:rPr>
          <w:b w:val="1"/>
          <w:sz w:val="28"/>
          <w:szCs w:val="28"/>
        </w:rPr>
        <w:drawing>
          <wp:inline distB="0" distT="0" distL="0" distR="0">
            <wp:extent cx="139700" cy="165100"/>
            <wp:effectExtent b="0" l="0" r="0" t="0"/>
            <wp:docPr id="5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9700" cy="165100"/>
                    </a:xfrm>
                    <a:prstGeom prst="rect"/>
                    <a:ln/>
                  </pic:spPr>
                </pic:pic>
              </a:graphicData>
            </a:graphic>
          </wp:inline>
        </w:drawing>
      </w:r>
      <w:sdt>
        <w:sdtPr>
          <w:tag w:val="goog_rdk_3"/>
        </w:sdtPr>
        <w:sdtContent>
          <w:r w:rsidDel="00000000" w:rsidR="00000000" w:rsidRPr="00000000">
            <w:rPr>
              <w:rFonts w:ascii="Gungsuh" w:cs="Gungsuh" w:eastAsia="Gungsuh" w:hAnsi="Gungsuh"/>
              <w:sz w:val="28"/>
              <w:szCs w:val="28"/>
              <w:rtl w:val="0"/>
            </w:rPr>
            <w:t xml:space="preserve">СДИ ≥ 0; </w:t>
          </w:r>
        </w:sdtContent>
      </w:sdt>
      <w:r w:rsidDel="00000000" w:rsidR="00000000" w:rsidRPr="00000000">
        <w:rPr>
          <w:b w:val="1"/>
          <w:sz w:val="28"/>
          <w:szCs w:val="28"/>
        </w:rPr>
        <w:drawing>
          <wp:inline distB="0" distT="0" distL="0" distR="0">
            <wp:extent cx="139700" cy="165100"/>
            <wp:effectExtent b="0" l="0" r="0" t="0"/>
            <wp:docPr id="5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9700" cy="165100"/>
                    </a:xfrm>
                    <a:prstGeom prst="rect"/>
                    <a:ln/>
                  </pic:spPr>
                </pic:pic>
              </a:graphicData>
            </a:graphic>
          </wp:inline>
        </w:drawing>
      </w:r>
      <w:sdt>
        <w:sdtPr>
          <w:tag w:val="goog_rdk_4"/>
        </w:sdtPr>
        <w:sdtContent>
          <w:r w:rsidDel="00000000" w:rsidR="00000000" w:rsidRPr="00000000">
            <w:rPr>
              <w:rFonts w:ascii="Gungsuh" w:cs="Gungsuh" w:eastAsia="Gungsuh" w:hAnsi="Gungsuh"/>
              <w:sz w:val="28"/>
              <w:szCs w:val="28"/>
              <w:rtl w:val="0"/>
            </w:rPr>
            <w:t xml:space="preserve">ОИЗ ≥ 0. </w:t>
          </w:r>
        </w:sdtContent>
      </w:sdt>
    </w:p>
    <w:p w:rsidR="00000000" w:rsidDel="00000000" w:rsidP="00000000" w:rsidRDefault="00000000" w:rsidRPr="00000000" w14:paraId="0000040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Значения исследуемой компании по годам, представлены ниже:</w:t>
      </w:r>
    </w:p>
    <w:p w:rsidR="00000000" w:rsidDel="00000000" w:rsidP="00000000" w:rsidRDefault="00000000" w:rsidRPr="00000000" w14:paraId="00000407">
      <w:pPr>
        <w:spacing w:after="0" w:line="360" w:lineRule="auto"/>
        <w:ind w:left="707" w:firstLine="709.0000000000002"/>
        <w:rPr>
          <w:rFonts w:ascii="Times New Roman" w:cs="Times New Roman" w:eastAsia="Times New Roman" w:hAnsi="Times New Roman"/>
          <w:sz w:val="28"/>
          <w:szCs w:val="28"/>
        </w:rPr>
      </w:pPr>
      <w:sdt>
        <w:sdtPr>
          <w:tag w:val="goog_rdk_5"/>
        </w:sdtPr>
        <w:sdtContent>
          <w:r w:rsidDel="00000000" w:rsidR="00000000" w:rsidRPr="00000000">
            <w:rPr>
              <w:rFonts w:ascii="Gungsuh" w:cs="Gungsuh" w:eastAsia="Gungsuh" w:hAnsi="Gungsuh"/>
              <w:sz w:val="28"/>
              <w:szCs w:val="28"/>
              <w:rtl w:val="0"/>
            </w:rPr>
            <w:t xml:space="preserve">М3 = (0, 0, 1), т. е.  СОС &lt;0; СДИ &lt;0; ОИЗ ≥ 0. (2020 год)</w:t>
          </w:r>
        </w:sdtContent>
      </w:sdt>
    </w:p>
    <w:p w:rsidR="00000000" w:rsidDel="00000000" w:rsidP="00000000" w:rsidRDefault="00000000" w:rsidRPr="00000000" w14:paraId="00000408">
      <w:pPr>
        <w:spacing w:after="0" w:line="360" w:lineRule="auto"/>
        <w:ind w:left="707" w:firstLine="709.0000000000002"/>
        <w:rPr>
          <w:rFonts w:ascii="Times New Roman" w:cs="Times New Roman" w:eastAsia="Times New Roman" w:hAnsi="Times New Roman"/>
          <w:sz w:val="28"/>
          <w:szCs w:val="28"/>
        </w:rPr>
      </w:pPr>
      <w:sdt>
        <w:sdtPr>
          <w:tag w:val="goog_rdk_6"/>
        </w:sdtPr>
        <w:sdtContent>
          <w:r w:rsidDel="00000000" w:rsidR="00000000" w:rsidRPr="00000000">
            <w:rPr>
              <w:rFonts w:ascii="Gungsuh" w:cs="Gungsuh" w:eastAsia="Gungsuh" w:hAnsi="Gungsuh"/>
              <w:sz w:val="28"/>
              <w:szCs w:val="28"/>
              <w:rtl w:val="0"/>
            </w:rPr>
            <w:t xml:space="preserve">М3 = (0, 0, 1), т. е.  СОС &lt;0; СДИ &lt;0; ОИЗ ≥ 0 (2021 год)</w:t>
          </w:r>
        </w:sdtContent>
      </w:sdt>
    </w:p>
    <w:p w:rsidR="00000000" w:rsidDel="00000000" w:rsidP="00000000" w:rsidRDefault="00000000" w:rsidRPr="00000000" w14:paraId="00000409">
      <w:pPr>
        <w:spacing w:after="0" w:line="360" w:lineRule="auto"/>
        <w:ind w:left="707" w:firstLine="709.0000000000002"/>
        <w:rPr>
          <w:rFonts w:ascii="Times New Roman" w:cs="Times New Roman" w:eastAsia="Times New Roman" w:hAnsi="Times New Roman"/>
          <w:sz w:val="28"/>
          <w:szCs w:val="28"/>
        </w:rPr>
      </w:pPr>
      <w:sdt>
        <w:sdtPr>
          <w:tag w:val="goog_rdk_7"/>
        </w:sdtPr>
        <w:sdtContent>
          <w:r w:rsidDel="00000000" w:rsidR="00000000" w:rsidRPr="00000000">
            <w:rPr>
              <w:rFonts w:ascii="Gungsuh" w:cs="Gungsuh" w:eastAsia="Gungsuh" w:hAnsi="Gungsuh"/>
              <w:sz w:val="28"/>
              <w:szCs w:val="28"/>
              <w:rtl w:val="0"/>
            </w:rPr>
            <w:t xml:space="preserve">М1 = (1, 1, 1), т. е. СОС ≥ 0; СДИ ≥ 0; ОИЗ ≥ 0 (2022 год)</w:t>
          </w:r>
        </w:sdtContent>
      </w:sdt>
    </w:p>
    <w:p w:rsidR="00000000" w:rsidDel="00000000" w:rsidP="00000000" w:rsidRDefault="00000000" w:rsidRPr="00000000" w14:paraId="0000040A">
      <w:pPr>
        <w:spacing w:after="0" w:line="360" w:lineRule="auto"/>
        <w:ind w:firstLine="7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результатов анализа, можно сделать вывод что организация ООО «ГТА» в 2020 и 2021 году находилась в неустойчивом финансовом состоянии и на конец 2022 продемонстрировала абсолютную финансовую устойчивость. Это может считаться положительным результатом, однако следует продолжать мониторинг и усиливать управление финансовыми рисками для обеспечения долгосрочной стабильности и развития предприятия</w:t>
      </w:r>
    </w:p>
    <w:p w:rsidR="00000000" w:rsidDel="00000000" w:rsidP="00000000" w:rsidRDefault="00000000" w:rsidRPr="00000000" w14:paraId="0000040B">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следующем этапе анализа финансовой устойчивости организации ООО "ГТА" проводится оценка и описание относительных показателей финансовой устойчивости. Результаты данного анализа представлены в таблице 1.8.</w:t>
      </w:r>
    </w:p>
    <w:p w:rsidR="00000000" w:rsidDel="00000000" w:rsidP="00000000" w:rsidRDefault="00000000" w:rsidRPr="00000000" w14:paraId="0000040C">
      <w:pPr>
        <w:spacing w:after="0" w:line="360" w:lineRule="auto"/>
        <w:ind w:firstLine="7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D">
      <w:pPr>
        <w:spacing w:after="0" w:line="360" w:lineRule="auto"/>
        <w:ind w:firstLine="7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E">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 Относительные показатели финансовой устойчивости за 2020-2022 год.</w:t>
      </w:r>
    </w:p>
    <w:tbl>
      <w:tblPr>
        <w:tblStyle w:val="Table10"/>
        <w:tblW w:w="104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992"/>
        <w:gridCol w:w="2838"/>
        <w:gridCol w:w="2306"/>
        <w:gridCol w:w="2307"/>
        <w:tblGridChange w:id="0">
          <w:tblGrid>
            <w:gridCol w:w="1980"/>
            <w:gridCol w:w="992"/>
            <w:gridCol w:w="2838"/>
            <w:gridCol w:w="2306"/>
            <w:gridCol w:w="2307"/>
          </w:tblGrid>
        </w:tblGridChange>
      </w:tblGrid>
      <w:tr>
        <w:trPr>
          <w:cantSplit w:val="0"/>
          <w:trHeight w:val="552" w:hRule="atLeast"/>
          <w:tblHeader w:val="0"/>
        </w:trPr>
        <w:tc>
          <w:tcPr>
            <w:vMerge w:val="restart"/>
            <w:vAlign w:val="center"/>
          </w:tcPr>
          <w:p w:rsidR="00000000" w:rsidDel="00000000" w:rsidP="00000000" w:rsidRDefault="00000000" w:rsidRPr="00000000" w14:paraId="000004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Показатель</w:t>
            </w:r>
          </w:p>
        </w:tc>
        <w:tc>
          <w:tcPr>
            <w:vMerge w:val="restart"/>
            <w:vAlign w:val="center"/>
          </w:tcPr>
          <w:p w:rsidR="00000000" w:rsidDel="00000000" w:rsidP="00000000" w:rsidRDefault="00000000" w:rsidRPr="00000000" w14:paraId="000004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w:t>
            </w:r>
          </w:p>
          <w:p w:rsidR="00000000" w:rsidDel="00000000" w:rsidP="00000000" w:rsidRDefault="00000000" w:rsidRPr="00000000" w14:paraId="000004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w:t>
            </w:r>
          </w:p>
        </w:tc>
        <w:tc>
          <w:tcPr>
            <w:gridSpan w:val="3"/>
            <w:vAlign w:val="center"/>
          </w:tcPr>
          <w:p w:rsidR="00000000" w:rsidDel="00000000" w:rsidP="00000000" w:rsidRDefault="00000000" w:rsidRPr="00000000" w14:paraId="0000041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Значение показателя на конец отчётного периода и интерпретация</w:t>
            </w:r>
            <w:r w:rsidDel="00000000" w:rsidR="00000000" w:rsidRPr="00000000">
              <w:rPr>
                <w:rtl w:val="0"/>
              </w:rPr>
            </w:r>
          </w:p>
        </w:tc>
      </w:tr>
      <w:tr>
        <w:trPr>
          <w:cantSplit w:val="0"/>
          <w:trHeight w:val="139" w:hRule="atLeast"/>
          <w:tblHeader w:val="0"/>
        </w:trPr>
        <w:tc>
          <w:tcPr>
            <w:vMerge w:val="continue"/>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41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2020 г.</w:t>
            </w:r>
            <w:r w:rsidDel="00000000" w:rsidR="00000000" w:rsidRPr="00000000">
              <w:rPr>
                <w:rtl w:val="0"/>
              </w:rPr>
            </w:r>
          </w:p>
        </w:tc>
        <w:tc>
          <w:tcPr>
            <w:vAlign w:val="center"/>
          </w:tcPr>
          <w:p w:rsidR="00000000" w:rsidDel="00000000" w:rsidP="00000000" w:rsidRDefault="00000000" w:rsidRPr="00000000" w14:paraId="0000041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2021 г.</w:t>
            </w:r>
            <w:r w:rsidDel="00000000" w:rsidR="00000000" w:rsidRPr="00000000">
              <w:rPr>
                <w:rtl w:val="0"/>
              </w:rPr>
            </w:r>
          </w:p>
        </w:tc>
        <w:tc>
          <w:tcPr>
            <w:vAlign w:val="center"/>
          </w:tcPr>
          <w:p w:rsidR="00000000" w:rsidDel="00000000" w:rsidP="00000000" w:rsidRDefault="00000000" w:rsidRPr="00000000" w14:paraId="0000041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2022 г.</w:t>
            </w:r>
            <w:r w:rsidDel="00000000" w:rsidR="00000000" w:rsidRPr="00000000">
              <w:rPr>
                <w:rtl w:val="0"/>
              </w:rPr>
            </w:r>
          </w:p>
        </w:tc>
      </w:tr>
      <w:tr>
        <w:trPr>
          <w:cantSplit w:val="0"/>
          <w:trHeight w:val="1981" w:hRule="atLeast"/>
          <w:tblHeader w:val="0"/>
        </w:trPr>
        <w:tc>
          <w:tcPr>
            <w:vAlign w:val="center"/>
          </w:tcPr>
          <w:p w:rsidR="00000000" w:rsidDel="00000000" w:rsidP="00000000" w:rsidRDefault="00000000" w:rsidRPr="00000000" w14:paraId="000004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финансовой независимости\</w:t>
            </w:r>
          </w:p>
          <w:p w:rsidR="00000000" w:rsidDel="00000000" w:rsidP="00000000" w:rsidRDefault="00000000" w:rsidRPr="00000000" w14:paraId="000004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раздел / баланс (акт и пас)</w:t>
            </w:r>
          </w:p>
        </w:tc>
        <w:tc>
          <w:tcPr>
            <w:vAlign w:val="center"/>
          </w:tcPr>
          <w:p w:rsidR="00000000" w:rsidDel="00000000" w:rsidP="00000000" w:rsidRDefault="00000000" w:rsidRPr="00000000" w14:paraId="000004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vAlign w:val="center"/>
          </w:tcPr>
          <w:p w:rsidR="00000000" w:rsidDel="00000000" w:rsidP="00000000" w:rsidRDefault="00000000" w:rsidRPr="00000000" w14:paraId="0000041D">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0,76</w:t>
            </w:r>
          </w:p>
          <w:p w:rsidR="00000000" w:rsidDel="00000000" w:rsidP="00000000" w:rsidRDefault="00000000" w:rsidRPr="00000000" w14:paraId="0000041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относительно высокая финансовая независимость.</w:t>
            </w:r>
            <w:r w:rsidDel="00000000" w:rsidR="00000000" w:rsidRPr="00000000">
              <w:rPr>
                <w:rtl w:val="0"/>
              </w:rPr>
            </w:r>
          </w:p>
        </w:tc>
        <w:tc>
          <w:tcPr>
            <w:vAlign w:val="center"/>
          </w:tcPr>
          <w:p w:rsidR="00000000" w:rsidDel="00000000" w:rsidP="00000000" w:rsidRDefault="00000000" w:rsidRPr="00000000" w14:paraId="0000041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0,80</w:t>
            </w:r>
          </w:p>
          <w:p w:rsidR="00000000" w:rsidDel="00000000" w:rsidP="00000000" w:rsidRDefault="00000000" w:rsidRPr="00000000" w14:paraId="0000042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Указывает на укрепление финансовой независимости.</w:t>
            </w:r>
            <w:r w:rsidDel="00000000" w:rsidR="00000000" w:rsidRPr="00000000">
              <w:rPr>
                <w:rtl w:val="0"/>
              </w:rPr>
            </w:r>
          </w:p>
        </w:tc>
        <w:tc>
          <w:tcPr>
            <w:vAlign w:val="center"/>
          </w:tcPr>
          <w:p w:rsidR="00000000" w:rsidDel="00000000" w:rsidP="00000000" w:rsidRDefault="00000000" w:rsidRPr="00000000" w14:paraId="0000042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0,79</w:t>
            </w:r>
          </w:p>
          <w:p w:rsidR="00000000" w:rsidDel="00000000" w:rsidP="00000000" w:rsidRDefault="00000000" w:rsidRPr="00000000" w14:paraId="0000042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Показывает стабильность финансовой независимости</w:t>
            </w:r>
            <w:r w:rsidDel="00000000" w:rsidR="00000000" w:rsidRPr="00000000">
              <w:rPr>
                <w:rtl w:val="0"/>
              </w:rPr>
            </w:r>
          </w:p>
        </w:tc>
      </w:tr>
      <w:tr>
        <w:trPr>
          <w:cantSplit w:val="0"/>
          <w:trHeight w:val="1450" w:hRule="atLeast"/>
          <w:tblHeader w:val="0"/>
        </w:trPr>
        <w:tc>
          <w:tcPr>
            <w:vAlign w:val="center"/>
          </w:tcPr>
          <w:p w:rsidR="00000000" w:rsidDel="00000000" w:rsidP="00000000" w:rsidRDefault="00000000" w:rsidRPr="00000000" w14:paraId="00000423">
            <w:pPr>
              <w:spacing w:after="0" w:line="240" w:lineRule="auto"/>
              <w:jc w:val="center"/>
              <w:rPr>
                <w:rFonts w:ascii="Times New Roman" w:cs="Times New Roman" w:eastAsia="Times New Roman" w:hAnsi="Times New Roman"/>
                <w:sz w:val="24"/>
                <w:szCs w:val="24"/>
              </w:rPr>
            </w:pPr>
            <w:bookmarkStart w:colFirst="0" w:colLast="0" w:name="_heading=h.3dy6vkm" w:id="3"/>
            <w:bookmarkEnd w:id="3"/>
            <w:r w:rsidDel="00000000" w:rsidR="00000000" w:rsidRPr="00000000">
              <w:rPr>
                <w:rFonts w:ascii="Times New Roman" w:cs="Times New Roman" w:eastAsia="Times New Roman" w:hAnsi="Times New Roman"/>
                <w:sz w:val="24"/>
                <w:szCs w:val="24"/>
                <w:rtl w:val="0"/>
              </w:rPr>
              <w:t xml:space="preserve">Коэффициент задолженности</w:t>
            </w:r>
          </w:p>
          <w:p w:rsidR="00000000" w:rsidDel="00000000" w:rsidP="00000000" w:rsidRDefault="00000000" w:rsidRPr="00000000" w14:paraId="000004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глава / 3 главу </w:t>
            </w:r>
          </w:p>
        </w:tc>
        <w:tc>
          <w:tcPr>
            <w:vAlign w:val="center"/>
          </w:tcPr>
          <w:p w:rsidR="00000000" w:rsidDel="00000000" w:rsidP="00000000" w:rsidRDefault="00000000" w:rsidRPr="00000000" w14:paraId="000004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w:t>
            </w:r>
          </w:p>
        </w:tc>
        <w:tc>
          <w:tcPr>
            <w:vAlign w:val="center"/>
          </w:tcPr>
          <w:p w:rsidR="00000000" w:rsidDel="00000000" w:rsidP="00000000" w:rsidRDefault="00000000" w:rsidRPr="00000000" w14:paraId="0000042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0,30</w:t>
            </w:r>
          </w:p>
          <w:p w:rsidR="00000000" w:rsidDel="00000000" w:rsidP="00000000" w:rsidRDefault="00000000" w:rsidRPr="00000000" w14:paraId="000004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низкая степень задолженности.</w:t>
            </w:r>
          </w:p>
        </w:tc>
        <w:tc>
          <w:tcPr>
            <w:vAlign w:val="center"/>
          </w:tcPr>
          <w:p w:rsidR="00000000" w:rsidDel="00000000" w:rsidP="00000000" w:rsidRDefault="00000000" w:rsidRPr="00000000" w14:paraId="0000042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0,24</w:t>
            </w:r>
          </w:p>
          <w:p w:rsidR="00000000" w:rsidDel="00000000" w:rsidP="00000000" w:rsidRDefault="00000000" w:rsidRPr="00000000" w14:paraId="000004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свидетельствует об уменьшении задолженности.</w:t>
            </w:r>
          </w:p>
        </w:tc>
        <w:tc>
          <w:tcPr>
            <w:vAlign w:val="center"/>
          </w:tcPr>
          <w:p w:rsidR="00000000" w:rsidDel="00000000" w:rsidP="00000000" w:rsidRDefault="00000000" w:rsidRPr="00000000" w14:paraId="0000042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0,17</w:t>
            </w:r>
          </w:p>
          <w:p w:rsidR="00000000" w:rsidDel="00000000" w:rsidP="00000000" w:rsidRDefault="00000000" w:rsidRPr="00000000" w14:paraId="000004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дальнейшее снижение уровня задолженности.</w:t>
            </w:r>
          </w:p>
        </w:tc>
      </w:tr>
      <w:tr>
        <w:trPr>
          <w:cantSplit w:val="0"/>
          <w:trHeight w:val="1371" w:hRule="atLeast"/>
          <w:tblHeader w:val="0"/>
        </w:trPr>
        <w:tc>
          <w:tcPr>
            <w:vAlign w:val="center"/>
          </w:tcPr>
          <w:p w:rsidR="00000000" w:rsidDel="00000000" w:rsidP="00000000" w:rsidRDefault="00000000" w:rsidRPr="00000000" w14:paraId="000004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финансовой устойчивости</w:t>
            </w:r>
          </w:p>
          <w:p w:rsidR="00000000" w:rsidDel="00000000" w:rsidP="00000000" w:rsidRDefault="00000000" w:rsidRPr="00000000" w14:paraId="000004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глава/4 глава</w:t>
            </w:r>
          </w:p>
        </w:tc>
        <w:tc>
          <w:tcPr>
            <w:vAlign w:val="center"/>
          </w:tcPr>
          <w:p w:rsidR="00000000" w:rsidDel="00000000" w:rsidP="00000000" w:rsidRDefault="00000000" w:rsidRPr="00000000" w14:paraId="000004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0,8-0,9</w:t>
            </w:r>
          </w:p>
        </w:tc>
        <w:tc>
          <w:tcPr>
            <w:vAlign w:val="center"/>
          </w:tcPr>
          <w:p w:rsidR="00000000" w:rsidDel="00000000" w:rsidP="00000000" w:rsidRDefault="00000000" w:rsidRPr="00000000" w14:paraId="0000042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0,76</w:t>
            </w:r>
          </w:p>
          <w:p w:rsidR="00000000" w:rsidDel="00000000" w:rsidP="00000000" w:rsidRDefault="00000000" w:rsidRPr="00000000" w14:paraId="000004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относительно высокую финансовую устойчивость.</w:t>
            </w:r>
          </w:p>
        </w:tc>
        <w:tc>
          <w:tcPr>
            <w:vAlign w:val="center"/>
          </w:tcPr>
          <w:p w:rsidR="00000000" w:rsidDel="00000000" w:rsidP="00000000" w:rsidRDefault="00000000" w:rsidRPr="00000000" w14:paraId="0000043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0,80</w:t>
            </w:r>
          </w:p>
          <w:p w:rsidR="00000000" w:rsidDel="00000000" w:rsidP="00000000" w:rsidRDefault="00000000" w:rsidRPr="00000000" w14:paraId="000004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свидетельствует о дальнейшем укреплении финансовой устойчивости.</w:t>
            </w:r>
          </w:p>
        </w:tc>
        <w:tc>
          <w:tcPr>
            <w:vAlign w:val="center"/>
          </w:tcPr>
          <w:p w:rsidR="00000000" w:rsidDel="00000000" w:rsidP="00000000" w:rsidRDefault="00000000" w:rsidRPr="00000000" w14:paraId="0000043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0,86</w:t>
            </w:r>
          </w:p>
          <w:p w:rsidR="00000000" w:rsidDel="00000000" w:rsidP="00000000" w:rsidRDefault="00000000" w:rsidRPr="00000000" w14:paraId="000004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подтверждает дальнейшее укрепление финансовой устойчивости.</w:t>
            </w:r>
          </w:p>
        </w:tc>
      </w:tr>
      <w:tr>
        <w:trPr>
          <w:cantSplit w:val="0"/>
          <w:trHeight w:val="1981" w:hRule="atLeast"/>
          <w:tblHeader w:val="0"/>
        </w:trPr>
        <w:tc>
          <w:tcPr>
            <w:vAlign w:val="center"/>
          </w:tcPr>
          <w:p w:rsidR="00000000" w:rsidDel="00000000" w:rsidP="00000000" w:rsidRDefault="00000000" w:rsidRPr="00000000" w14:paraId="000004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обеспеченности собственными ОбС</w:t>
            </w:r>
          </w:p>
          <w:p w:rsidR="00000000" w:rsidDel="00000000" w:rsidP="00000000" w:rsidRDefault="00000000" w:rsidRPr="00000000" w14:paraId="000004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Сос/раздел 2 итоги</w:t>
            </w:r>
          </w:p>
        </w:tc>
        <w:tc>
          <w:tcPr>
            <w:vAlign w:val="center"/>
          </w:tcPr>
          <w:p w:rsidR="00000000" w:rsidDel="00000000" w:rsidP="00000000" w:rsidRDefault="00000000" w:rsidRPr="00000000" w14:paraId="00000437">
            <w:pPr>
              <w:spacing w:after="0" w:line="240"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Gungsuh" w:cs="Gungsuh" w:eastAsia="Gungsuh" w:hAnsi="Gungsuh"/>
                    <w:sz w:val="24"/>
                    <w:szCs w:val="24"/>
                    <w:rtl w:val="0"/>
                  </w:rPr>
                  <w:t xml:space="preserve">≥0,1</w:t>
                </w:r>
              </w:sdtContent>
            </w:sdt>
          </w:p>
        </w:tc>
        <w:tc>
          <w:tcPr>
            <w:vAlign w:val="center"/>
          </w:tcPr>
          <w:p w:rsidR="00000000" w:rsidDel="00000000" w:rsidP="00000000" w:rsidRDefault="00000000" w:rsidRPr="00000000" w14:paraId="0000043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0,74</w:t>
            </w:r>
          </w:p>
          <w:p w:rsidR="00000000" w:rsidDel="00000000" w:rsidP="00000000" w:rsidRDefault="00000000" w:rsidRPr="00000000" w14:paraId="000004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относительно высокую обеспеченность собственными оборотными средствами.</w:t>
            </w:r>
          </w:p>
        </w:tc>
        <w:tc>
          <w:tcPr>
            <w:vAlign w:val="center"/>
          </w:tcPr>
          <w:p w:rsidR="00000000" w:rsidDel="00000000" w:rsidP="00000000" w:rsidRDefault="00000000" w:rsidRPr="00000000" w14:paraId="0000043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0,80</w:t>
            </w:r>
          </w:p>
          <w:p w:rsidR="00000000" w:rsidDel="00000000" w:rsidP="00000000" w:rsidRDefault="00000000" w:rsidRPr="00000000" w14:paraId="000004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свидетельствует о дальнейшем улучшении обеспеченности собственными оборотными средствами.</w:t>
            </w:r>
          </w:p>
        </w:tc>
        <w:tc>
          <w:tcPr>
            <w:vAlign w:val="center"/>
          </w:tcPr>
          <w:p w:rsidR="00000000" w:rsidDel="00000000" w:rsidP="00000000" w:rsidRDefault="00000000" w:rsidRPr="00000000" w14:paraId="0000043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0,79</w:t>
            </w:r>
          </w:p>
          <w:p w:rsidR="00000000" w:rsidDel="00000000" w:rsidP="00000000" w:rsidRDefault="00000000" w:rsidRPr="00000000" w14:paraId="000004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подтверждает стабильность обеспеченности собственными оборотными средствами</w:t>
            </w:r>
          </w:p>
        </w:tc>
      </w:tr>
      <w:tr>
        <w:trPr>
          <w:cantSplit w:val="0"/>
          <w:trHeight w:val="1709" w:hRule="atLeast"/>
          <w:tblHeader w:val="0"/>
        </w:trPr>
        <w:tc>
          <w:tcPr>
            <w:vAlign w:val="center"/>
          </w:tcPr>
          <w:p w:rsidR="00000000" w:rsidDel="00000000" w:rsidP="00000000" w:rsidRDefault="00000000" w:rsidRPr="00000000" w14:paraId="000004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маневренности</w:t>
            </w:r>
          </w:p>
          <w:p w:rsidR="00000000" w:rsidDel="00000000" w:rsidP="00000000" w:rsidRDefault="00000000" w:rsidRPr="00000000" w14:paraId="0000043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 Итог главы 3 (1300)</w:t>
            </w:r>
          </w:p>
        </w:tc>
        <w:tc>
          <w:tcPr>
            <w:vAlign w:val="center"/>
          </w:tcPr>
          <w:p w:rsidR="00000000" w:rsidDel="00000000" w:rsidP="00000000" w:rsidRDefault="00000000" w:rsidRPr="00000000" w14:paraId="000004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w:t>
            </w:r>
          </w:p>
        </w:tc>
        <w:tc>
          <w:tcPr>
            <w:vAlign w:val="center"/>
          </w:tcPr>
          <w:p w:rsidR="00000000" w:rsidDel="00000000" w:rsidP="00000000" w:rsidRDefault="00000000" w:rsidRPr="00000000" w14:paraId="0000044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0,92</w:t>
            </w:r>
          </w:p>
          <w:p w:rsidR="00000000" w:rsidDel="00000000" w:rsidP="00000000" w:rsidRDefault="00000000" w:rsidRPr="00000000" w14:paraId="000004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высокую маневренность в использовании оборотных средств.</w:t>
            </w:r>
          </w:p>
        </w:tc>
        <w:tc>
          <w:tcPr>
            <w:vAlign w:val="center"/>
          </w:tcPr>
          <w:p w:rsidR="00000000" w:rsidDel="00000000" w:rsidP="00000000" w:rsidRDefault="00000000" w:rsidRPr="00000000" w14:paraId="0000044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1,00</w:t>
            </w:r>
          </w:p>
          <w:p w:rsidR="00000000" w:rsidDel="00000000" w:rsidP="00000000" w:rsidRDefault="00000000" w:rsidRPr="00000000" w14:paraId="000004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свидетельствует о полной маневренности в использовании оборотных средств.</w:t>
            </w:r>
          </w:p>
        </w:tc>
        <w:tc>
          <w:tcPr>
            <w:vAlign w:val="center"/>
          </w:tcPr>
          <w:p w:rsidR="00000000" w:rsidDel="00000000" w:rsidP="00000000" w:rsidRDefault="00000000" w:rsidRPr="00000000" w14:paraId="0000044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1,00</w:t>
            </w:r>
          </w:p>
          <w:p w:rsidR="00000000" w:rsidDel="00000000" w:rsidP="00000000" w:rsidRDefault="00000000" w:rsidRPr="00000000" w14:paraId="000004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подтверждая сохранение высокой маневренности.</w:t>
            </w:r>
          </w:p>
        </w:tc>
      </w:tr>
      <w:tr>
        <w:trPr>
          <w:cantSplit w:val="0"/>
          <w:trHeight w:val="1450" w:hRule="atLeast"/>
          <w:tblHeader w:val="0"/>
        </w:trPr>
        <w:tc>
          <w:tcPr>
            <w:vAlign w:val="center"/>
          </w:tcPr>
          <w:p w:rsidR="00000000" w:rsidDel="00000000" w:rsidP="00000000" w:rsidRDefault="00000000" w:rsidRPr="00000000" w14:paraId="000004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финансовой напряженности</w:t>
            </w:r>
          </w:p>
          <w:p w:rsidR="00000000" w:rsidDel="00000000" w:rsidP="00000000" w:rsidRDefault="00000000" w:rsidRPr="00000000" w14:paraId="000004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баланс (акт пас)</w:t>
            </w:r>
          </w:p>
        </w:tc>
        <w:tc>
          <w:tcPr>
            <w:vAlign w:val="center"/>
          </w:tcPr>
          <w:p w:rsidR="00000000" w:rsidDel="00000000" w:rsidP="00000000" w:rsidRDefault="00000000" w:rsidRPr="00000000" w14:paraId="00000449">
            <w:pPr>
              <w:spacing w:after="0" w:line="240" w:lineRule="auto"/>
              <w:jc w:val="center"/>
              <w:rPr>
                <w:rFonts w:ascii="Times New Roman" w:cs="Times New Roman" w:eastAsia="Times New Roman" w:hAnsi="Times New Roman"/>
                <w:sz w:val="24"/>
                <w:szCs w:val="24"/>
              </w:rPr>
            </w:pPr>
            <w:sdt>
              <w:sdtPr>
                <w:tag w:val="goog_rdk_9"/>
              </w:sdtPr>
              <w:sdtContent>
                <w:r w:rsidDel="00000000" w:rsidR="00000000" w:rsidRPr="00000000">
                  <w:rPr>
                    <w:rFonts w:ascii="Gungsuh" w:cs="Gungsuh" w:eastAsia="Gungsuh" w:hAnsi="Gungsuh"/>
                    <w:sz w:val="24"/>
                    <w:szCs w:val="24"/>
                    <w:rtl w:val="0"/>
                  </w:rPr>
                  <w:t xml:space="preserve">≤ 0,4</w:t>
                </w:r>
              </w:sdtContent>
            </w:sdt>
          </w:p>
        </w:tc>
        <w:tc>
          <w:tcPr>
            <w:vAlign w:val="center"/>
          </w:tcPr>
          <w:p w:rsidR="00000000" w:rsidDel="00000000" w:rsidP="00000000" w:rsidRDefault="00000000" w:rsidRPr="00000000" w14:paraId="0000044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0,23</w:t>
            </w:r>
          </w:p>
          <w:p w:rsidR="00000000" w:rsidDel="00000000" w:rsidP="00000000" w:rsidRDefault="00000000" w:rsidRPr="00000000" w14:paraId="000004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указывает на низкую степень финансовой напряженности.</w:t>
            </w:r>
          </w:p>
        </w:tc>
        <w:tc>
          <w:tcPr>
            <w:vAlign w:val="center"/>
          </w:tcPr>
          <w:p w:rsidR="00000000" w:rsidDel="00000000" w:rsidP="00000000" w:rsidRDefault="00000000" w:rsidRPr="00000000" w14:paraId="0000044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0,20</w:t>
            </w:r>
          </w:p>
          <w:p w:rsidR="00000000" w:rsidDel="00000000" w:rsidP="00000000" w:rsidRDefault="00000000" w:rsidRPr="00000000" w14:paraId="000004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свидетельствует об уменьшении финансовой напряженности.</w:t>
            </w:r>
          </w:p>
        </w:tc>
        <w:tc>
          <w:tcPr>
            <w:vAlign w:val="center"/>
          </w:tcPr>
          <w:p w:rsidR="00000000" w:rsidDel="00000000" w:rsidP="00000000" w:rsidRDefault="00000000" w:rsidRPr="00000000" w14:paraId="0000044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0,14</w:t>
            </w:r>
          </w:p>
          <w:p w:rsidR="00000000" w:rsidDel="00000000" w:rsidP="00000000" w:rsidRDefault="00000000" w:rsidRPr="00000000" w14:paraId="000004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подтверждая дальнейшее улучшение финансовой напряженности</w:t>
            </w:r>
          </w:p>
        </w:tc>
      </w:tr>
      <w:tr>
        <w:trPr>
          <w:cantSplit w:val="0"/>
          <w:trHeight w:val="1838" w:hRule="atLeast"/>
          <w:tblHeader w:val="0"/>
        </w:trPr>
        <w:tc>
          <w:tcPr>
            <w:vAlign w:val="center"/>
          </w:tcPr>
          <w:p w:rsidR="00000000" w:rsidDel="00000000" w:rsidP="00000000" w:rsidRDefault="00000000" w:rsidRPr="00000000" w14:paraId="000004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Коэффициент соотношения мобильных и мобилизованных активов</w:t>
            </w:r>
          </w:p>
          <w:p w:rsidR="00000000" w:rsidDel="00000000" w:rsidP="00000000" w:rsidRDefault="00000000" w:rsidRPr="00000000" w14:paraId="000004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раздел / 1 раздел</w:t>
            </w:r>
          </w:p>
        </w:tc>
        <w:tc>
          <w:tcPr>
            <w:vAlign w:val="center"/>
          </w:tcPr>
          <w:p w:rsidR="00000000" w:rsidDel="00000000" w:rsidP="00000000" w:rsidRDefault="00000000" w:rsidRPr="00000000" w14:paraId="000004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индивид.</w:t>
            </w:r>
          </w:p>
        </w:tc>
        <w:tc>
          <w:tcPr>
            <w:vAlign w:val="center"/>
          </w:tcPr>
          <w:p w:rsidR="00000000" w:rsidDel="00000000" w:rsidP="00000000" w:rsidRDefault="00000000" w:rsidRPr="00000000" w14:paraId="0000045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16,15</w:t>
            </w:r>
          </w:p>
          <w:p w:rsidR="00000000" w:rsidDel="00000000" w:rsidP="00000000" w:rsidRDefault="00000000" w:rsidRPr="00000000" w14:paraId="000004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высокое соотношение мобильных и мобилизованных активов.</w:t>
            </w:r>
          </w:p>
        </w:tc>
        <w:tc>
          <w:tcPr>
            <w:vAlign w:val="center"/>
          </w:tcPr>
          <w:p w:rsidR="00000000" w:rsidDel="00000000" w:rsidP="00000000" w:rsidRDefault="00000000" w:rsidRPr="00000000" w14:paraId="0000045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w:t>
            </w:r>
          </w:p>
          <w:p w:rsidR="00000000" w:rsidDel="00000000" w:rsidP="00000000" w:rsidRDefault="00000000" w:rsidRPr="00000000" w14:paraId="000004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внеоборотных активов в данный период</w:t>
            </w:r>
          </w:p>
        </w:tc>
        <w:tc>
          <w:tcPr>
            <w:vAlign w:val="center"/>
          </w:tcPr>
          <w:p w:rsidR="00000000" w:rsidDel="00000000" w:rsidP="00000000" w:rsidRDefault="00000000" w:rsidRPr="00000000" w14:paraId="0000045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Значение: 0</w:t>
            </w:r>
          </w:p>
          <w:p w:rsidR="00000000" w:rsidDel="00000000" w:rsidP="00000000" w:rsidRDefault="00000000" w:rsidRPr="00000000" w14:paraId="000004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внеоборотных активов в данный период</w:t>
            </w:r>
          </w:p>
        </w:tc>
      </w:tr>
    </w:tbl>
    <w:p w:rsidR="00000000" w:rsidDel="00000000" w:rsidP="00000000" w:rsidRDefault="00000000" w:rsidRPr="00000000" w14:paraId="00000459">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Опираясь на полученные из таблицы 1.8 значения, представляется возможным сформулировать следующие выводы:</w:t>
      </w:r>
    </w:p>
    <w:p w:rsidR="00000000" w:rsidDel="00000000" w:rsidP="00000000" w:rsidRDefault="00000000" w:rsidRPr="00000000" w14:paraId="0000045A">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организация ООО "ГТА" продемонстрировала положительную динамику в отношении относительных показателей финансовой устойчивости. Значения коэффициента финансовой независимости, коэффициента финансовой устойчивости, коэффициента обеспеченности собственными оборотными средствами и коэффициента маневренности показывают укрепление финансовой позиции организации.</w:t>
      </w:r>
    </w:p>
    <w:p w:rsidR="00000000" w:rsidDel="00000000" w:rsidP="00000000" w:rsidRDefault="00000000" w:rsidRPr="00000000" w14:paraId="0000045B">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Коэффициент финансовой устойчивости улучшился за период с 2020 по 2022 годы. Значение этого показателя на конец 2022 года составляет 0,86, что находится в диапазоне рекомендуемых значений (0,8-0,9). Это может свидетельствовать о том, что компания обладает достаточными финансовыми ресурсами для своей деятельности.</w:t>
      </w:r>
    </w:p>
    <w:p w:rsidR="00000000" w:rsidDel="00000000" w:rsidP="00000000" w:rsidRDefault="00000000" w:rsidRPr="00000000" w14:paraId="0000045C">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Наблюдается снижение коэффициента задолженности он составляет 0,17, что свидетельствует о том, что компания значительно снизила свой уровень задолженности по сравнению с 2020 годом. Это положительный сигнал для инвесторов и кредиторов, так как уменьшение задолженности может увеличить финансовую устойчивость компании</w:t>
      </w:r>
    </w:p>
    <w:p w:rsidR="00000000" w:rsidDel="00000000" w:rsidP="00000000" w:rsidRDefault="00000000" w:rsidRPr="00000000" w14:paraId="0000045D">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Коэффициента финансовой напряженности у компании также снизился за период с 2020 по 2022 годы и на конец 2022 года составляет 0,14. Это означает, что у компании меньше финансовых обязательств по сравнению с ее активами. </w:t>
      </w:r>
    </w:p>
    <w:p w:rsidR="00000000" w:rsidDel="00000000" w:rsidP="00000000" w:rsidRDefault="00000000" w:rsidRPr="00000000" w14:paraId="0000045E">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на основе анализа относительных показателей финансовой устойчивости, можно сделать вывод, что организация ООО "ГТА" в целом укрепляет свою финансовую позицию и продолжает стремиться к устойчивому развитию.</w:t>
      </w:r>
    </w:p>
    <w:p w:rsidR="00000000" w:rsidDel="00000000" w:rsidP="00000000" w:rsidRDefault="00000000" w:rsidRPr="00000000" w14:paraId="0000045F">
      <w:pPr>
        <w:pStyle w:val="Heading2"/>
        <w:spacing w:after="480" w:before="720" w:line="360" w:lineRule="auto"/>
        <w:jc w:val="center"/>
        <w:rPr>
          <w:rFonts w:ascii="Times New Roman" w:cs="Times New Roman" w:eastAsia="Times New Roman" w:hAnsi="Times New Roman"/>
          <w:b w:val="1"/>
          <w:color w:val="000000"/>
          <w:sz w:val="32"/>
          <w:szCs w:val="32"/>
        </w:rPr>
      </w:pPr>
      <w:bookmarkStart w:colFirst="0" w:colLast="0" w:name="_heading=h.1t3h5sf" w:id="4"/>
      <w:bookmarkEnd w:id="4"/>
      <w:r w:rsidDel="00000000" w:rsidR="00000000" w:rsidRPr="00000000">
        <w:rPr>
          <w:rFonts w:ascii="Times New Roman" w:cs="Times New Roman" w:eastAsia="Times New Roman" w:hAnsi="Times New Roman"/>
          <w:b w:val="1"/>
          <w:color w:val="000000"/>
          <w:sz w:val="32"/>
          <w:szCs w:val="32"/>
          <w:rtl w:val="0"/>
        </w:rPr>
        <w:t xml:space="preserve">1.3. Выводы</w:t>
      </w:r>
    </w:p>
    <w:p w:rsidR="00000000" w:rsidDel="00000000" w:rsidP="00000000" w:rsidRDefault="00000000" w:rsidRPr="00000000" w14:paraId="00000460">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практике, было осуществлено описание исследуемой организации, а также проведен анализ финансовой деятельности организации ООО «ГТА». Данная цель является важной для понимания финансового состояния и эффективности работы организации. В целом, результаты проведенных анализов продемонстрировали достаточную эффективность исследуемой организации, как в вопросах внутреннего, так и внешнего управления.</w:t>
      </w:r>
    </w:p>
    <w:p w:rsidR="00000000" w:rsidDel="00000000" w:rsidP="00000000" w:rsidRDefault="00000000" w:rsidRPr="00000000" w14:paraId="00000461">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работы были изучены финансовые данные организации за указанный период (2020-2022), а именно показатели бухгалтерского баланса. Это позволяет оценить финансовое положение и изменения в активах, пассивах и капитале компании со временем.</w:t>
      </w:r>
    </w:p>
    <w:p w:rsidR="00000000" w:rsidDel="00000000" w:rsidP="00000000" w:rsidRDefault="00000000" w:rsidRPr="00000000" w14:paraId="00000462">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проведены расчеты различных показателей на основе данных бухгалтерского баланса. Расчеты включают такие показатели, как общая ликвидность, текущая ликвидность, финансовый результат, рентабельность и другие. Это позволяет оценить финансовую стабильность, рентабельность и эффективность использования ресурсов организации.</w:t>
      </w:r>
    </w:p>
    <w:p w:rsidR="00000000" w:rsidDel="00000000" w:rsidP="00000000" w:rsidRDefault="00000000" w:rsidRPr="00000000" w14:paraId="00000463">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проведено ознакомление с фактическим бухгалтерским балансом компании, что позволяет получить полное представление о ее финансовом состоянии, структуре активов и пассивов, а также о долгосрочных и краткосрочных обязательствах.</w:t>
      </w:r>
    </w:p>
    <w:p w:rsidR="00000000" w:rsidDel="00000000" w:rsidP="00000000" w:rsidRDefault="00000000" w:rsidRPr="00000000" w14:paraId="00000464">
      <w:pPr>
        <w:spacing w:after="0" w:line="360" w:lineRule="auto"/>
        <w:ind w:firstLine="70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проведенного анализа финансовой деятельности организации ООО «ГТА» позволяют сделать вывод, что несмотря на то, что достаточно долгое время организация была в неустойчивом финансовом состоянии. На момент 2022 года она находится в абсолютной финансовой устойчивости. И является платежеспособной.</w:t>
      </w:r>
    </w:p>
    <w:p w:rsidR="00000000" w:rsidDel="00000000" w:rsidP="00000000" w:rsidRDefault="00000000" w:rsidRPr="00000000" w14:paraId="00000465">
      <w:pPr>
        <w:spacing w:after="0" w:line="360" w:lineRule="auto"/>
        <w:ind w:firstLine="70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6">
      <w:pPr>
        <w:spacing w:line="360" w:lineRule="auto"/>
        <w:ind w:firstLine="708"/>
        <w:rPr>
          <w:rFonts w:ascii="Times New Roman" w:cs="Times New Roman" w:eastAsia="Times New Roman" w:hAnsi="Times New Roman"/>
          <w:sz w:val="28"/>
          <w:szCs w:val="28"/>
        </w:rPr>
      </w:pPr>
      <w:r w:rsidDel="00000000" w:rsidR="00000000" w:rsidRPr="00000000">
        <w:rPr>
          <w:rtl w:val="0"/>
        </w:rPr>
      </w:r>
    </w:p>
    <w:sectPr>
      <w:type w:val="nextPage"/>
      <w:pgSz w:h="16838" w:w="11906" w:orient="portrait"/>
      <w:pgMar w:bottom="1134"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ungsuh"/>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38"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138"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a" w:default="1">
    <w:name w:val="Normal"/>
    <w:qFormat w:val="1"/>
    <w:rsid w:val="00380F29"/>
    <w:pPr>
      <w:spacing w:after="200" w:line="276" w:lineRule="auto"/>
      <w:ind w:firstLine="0"/>
      <w:jc w:val="left"/>
    </w:pPr>
    <w:rPr>
      <w:rFonts w:ascii="Calibri" w:cs="Times New Roman" w:eastAsia="Calibri" w:hAnsi="Calibri"/>
      <w:sz w:val="22"/>
    </w:rPr>
  </w:style>
  <w:style w:type="paragraph" w:styleId="1">
    <w:name w:val="heading 1"/>
    <w:basedOn w:val="a"/>
    <w:next w:val="a"/>
    <w:link w:val="10"/>
    <w:uiPriority w:val="9"/>
    <w:qFormat w:val="1"/>
    <w:rsid w:val="00AA79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AA795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21" w:customStyle="1">
    <w:name w:val="Сетка таблицы2"/>
    <w:basedOn w:val="a1"/>
    <w:next w:val="a3"/>
    <w:rsid w:val="00380F29"/>
    <w:pPr>
      <w:spacing w:line="240" w:lineRule="auto"/>
      <w:ind w:firstLine="0"/>
      <w:jc w:val="left"/>
    </w:pPr>
    <w:rPr>
      <w:rFonts w:cs="Times New Roman" w:eastAsia="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3">
    <w:name w:val="Table Grid"/>
    <w:basedOn w:val="a1"/>
    <w:uiPriority w:val="39"/>
    <w:rsid w:val="00380F2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Заголовок 1 Знак"/>
    <w:basedOn w:val="a0"/>
    <w:link w:val="1"/>
    <w:uiPriority w:val="9"/>
    <w:rsid w:val="00AA795F"/>
    <w:rPr>
      <w:rFonts w:asciiTheme="majorHAnsi" w:cstheme="majorBidi" w:eastAsiaTheme="majorEastAsia" w:hAnsiTheme="majorHAnsi"/>
      <w:color w:val="2f5496" w:themeColor="accent1" w:themeShade="0000BF"/>
      <w:sz w:val="32"/>
      <w:szCs w:val="32"/>
    </w:rPr>
  </w:style>
  <w:style w:type="character" w:styleId="20" w:customStyle="1">
    <w:name w:val="Заголовок 2 Знак"/>
    <w:basedOn w:val="a0"/>
    <w:link w:val="2"/>
    <w:uiPriority w:val="9"/>
    <w:rsid w:val="00AA795F"/>
    <w:rPr>
      <w:rFonts w:asciiTheme="majorHAnsi" w:cstheme="majorBidi" w:eastAsiaTheme="majorEastAsia" w:hAnsiTheme="majorHAnsi"/>
      <w:color w:val="2f5496" w:themeColor="accent1" w:themeShade="0000BF"/>
      <w:sz w:val="26"/>
      <w:szCs w:val="26"/>
    </w:rPr>
  </w:style>
  <w:style w:type="paragraph" w:styleId="a4">
    <w:name w:val="TOC Heading"/>
    <w:basedOn w:val="1"/>
    <w:next w:val="a"/>
    <w:uiPriority w:val="39"/>
    <w:unhideWhenUsed w:val="1"/>
    <w:qFormat w:val="1"/>
    <w:rsid w:val="00456CED"/>
    <w:pPr>
      <w:spacing w:line="259" w:lineRule="auto"/>
      <w:outlineLvl w:val="9"/>
    </w:pPr>
    <w:rPr>
      <w:lang w:eastAsia="ru-RU"/>
    </w:rPr>
  </w:style>
  <w:style w:type="paragraph" w:styleId="11">
    <w:name w:val="toc 1"/>
    <w:basedOn w:val="a"/>
    <w:next w:val="a"/>
    <w:autoRedefine w:val="1"/>
    <w:uiPriority w:val="39"/>
    <w:unhideWhenUsed w:val="1"/>
    <w:rsid w:val="00456CED"/>
    <w:pPr>
      <w:spacing w:after="100"/>
    </w:pPr>
  </w:style>
  <w:style w:type="paragraph" w:styleId="22">
    <w:name w:val="toc 2"/>
    <w:basedOn w:val="a"/>
    <w:next w:val="a"/>
    <w:autoRedefine w:val="1"/>
    <w:uiPriority w:val="39"/>
    <w:unhideWhenUsed w:val="1"/>
    <w:rsid w:val="00456CED"/>
    <w:pPr>
      <w:spacing w:after="100"/>
      <w:ind w:left="220"/>
    </w:pPr>
  </w:style>
  <w:style w:type="character" w:styleId="a5">
    <w:name w:val="Hyperlink"/>
    <w:basedOn w:val="a0"/>
    <w:uiPriority w:val="99"/>
    <w:unhideWhenUsed w:val="1"/>
    <w:rsid w:val="00456CED"/>
    <w:rPr>
      <w:color w:val="0563c1" w:themeColor="hyperlink"/>
      <w:u w:val="single"/>
    </w:rPr>
  </w:style>
  <w:style w:type="paragraph" w:styleId="a6">
    <w:name w:val="header"/>
    <w:basedOn w:val="a"/>
    <w:link w:val="a7"/>
    <w:uiPriority w:val="99"/>
    <w:unhideWhenUsed w:val="1"/>
    <w:rsid w:val="00D14732"/>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D14732"/>
    <w:rPr>
      <w:rFonts w:ascii="Calibri" w:cs="Times New Roman" w:eastAsia="Calibri" w:hAnsi="Calibri"/>
      <w:sz w:val="22"/>
    </w:rPr>
  </w:style>
  <w:style w:type="paragraph" w:styleId="a8">
    <w:name w:val="footer"/>
    <w:basedOn w:val="a"/>
    <w:link w:val="a9"/>
    <w:uiPriority w:val="99"/>
    <w:unhideWhenUsed w:val="1"/>
    <w:rsid w:val="00D14732"/>
    <w:pPr>
      <w:tabs>
        <w:tab w:val="center" w:pos="4677"/>
        <w:tab w:val="right" w:pos="9355"/>
      </w:tabs>
      <w:spacing w:after="0" w:line="240" w:lineRule="auto"/>
    </w:pPr>
  </w:style>
  <w:style w:type="character" w:styleId="a9" w:customStyle="1">
    <w:name w:val="Нижний колонтитул Знак"/>
    <w:basedOn w:val="a0"/>
    <w:link w:val="a8"/>
    <w:uiPriority w:val="99"/>
    <w:rsid w:val="00D14732"/>
    <w:rPr>
      <w:rFonts w:ascii="Calibri" w:cs="Times New Roman" w:eastAsia="Calibri" w:hAnsi="Calibri"/>
      <w:sz w:val="22"/>
    </w:rPr>
  </w:style>
  <w:style w:type="paragraph" w:styleId="aa">
    <w:name w:val="List Paragraph"/>
    <w:basedOn w:val="a"/>
    <w:uiPriority w:val="34"/>
    <w:qFormat w:val="1"/>
    <w:rsid w:val="004F2331"/>
    <w:pPr>
      <w:ind w:left="720"/>
      <w:contextualSpacing w:val="1"/>
    </w:pPr>
  </w:style>
  <w:style w:type="character" w:styleId="ab">
    <w:name w:val="Unresolved Mention"/>
    <w:basedOn w:val="a0"/>
    <w:uiPriority w:val="99"/>
    <w:semiHidden w:val="1"/>
    <w:unhideWhenUsed w:val="1"/>
    <w:rsid w:val="00517639"/>
    <w:rPr>
      <w:color w:val="605e5c"/>
      <w:shd w:color="auto" w:fill="e1dfdd" w:val="clear"/>
    </w:rPr>
  </w:style>
  <w:style w:type="character" w:styleId="ac">
    <w:name w:val="Emphasis"/>
    <w:basedOn w:val="a0"/>
    <w:qFormat w:val="1"/>
    <w:rsid w:val="00E72842"/>
    <w:rPr>
      <w:i w:val="1"/>
      <w:iCs w:val="1"/>
    </w:rPr>
  </w:style>
  <w:style w:type="character" w:styleId="ad">
    <w:name w:val="FollowedHyperlink"/>
    <w:basedOn w:val="a0"/>
    <w:uiPriority w:val="99"/>
    <w:semiHidden w:val="1"/>
    <w:unhideWhenUsed w:val="1"/>
    <w:rsid w:val="00275C3E"/>
    <w:rPr>
      <w:color w:val="954f72" w:themeColor="followedHyperlink"/>
      <w:u w:val="single"/>
    </w:rPr>
  </w:style>
  <w:style w:type="paragraph" w:styleId="ae">
    <w:name w:val="Normal (Web)"/>
    <w:basedOn w:val="a"/>
    <w:uiPriority w:val="99"/>
    <w:semiHidden w:val="1"/>
    <w:unhideWhenUsed w:val="1"/>
    <w:rsid w:val="000C002E"/>
    <w:pPr>
      <w:spacing w:after="100" w:afterAutospacing="1" w:before="100" w:beforeAutospacing="1" w:line="240" w:lineRule="auto"/>
    </w:pPr>
    <w:rPr>
      <w:rFonts w:ascii="Times New Roman" w:eastAsia="Times New Roman" w:hAnsi="Times New Roman"/>
      <w:sz w:val="24"/>
      <w:szCs w:val="24"/>
      <w:lang w:eastAsia="ru-RU"/>
    </w:rPr>
  </w:style>
  <w:style w:type="paragraph" w:styleId="af">
    <w:name w:val="Title"/>
    <w:basedOn w:val="a"/>
    <w:next w:val="a"/>
    <w:link w:val="af0"/>
    <w:uiPriority w:val="10"/>
    <w:qFormat w:val="1"/>
    <w:rsid w:val="00457B0C"/>
    <w:pPr>
      <w:spacing w:after="0" w:line="240" w:lineRule="auto"/>
      <w:contextualSpacing w:val="1"/>
    </w:pPr>
    <w:rPr>
      <w:rFonts w:asciiTheme="majorHAnsi" w:cstheme="majorBidi" w:eastAsiaTheme="majorEastAsia" w:hAnsiTheme="majorHAnsi"/>
      <w:spacing w:val="-10"/>
      <w:kern w:val="28"/>
      <w:sz w:val="56"/>
      <w:szCs w:val="56"/>
    </w:rPr>
  </w:style>
  <w:style w:type="character" w:styleId="af0" w:customStyle="1">
    <w:name w:val="Заголовок Знак"/>
    <w:basedOn w:val="a0"/>
    <w:link w:val="af"/>
    <w:uiPriority w:val="10"/>
    <w:rsid w:val="00457B0C"/>
    <w:rPr>
      <w:rFonts w:asciiTheme="majorHAnsi" w:cstheme="majorBidi" w:eastAsiaTheme="majorEastAsia" w:hAnsiTheme="majorHAnsi"/>
      <w:spacing w:val="-10"/>
      <w:kern w:val="28"/>
      <w:sz w:val="56"/>
      <w:szCs w:val="56"/>
    </w:rPr>
  </w:style>
  <w:style w:type="paragraph" w:styleId="af1">
    <w:name w:val="Subtitle"/>
    <w:basedOn w:val="a"/>
    <w:next w:val="a"/>
    <w:link w:val="af2"/>
    <w:uiPriority w:val="11"/>
    <w:qFormat w:val="1"/>
    <w:rsid w:val="00457B0C"/>
    <w:pPr>
      <w:numPr>
        <w:ilvl w:val="1"/>
      </w:numPr>
      <w:spacing w:after="160"/>
    </w:pPr>
    <w:rPr>
      <w:rFonts w:asciiTheme="minorHAnsi" w:cstheme="minorBidi" w:eastAsiaTheme="minorEastAsia" w:hAnsiTheme="minorHAnsi"/>
      <w:color w:val="5a5a5a" w:themeColor="text1" w:themeTint="0000A5"/>
      <w:spacing w:val="15"/>
    </w:rPr>
  </w:style>
  <w:style w:type="character" w:styleId="af2" w:customStyle="1">
    <w:name w:val="Подзаголовок Знак"/>
    <w:basedOn w:val="a0"/>
    <w:link w:val="af1"/>
    <w:uiPriority w:val="11"/>
    <w:rsid w:val="00457B0C"/>
    <w:rPr>
      <w:rFonts w:asciiTheme="minorHAnsi" w:eastAsiaTheme="minorEastAsia" w:hAnsiTheme="minorHAnsi"/>
      <w:color w:val="5a5a5a" w:themeColor="text1" w:themeTint="0000A5"/>
      <w:spacing w:val="15"/>
      <w:sz w:val="22"/>
    </w:rPr>
  </w:style>
  <w:style w:type="paragraph" w:styleId="EMPTYCELLSTYLE" w:customStyle="1">
    <w:name w:val="EMPTY_CELL_STYLE"/>
    <w:qFormat w:val="1"/>
    <w:rsid w:val="00716529"/>
    <w:pPr>
      <w:spacing w:line="240" w:lineRule="auto"/>
      <w:ind w:firstLine="0"/>
      <w:jc w:val="left"/>
    </w:pPr>
    <w:rPr>
      <w:rFonts w:ascii="SansSerif" w:cs="SansSerif" w:eastAsia="SansSerif" w:hAnsi="SansSerif"/>
      <w:color w:val="000000"/>
      <w:sz w:val="2"/>
      <w:szCs w:val="20"/>
      <w:lang w:eastAsia="ru-RU"/>
    </w:rPr>
  </w:style>
  <w:style w:type="paragraph" w:styleId="withouttablebalance" w:customStyle="1">
    <w:name w:val="without_table_balance"/>
    <w:qFormat w:val="1"/>
    <w:rsid w:val="00716529"/>
    <w:pPr>
      <w:spacing w:line="240" w:lineRule="auto"/>
      <w:ind w:firstLine="0"/>
      <w:jc w:val="left"/>
    </w:pPr>
    <w:rPr>
      <w:rFonts w:cs="Times New Roman" w:eastAsia="Times New Roman"/>
      <w:color w:val="000000"/>
      <w:sz w:val="20"/>
      <w:szCs w:val="20"/>
      <w:lang w:eastAsia="ru-RU"/>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ind w:firstLine="0"/>
      <w:jc w:val="left"/>
    </w:pPr>
    <w:rPr>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ind w:firstLine="0"/>
      <w:jc w:val="left"/>
    </w:pPr>
    <w:rPr>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ind w:firstLine="0"/>
      <w:jc w:val="left"/>
    </w:pPr>
    <w:rPr>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ind w:firstLine="0"/>
      <w:jc w:val="left"/>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chart" Target="charts/chart2.xml"/><Relationship Id="rId12" Type="http://schemas.openxmlformats.org/officeDocument/2006/relationships/image" Target="media/image2.png"/><Relationship Id="rId9" Type="http://schemas.openxmlformats.org/officeDocument/2006/relationships/chart" Target="charts/chart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1">
                <a:solidFill>
                  <a:schemeClr val="tx1"/>
                </a:solidFill>
                <a:latin typeface="Times New Roman" panose="02020603050405020304" pitchFamily="18" charset="0"/>
                <a:cs typeface="Times New Roman" panose="02020603050405020304" pitchFamily="18" charset="0"/>
              </a:rPr>
              <a:t>Изменение удельного веса СОС </a:t>
            </a:r>
            <a:r>
              <a:rPr lang="ru-RU" b="1" baseline="0">
                <a:solidFill>
                  <a:schemeClr val="tx1"/>
                </a:solidFill>
                <a:latin typeface="Times New Roman" panose="02020603050405020304" pitchFamily="18" charset="0"/>
                <a:cs typeface="Times New Roman" panose="02020603050405020304" pitchFamily="18" charset="0"/>
              </a:rPr>
              <a:t>за 2020-2022 годы</a:t>
            </a:r>
            <a:endParaRPr lang="ru-RU"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14474537037037036"/>
          <c:y val="4.76190476190476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2020 год</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c:f>
              <c:strCache>
                <c:ptCount val="1"/>
                <c:pt idx="0">
                  <c:v>Общая стоимость имущества</c:v>
                </c:pt>
              </c:strCache>
            </c:strRef>
          </c:cat>
          <c:val>
            <c:numRef>
              <c:f>Лист1!$B$2</c:f>
              <c:numCache>
                <c:formatCode>0.0</c:formatCode>
                <c:ptCount val="1"/>
                <c:pt idx="0">
                  <c:v>4</c:v>
                </c:pt>
              </c:numCache>
            </c:numRef>
          </c:val>
          <c:extLst>
            <c:ext xmlns:c16="http://schemas.microsoft.com/office/drawing/2014/chart" uri="{C3380CC4-5D6E-409C-BE32-E72D297353CC}">
              <c16:uniqueId val="{00000000-0D56-4358-B184-98E67B3E5515}"/>
            </c:ext>
          </c:extLst>
        </c:ser>
        <c:ser>
          <c:idx val="1"/>
          <c:order val="1"/>
          <c:tx>
            <c:strRef>
              <c:f>Лист1!$C$1</c:f>
              <c:strCache>
                <c:ptCount val="1"/>
                <c:pt idx="0">
                  <c:v>2021 год</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c:f>
              <c:strCache>
                <c:ptCount val="1"/>
                <c:pt idx="0">
                  <c:v>Общая стоимость имущества</c:v>
                </c:pt>
              </c:strCache>
            </c:strRef>
          </c:cat>
          <c:val>
            <c:numRef>
              <c:f>Лист1!$C$2</c:f>
              <c:numCache>
                <c:formatCode>0.0</c:formatCode>
                <c:ptCount val="1"/>
                <c:pt idx="0">
                  <c:v>4</c:v>
                </c:pt>
              </c:numCache>
            </c:numRef>
          </c:val>
          <c:extLst>
            <c:ext xmlns:c16="http://schemas.microsoft.com/office/drawing/2014/chart" uri="{C3380CC4-5D6E-409C-BE32-E72D297353CC}">
              <c16:uniqueId val="{00000001-0D56-4358-B184-98E67B3E5515}"/>
            </c:ext>
          </c:extLst>
        </c:ser>
        <c:ser>
          <c:idx val="2"/>
          <c:order val="2"/>
          <c:tx>
            <c:strRef>
              <c:f>Лист1!$D$1</c:f>
              <c:strCache>
                <c:ptCount val="1"/>
                <c:pt idx="0">
                  <c:v>2022 год</c:v>
                </c:pt>
              </c:strCache>
            </c:strRef>
          </c:tx>
          <c:spPr>
            <a:solidFill>
              <a:schemeClr val="accent3"/>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c:f>
              <c:strCache>
                <c:ptCount val="1"/>
                <c:pt idx="0">
                  <c:v>Общая стоимость имущества</c:v>
                </c:pt>
              </c:strCache>
            </c:strRef>
          </c:cat>
          <c:val>
            <c:numRef>
              <c:f>Лист1!$D$2</c:f>
              <c:numCache>
                <c:formatCode>0.0</c:formatCode>
                <c:ptCount val="1"/>
                <c:pt idx="0">
                  <c:v>-0.9</c:v>
                </c:pt>
              </c:numCache>
            </c:numRef>
          </c:val>
          <c:extLst>
            <c:ext xmlns:c16="http://schemas.microsoft.com/office/drawing/2014/chart" uri="{C3380CC4-5D6E-409C-BE32-E72D297353CC}">
              <c16:uniqueId val="{00000002-0D56-4358-B184-98E67B3E5515}"/>
            </c:ext>
          </c:extLst>
        </c:ser>
        <c:dLbls>
          <c:showLegendKey val="0"/>
          <c:showVal val="0"/>
          <c:showCatName val="0"/>
          <c:showSerName val="0"/>
          <c:showPercent val="0"/>
          <c:showBubbleSize val="0"/>
        </c:dLbls>
        <c:gapWidth val="219"/>
        <c:overlap val="-27"/>
        <c:axId val="374920576"/>
        <c:axId val="374918080"/>
      </c:barChart>
      <c:catAx>
        <c:axId val="374920576"/>
        <c:scaling>
          <c:orientation val="minMax"/>
        </c:scaling>
        <c:delete val="1"/>
        <c:axPos val="b"/>
        <c:numFmt formatCode="General" sourceLinked="1"/>
        <c:majorTickMark val="none"/>
        <c:minorTickMark val="none"/>
        <c:tickLblPos val="nextTo"/>
        <c:crossAx val="374918080"/>
        <c:crosses val="autoZero"/>
        <c:auto val="1"/>
        <c:lblAlgn val="ctr"/>
        <c:lblOffset val="100"/>
        <c:noMultiLvlLbl val="0"/>
      </c:catAx>
      <c:valAx>
        <c:axId val="37491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37492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i="0" baseline="0">
                <a:effectLst/>
              </a:rPr>
              <a:t>Соотношение темпов роста капиталов за 2020-2022 годы</a:t>
            </a:r>
          </a:p>
        </c:rich>
      </c:tx>
      <c:layout>
        <c:manualLayout>
          <c:xMode val="edge"/>
          <c:yMode val="edge"/>
          <c:x val="0.19349690288713914"/>
          <c:y val="2.4924143909839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3136482939632545E-2"/>
          <c:y val="0.27322283609576431"/>
          <c:w val="0.81739348206474194"/>
          <c:h val="0.38737837328345004"/>
        </c:manualLayout>
      </c:layout>
      <c:barChart>
        <c:barDir val="col"/>
        <c:grouping val="clustered"/>
        <c:varyColors val="0"/>
        <c:ser>
          <c:idx val="0"/>
          <c:order val="0"/>
          <c:tx>
            <c:strRef>
              <c:f>Лист1!$B$3</c:f>
              <c:strCache>
                <c:ptCount val="1"/>
                <c:pt idx="0">
                  <c:v>Заемный капитал</c:v>
                </c:pt>
              </c:strCache>
            </c:strRef>
          </c:tx>
          <c:spPr>
            <a:solidFill>
              <a:schemeClr val="accent1"/>
            </a:solidFill>
            <a:ln>
              <a:noFill/>
            </a:ln>
            <a:effectLst/>
          </c:spPr>
          <c:invertIfNegative val="0"/>
          <c:cat>
            <c:numRef>
              <c:f>Лист1!$A$4:$A$6</c:f>
              <c:numCache>
                <c:formatCode>General</c:formatCode>
                <c:ptCount val="3"/>
                <c:pt idx="0">
                  <c:v>2020</c:v>
                </c:pt>
                <c:pt idx="1">
                  <c:v>2021</c:v>
                </c:pt>
                <c:pt idx="2">
                  <c:v>2022</c:v>
                </c:pt>
              </c:numCache>
            </c:numRef>
          </c:cat>
          <c:val>
            <c:numRef>
              <c:f>Лист1!$B$4:$B$6</c:f>
              <c:numCache>
                <c:formatCode>General</c:formatCode>
                <c:ptCount val="3"/>
                <c:pt idx="0">
                  <c:v>81</c:v>
                </c:pt>
                <c:pt idx="1">
                  <c:v>51</c:v>
                </c:pt>
                <c:pt idx="2">
                  <c:v>69</c:v>
                </c:pt>
              </c:numCache>
            </c:numRef>
          </c:val>
          <c:extLst>
            <c:ext xmlns:c16="http://schemas.microsoft.com/office/drawing/2014/chart" uri="{C3380CC4-5D6E-409C-BE32-E72D297353CC}">
              <c16:uniqueId val="{00000000-15B0-4960-8DCC-E41F68CDC5C6}"/>
            </c:ext>
          </c:extLst>
        </c:ser>
        <c:ser>
          <c:idx val="1"/>
          <c:order val="1"/>
          <c:tx>
            <c:strRef>
              <c:f>Лист1!$C$3</c:f>
              <c:strCache>
                <c:ptCount val="1"/>
              </c:strCache>
            </c:strRef>
          </c:tx>
          <c:spPr>
            <a:solidFill>
              <a:schemeClr val="accent2"/>
            </a:solidFill>
            <a:ln>
              <a:noFill/>
            </a:ln>
            <a:effectLst/>
          </c:spPr>
          <c:invertIfNegative val="0"/>
          <c:cat>
            <c:numRef>
              <c:f>Лист1!$A$4:$A$6</c:f>
              <c:numCache>
                <c:formatCode>General</c:formatCode>
                <c:ptCount val="3"/>
                <c:pt idx="0">
                  <c:v>2020</c:v>
                </c:pt>
                <c:pt idx="1">
                  <c:v>2021</c:v>
                </c:pt>
                <c:pt idx="2">
                  <c:v>2022</c:v>
                </c:pt>
              </c:numCache>
            </c:numRef>
          </c:cat>
          <c:val>
            <c:numRef>
              <c:f>Лист1!$C$4:$C$6</c:f>
              <c:numCache>
                <c:formatCode>0.0%</c:formatCode>
                <c:ptCount val="3"/>
                <c:pt idx="0">
                  <c:v>0.23599999999999999</c:v>
                </c:pt>
                <c:pt idx="1">
                  <c:v>0.19600000000000001</c:v>
                </c:pt>
                <c:pt idx="2">
                  <c:v>0.20499999999999999</c:v>
                </c:pt>
              </c:numCache>
            </c:numRef>
          </c:val>
          <c:extLst>
            <c:ext xmlns:c16="http://schemas.microsoft.com/office/drawing/2014/chart" uri="{C3380CC4-5D6E-409C-BE32-E72D297353CC}">
              <c16:uniqueId val="{00000001-15B0-4960-8DCC-E41F68CDC5C6}"/>
            </c:ext>
          </c:extLst>
        </c:ser>
        <c:ser>
          <c:idx val="3"/>
          <c:order val="3"/>
          <c:tx>
            <c:strRef>
              <c:f>Лист1!$E$3</c:f>
              <c:strCache>
                <c:ptCount val="1"/>
                <c:pt idx="0">
                  <c:v>Собственный капитал</c:v>
                </c:pt>
              </c:strCache>
            </c:strRef>
          </c:tx>
          <c:spPr>
            <a:solidFill>
              <a:schemeClr val="accent4"/>
            </a:solidFill>
            <a:ln>
              <a:solidFill>
                <a:schemeClr val="bg1">
                  <a:alpha val="88000"/>
                </a:schemeClr>
              </a:solidFill>
            </a:ln>
            <a:effectLst/>
          </c:spPr>
          <c:invertIfNegative val="0"/>
          <c:cat>
            <c:numRef>
              <c:f>Лист1!$A$4:$A$6</c:f>
              <c:numCache>
                <c:formatCode>General</c:formatCode>
                <c:ptCount val="3"/>
                <c:pt idx="0">
                  <c:v>2020</c:v>
                </c:pt>
                <c:pt idx="1">
                  <c:v>2021</c:v>
                </c:pt>
                <c:pt idx="2">
                  <c:v>2022</c:v>
                </c:pt>
              </c:numCache>
            </c:numRef>
          </c:cat>
          <c:val>
            <c:numRef>
              <c:f>Лист1!$E$4:$E$6</c:f>
              <c:numCache>
                <c:formatCode>General</c:formatCode>
                <c:ptCount val="3"/>
                <c:pt idx="0">
                  <c:v>262</c:v>
                </c:pt>
                <c:pt idx="1">
                  <c:v>209</c:v>
                </c:pt>
                <c:pt idx="2">
                  <c:v>268</c:v>
                </c:pt>
              </c:numCache>
            </c:numRef>
          </c:val>
          <c:extLst>
            <c:ext xmlns:c16="http://schemas.microsoft.com/office/drawing/2014/chart" uri="{C3380CC4-5D6E-409C-BE32-E72D297353CC}">
              <c16:uniqueId val="{00000002-15B0-4960-8DCC-E41F68CDC5C6}"/>
            </c:ext>
          </c:extLst>
        </c:ser>
        <c:dLbls>
          <c:showLegendKey val="0"/>
          <c:showVal val="0"/>
          <c:showCatName val="0"/>
          <c:showSerName val="0"/>
          <c:showPercent val="0"/>
          <c:showBubbleSize val="0"/>
        </c:dLbls>
        <c:gapWidth val="219"/>
        <c:axId val="1189788752"/>
        <c:axId val="1189789168"/>
        <c:extLst>
          <c:ext xmlns:c15="http://schemas.microsoft.com/office/drawing/2012/chart" uri="{02D57815-91ED-43cb-92C2-25804820EDAC}">
            <c15:filteredBarSeries>
              <c15:ser>
                <c:idx val="2"/>
                <c:order val="2"/>
                <c:tx>
                  <c:strRef>
                    <c:extLst>
                      <c:ext uri="{02D57815-91ED-43cb-92C2-25804820EDAC}">
                        <c15:formulaRef>
                          <c15:sqref>Лист1!$D$3</c15:sqref>
                        </c15:formulaRef>
                      </c:ext>
                    </c:extLst>
                    <c:strCache>
                      <c:ptCount val="1"/>
                    </c:strCache>
                  </c:strRef>
                </c:tx>
                <c:spPr>
                  <a:solidFill>
                    <a:schemeClr val="accent3"/>
                  </a:solidFill>
                  <a:ln>
                    <a:noFill/>
                  </a:ln>
                  <a:effectLst/>
                </c:spPr>
                <c:invertIfNegative val="0"/>
                <c:cat>
                  <c:numRef>
                    <c:extLst>
                      <c:ext uri="{02D57815-91ED-43cb-92C2-25804820EDAC}">
                        <c15:formulaRef>
                          <c15:sqref>Лист1!$A$4:$A$6</c15:sqref>
                        </c15:formulaRef>
                      </c:ext>
                    </c:extLst>
                    <c:numCache>
                      <c:formatCode>General</c:formatCode>
                      <c:ptCount val="3"/>
                      <c:pt idx="0">
                        <c:v>2020</c:v>
                      </c:pt>
                      <c:pt idx="1">
                        <c:v>2021</c:v>
                      </c:pt>
                      <c:pt idx="2">
                        <c:v>2022</c:v>
                      </c:pt>
                    </c:numCache>
                  </c:numRef>
                </c:cat>
                <c:val>
                  <c:numRef>
                    <c:extLst>
                      <c:ext uri="{02D57815-91ED-43cb-92C2-25804820EDAC}">
                        <c15:formulaRef>
                          <c15:sqref>Лист1!$D$4:$D$6</c15:sqref>
                        </c15:formulaRef>
                      </c:ext>
                    </c:extLst>
                    <c:numCache>
                      <c:formatCode>General</c:formatCode>
                      <c:ptCount val="3"/>
                      <c:pt idx="0">
                        <c:v>2020</c:v>
                      </c:pt>
                      <c:pt idx="1">
                        <c:v>2021</c:v>
                      </c:pt>
                      <c:pt idx="2">
                        <c:v>2022</c:v>
                      </c:pt>
                    </c:numCache>
                  </c:numRef>
                </c:val>
                <c:extLst>
                  <c:ext xmlns:c16="http://schemas.microsoft.com/office/drawing/2014/chart" uri="{C3380CC4-5D6E-409C-BE32-E72D297353CC}">
                    <c16:uniqueId val="{00000004-15B0-4960-8DCC-E41F68CDC5C6}"/>
                  </c:ext>
                </c:extLst>
              </c15:ser>
            </c15:filteredBarSeries>
          </c:ext>
        </c:extLst>
      </c:barChart>
      <c:lineChart>
        <c:grouping val="standard"/>
        <c:varyColors val="0"/>
        <c:ser>
          <c:idx val="4"/>
          <c:order val="4"/>
          <c:tx>
            <c:strRef>
              <c:f>Лист1!$F$3</c:f>
              <c:strCache>
                <c:ptCount val="1"/>
              </c:strCache>
            </c:strRef>
          </c:tx>
          <c:spPr>
            <a:ln w="28575" cap="rnd">
              <a:solidFill>
                <a:schemeClr val="bg1">
                  <a:alpha val="0"/>
                </a:schemeClr>
              </a:solidFill>
              <a:round/>
            </a:ln>
            <a:effectLst/>
          </c:spPr>
          <c:marker>
            <c:symbol val="none"/>
          </c:marker>
          <c:val>
            <c:numRef>
              <c:f>Лист1!$F$4:$F$6</c:f>
              <c:numCache>
                <c:formatCode>0.0%</c:formatCode>
                <c:ptCount val="3"/>
                <c:pt idx="0">
                  <c:v>0.76400000000000001</c:v>
                </c:pt>
                <c:pt idx="1">
                  <c:v>0.80400000000000005</c:v>
                </c:pt>
                <c:pt idx="2">
                  <c:v>0.79500000000000004</c:v>
                </c:pt>
              </c:numCache>
            </c:numRef>
          </c:val>
          <c:smooth val="0"/>
          <c:extLst>
            <c:ext xmlns:c16="http://schemas.microsoft.com/office/drawing/2014/chart" uri="{C3380CC4-5D6E-409C-BE32-E72D297353CC}">
              <c16:uniqueId val="{00000003-15B0-4960-8DCC-E41F68CDC5C6}"/>
            </c:ext>
          </c:extLst>
        </c:ser>
        <c:dLbls>
          <c:showLegendKey val="0"/>
          <c:showVal val="0"/>
          <c:showCatName val="0"/>
          <c:showSerName val="0"/>
          <c:showPercent val="0"/>
          <c:showBubbleSize val="0"/>
        </c:dLbls>
        <c:marker val="1"/>
        <c:smooth val="0"/>
        <c:axId val="1181907904"/>
        <c:axId val="1181908320"/>
      </c:lineChart>
      <c:catAx>
        <c:axId val="1189788752"/>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189789168"/>
        <c:crosses val="autoZero"/>
        <c:auto val="1"/>
        <c:lblAlgn val="ctr"/>
        <c:lblOffset val="100"/>
        <c:noMultiLvlLbl val="0"/>
      </c:catAx>
      <c:valAx>
        <c:axId val="118978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9788752"/>
        <c:crosses val="autoZero"/>
        <c:crossBetween val="between"/>
      </c:valAx>
      <c:valAx>
        <c:axId val="1181908320"/>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81907904"/>
        <c:crosses val="max"/>
        <c:crossBetween val="between"/>
      </c:valAx>
      <c:catAx>
        <c:axId val="1181907904"/>
        <c:scaling>
          <c:orientation val="minMax"/>
        </c:scaling>
        <c:delete val="1"/>
        <c:axPos val="b"/>
        <c:majorTickMark val="out"/>
        <c:minorTickMark val="none"/>
        <c:tickLblPos val="nextTo"/>
        <c:crossAx val="1181908320"/>
        <c:crosses val="autoZero"/>
        <c:auto val="1"/>
        <c:lblAlgn val="ctr"/>
        <c:lblOffset val="100"/>
        <c:noMultiLvlLbl val="0"/>
      </c:cat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fsmk3hXNfavIvnhp7Iw9QK1Jj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yCWguM3pueXNoNzIJaC4yZXQ5MnAwMghoLnR5amN3dDIJaC4zZHk2dmttMgloLjF0M2g1c2Y4AHIhMUlvdmRDSDg5UzROSU9GalhtN0hZT2JXNVkwSXJqR3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2023-05-18T03:20:00Z</dcterms:created>
  <dc:creator>Даниил Ефанов</dc:creator>
</cp:coreProperties>
</file>