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04927" w:rsidRDefault="00A04927">
      <w:pPr>
        <w:rPr>
          <w:b/>
          <w:sz w:val="56"/>
          <w:szCs w:val="56"/>
        </w:rPr>
      </w:pPr>
    </w:p>
    <w:p w:rsidR="00A04927" w:rsidRDefault="00A04927" w:rsidP="00A04927">
      <w:pPr>
        <w:jc w:val="center"/>
        <w:rPr>
          <w:b/>
          <w:sz w:val="56"/>
          <w:szCs w:val="56"/>
        </w:rPr>
      </w:pPr>
      <w:r>
        <w:rPr>
          <w:noProof/>
          <w:sz w:val="34"/>
          <w:szCs w:val="34"/>
        </w:rPr>
        <w:drawing>
          <wp:inline distT="114300" distB="114300" distL="114300" distR="114300" wp14:anchorId="19335FE9" wp14:editId="62F31E0C">
            <wp:extent cx="3452813" cy="5013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52813" cy="501345"/>
                    </a:xfrm>
                    <a:prstGeom prst="rect">
                      <a:avLst/>
                    </a:prstGeom>
                    <a:ln/>
                  </pic:spPr>
                </pic:pic>
              </a:graphicData>
            </a:graphic>
          </wp:inline>
        </w:drawing>
      </w:r>
    </w:p>
    <w:p w:rsidR="00A04927" w:rsidRDefault="00A04927">
      <w:pPr>
        <w:rPr>
          <w:b/>
          <w:sz w:val="56"/>
          <w:szCs w:val="56"/>
        </w:rPr>
      </w:pPr>
    </w:p>
    <w:p w:rsidR="00A04927" w:rsidRDefault="00A04927" w:rsidP="00A04927">
      <w:pPr>
        <w:pBdr>
          <w:top w:val="single" w:sz="4" w:space="1" w:color="auto"/>
          <w:left w:val="single" w:sz="4" w:space="4" w:color="auto"/>
          <w:bottom w:val="single" w:sz="4" w:space="1" w:color="auto"/>
          <w:right w:val="single" w:sz="4" w:space="4" w:color="auto"/>
        </w:pBdr>
        <w:jc w:val="center"/>
        <w:rPr>
          <w:b/>
          <w:sz w:val="56"/>
          <w:szCs w:val="56"/>
        </w:rPr>
      </w:pPr>
      <w:r>
        <w:rPr>
          <w:b/>
          <w:sz w:val="56"/>
          <w:szCs w:val="56"/>
        </w:rPr>
        <w:t>INFORMATION MEMORANDUM</w:t>
      </w:r>
    </w:p>
    <w:p w:rsidR="00A04927" w:rsidRDefault="00A04927" w:rsidP="00A04927">
      <w:pPr>
        <w:jc w:val="center"/>
        <w:rPr>
          <w:b/>
          <w:sz w:val="60"/>
          <w:szCs w:val="60"/>
        </w:rPr>
      </w:pPr>
    </w:p>
    <w:p w:rsidR="009B11BB" w:rsidRDefault="00000000" w:rsidP="00A04927">
      <w:pPr>
        <w:jc w:val="center"/>
        <w:rPr>
          <w:b/>
          <w:sz w:val="52"/>
          <w:szCs w:val="52"/>
        </w:rPr>
      </w:pPr>
      <w:r>
        <w:rPr>
          <w:b/>
          <w:sz w:val="52"/>
          <w:szCs w:val="52"/>
        </w:rPr>
        <w:t>Investment Opportunity in the Educational Sharing Economy Platform Business</w:t>
      </w:r>
    </w:p>
    <w:p w:rsidR="009B11BB" w:rsidRDefault="009B11BB">
      <w:pPr>
        <w:rPr>
          <w:sz w:val="52"/>
          <w:szCs w:val="52"/>
        </w:rPr>
      </w:pPr>
    </w:p>
    <w:p w:rsidR="009B11BB" w:rsidRDefault="009B11BB">
      <w:pPr>
        <w:rPr>
          <w:sz w:val="52"/>
          <w:szCs w:val="52"/>
        </w:rPr>
      </w:pPr>
    </w:p>
    <w:p w:rsidR="009B11BB" w:rsidRDefault="00000000" w:rsidP="00A04927">
      <w:pPr>
        <w:jc w:val="center"/>
        <w:rPr>
          <w:sz w:val="52"/>
          <w:szCs w:val="52"/>
        </w:rPr>
      </w:pPr>
      <w:r>
        <w:rPr>
          <w:sz w:val="52"/>
          <w:szCs w:val="52"/>
        </w:rPr>
        <w:t xml:space="preserve">Sifututor &amp; Nakngaji - The </w:t>
      </w:r>
      <w:r w:rsidR="00A04927">
        <w:rPr>
          <w:sz w:val="52"/>
          <w:szCs w:val="52"/>
        </w:rPr>
        <w:t>Online Platform</w:t>
      </w:r>
      <w:r>
        <w:rPr>
          <w:sz w:val="52"/>
          <w:szCs w:val="52"/>
        </w:rPr>
        <w:t xml:space="preserve"> of Education</w:t>
      </w:r>
    </w:p>
    <w:p w:rsidR="00A04927" w:rsidRDefault="00A04927" w:rsidP="00A04927">
      <w:pPr>
        <w:jc w:val="center"/>
        <w:rPr>
          <w:sz w:val="34"/>
          <w:szCs w:val="34"/>
        </w:rPr>
      </w:pPr>
    </w:p>
    <w:p w:rsidR="009B11BB" w:rsidRDefault="009B11BB">
      <w:pPr>
        <w:rPr>
          <w:sz w:val="34"/>
          <w:szCs w:val="34"/>
        </w:rPr>
      </w:pPr>
    </w:p>
    <w:p w:rsidR="009B11BB" w:rsidRDefault="009B11BB">
      <w:pPr>
        <w:rPr>
          <w:sz w:val="34"/>
          <w:szCs w:val="34"/>
        </w:rPr>
      </w:pPr>
    </w:p>
    <w:p w:rsidR="009B11BB" w:rsidRDefault="009B11BB">
      <w:pPr>
        <w:rPr>
          <w:sz w:val="34"/>
          <w:szCs w:val="34"/>
        </w:rPr>
      </w:pPr>
    </w:p>
    <w:p w:rsidR="009B11BB" w:rsidRDefault="009B11BB">
      <w:pPr>
        <w:rPr>
          <w:sz w:val="34"/>
          <w:szCs w:val="34"/>
        </w:rPr>
      </w:pPr>
    </w:p>
    <w:p w:rsidR="00A04927" w:rsidRPr="00A04927" w:rsidRDefault="00A04927" w:rsidP="00A04927">
      <w:pPr>
        <w:jc w:val="center"/>
        <w:rPr>
          <w:b/>
          <w:bCs/>
          <w:color w:val="FF0000"/>
          <w:sz w:val="36"/>
          <w:szCs w:val="36"/>
        </w:rPr>
      </w:pPr>
      <w:r w:rsidRPr="00A04927">
        <w:rPr>
          <w:b/>
          <w:bCs/>
          <w:color w:val="FF0000"/>
          <w:sz w:val="36"/>
          <w:szCs w:val="36"/>
        </w:rPr>
        <w:t>Private &amp; Confidential</w:t>
      </w:r>
    </w:p>
    <w:p w:rsidR="009B11BB" w:rsidRPr="00B61EBF" w:rsidRDefault="00A04927" w:rsidP="00A04927">
      <w:pPr>
        <w:jc w:val="center"/>
        <w:rPr>
          <w:b/>
          <w:bCs/>
          <w:sz w:val="34"/>
          <w:szCs w:val="34"/>
        </w:rPr>
      </w:pPr>
      <w:r>
        <w:rPr>
          <w:b/>
          <w:bCs/>
          <w:sz w:val="30"/>
          <w:szCs w:val="30"/>
        </w:rPr>
        <w:t>October 2024</w:t>
      </w:r>
      <w:r w:rsidRPr="00B61EBF">
        <w:rPr>
          <w:b/>
          <w:bCs/>
        </w:rPr>
        <w:br w:type="page"/>
      </w:r>
    </w:p>
    <w:p w:rsidR="009B11BB" w:rsidRPr="00B61EBF" w:rsidRDefault="00000000">
      <w:pPr>
        <w:rPr>
          <w:b/>
          <w:bCs/>
          <w:sz w:val="34"/>
          <w:szCs w:val="34"/>
          <w:u w:val="single"/>
        </w:rPr>
      </w:pPr>
      <w:r w:rsidRPr="00B61EBF">
        <w:rPr>
          <w:b/>
          <w:bCs/>
          <w:sz w:val="34"/>
          <w:szCs w:val="34"/>
          <w:u w:val="single"/>
        </w:rPr>
        <w:lastRenderedPageBreak/>
        <w:t>Table of Content</w:t>
      </w:r>
    </w:p>
    <w:p w:rsidR="009B11BB" w:rsidRDefault="009B11BB">
      <w:pPr>
        <w:rPr>
          <w:sz w:val="34"/>
          <w:szCs w:val="34"/>
        </w:rPr>
      </w:pPr>
    </w:p>
    <w:sdt>
      <w:sdtPr>
        <w:id w:val="-601873508"/>
        <w:docPartObj>
          <w:docPartGallery w:val="Table of Contents"/>
          <w:docPartUnique/>
        </w:docPartObj>
      </w:sdtPr>
      <w:sdtContent>
        <w:p w:rsidR="009B11BB" w:rsidRDefault="009B11BB">
          <w:pPr>
            <w:widowControl w:val="0"/>
            <w:tabs>
              <w:tab w:val="right" w:leader="dot" w:pos="12000"/>
            </w:tabs>
            <w:spacing w:before="60" w:line="240" w:lineRule="auto"/>
            <w:rPr>
              <w:b/>
              <w:color w:val="000000"/>
            </w:rPr>
          </w:pPr>
          <w:r>
            <w:fldChar w:fldCharType="begin"/>
          </w:r>
          <w:r w:rsidR="00000000">
            <w:instrText xml:space="preserve"> TOC \h \u \z \t "Heading 1,1,Heading 2,2,Heading 3,3,Heading 4,4,Heading 5,5,Heading 6,6,"</w:instrText>
          </w:r>
          <w:r>
            <w:fldChar w:fldCharType="separate"/>
          </w:r>
          <w:hyperlink w:anchor="_ga2tk8czsk0g">
            <w:r>
              <w:rPr>
                <w:b/>
                <w:color w:val="000000"/>
              </w:rPr>
              <w:t xml:space="preserve">1. </w:t>
            </w:r>
            <w:r w:rsidR="00A04927">
              <w:rPr>
                <w:b/>
                <w:color w:val="000000"/>
              </w:rPr>
              <w:t>EXECUTIVE SUMMARY</w:t>
            </w:r>
            <w:r>
              <w:rPr>
                <w:b/>
                <w:color w:val="000000"/>
              </w:rPr>
              <w:tab/>
              <w:t>3</w:t>
            </w:r>
          </w:hyperlink>
        </w:p>
        <w:p w:rsidR="009B11BB" w:rsidRDefault="009B11BB">
          <w:pPr>
            <w:widowControl w:val="0"/>
            <w:tabs>
              <w:tab w:val="right" w:leader="dot" w:pos="12000"/>
            </w:tabs>
            <w:spacing w:before="60" w:line="240" w:lineRule="auto"/>
            <w:rPr>
              <w:b/>
              <w:color w:val="000000"/>
            </w:rPr>
          </w:pPr>
          <w:hyperlink w:anchor="_bfhld3expf9p">
            <w:r>
              <w:rPr>
                <w:b/>
                <w:color w:val="000000"/>
              </w:rPr>
              <w:t>2. DETAILS OF THE COMPANY</w:t>
            </w:r>
            <w:r>
              <w:rPr>
                <w:b/>
                <w:color w:val="000000"/>
              </w:rPr>
              <w:tab/>
              <w:t>3</w:t>
            </w:r>
          </w:hyperlink>
        </w:p>
        <w:p w:rsidR="009B11BB" w:rsidRDefault="009B11BB">
          <w:pPr>
            <w:widowControl w:val="0"/>
            <w:tabs>
              <w:tab w:val="right" w:leader="dot" w:pos="12000"/>
            </w:tabs>
            <w:spacing w:before="60" w:line="240" w:lineRule="auto"/>
            <w:ind w:left="360"/>
            <w:rPr>
              <w:color w:val="000000"/>
            </w:rPr>
          </w:pPr>
          <w:hyperlink w:anchor="_snv3x5d8a8uo">
            <w:r>
              <w:rPr>
                <w:color w:val="000000"/>
              </w:rPr>
              <w:t>2.1 About U</w:t>
            </w:r>
            <w:r>
              <w:rPr>
                <w:color w:val="000000"/>
              </w:rPr>
              <w:tab/>
              <w:t>3</w:t>
            </w:r>
          </w:hyperlink>
        </w:p>
        <w:p w:rsidR="009B11BB" w:rsidRDefault="009B11BB">
          <w:pPr>
            <w:widowControl w:val="0"/>
            <w:tabs>
              <w:tab w:val="right" w:leader="dot" w:pos="12000"/>
            </w:tabs>
            <w:spacing w:before="60" w:line="240" w:lineRule="auto"/>
            <w:ind w:left="360"/>
            <w:rPr>
              <w:color w:val="000000"/>
            </w:rPr>
          </w:pPr>
          <w:hyperlink w:anchor="_ijbcg9ozntry">
            <w:r>
              <w:rPr>
                <w:color w:val="000000"/>
              </w:rPr>
              <w:t>2.2 Overview of Business Model</w:t>
            </w:r>
            <w:r>
              <w:rPr>
                <w:color w:val="000000"/>
              </w:rPr>
              <w:tab/>
              <w:t>4</w:t>
            </w:r>
          </w:hyperlink>
        </w:p>
        <w:p w:rsidR="009B11BB" w:rsidRDefault="009B11BB">
          <w:pPr>
            <w:widowControl w:val="0"/>
            <w:tabs>
              <w:tab w:val="right" w:leader="dot" w:pos="12000"/>
            </w:tabs>
            <w:spacing w:before="60" w:line="240" w:lineRule="auto"/>
            <w:ind w:left="360"/>
            <w:rPr>
              <w:color w:val="000000"/>
            </w:rPr>
          </w:pPr>
          <w:hyperlink w:anchor="_rapmm0fbexwm">
            <w:r>
              <w:rPr>
                <w:color w:val="000000"/>
              </w:rPr>
              <w:t>2.3 Historical Performance</w:t>
            </w:r>
            <w:r>
              <w:rPr>
                <w:color w:val="000000"/>
              </w:rPr>
              <w:tab/>
              <w:t>4</w:t>
            </w:r>
          </w:hyperlink>
        </w:p>
        <w:p w:rsidR="009B11BB" w:rsidRDefault="009B11BB">
          <w:pPr>
            <w:widowControl w:val="0"/>
            <w:tabs>
              <w:tab w:val="right" w:leader="dot" w:pos="12000"/>
            </w:tabs>
            <w:spacing w:before="60" w:line="240" w:lineRule="auto"/>
            <w:ind w:left="360"/>
            <w:rPr>
              <w:color w:val="000000"/>
            </w:rPr>
          </w:pPr>
          <w:hyperlink w:anchor="_xsdf0cjk2hv2">
            <w:r>
              <w:rPr>
                <w:color w:val="000000"/>
              </w:rPr>
              <w:t>2.4 Historical Growth of the Company</w:t>
            </w:r>
            <w:r>
              <w:rPr>
                <w:color w:val="000000"/>
              </w:rPr>
              <w:tab/>
              <w:t>5</w:t>
            </w:r>
          </w:hyperlink>
        </w:p>
        <w:p w:rsidR="009B11BB" w:rsidRDefault="009B11BB">
          <w:pPr>
            <w:widowControl w:val="0"/>
            <w:tabs>
              <w:tab w:val="right" w:leader="dot" w:pos="12000"/>
            </w:tabs>
            <w:spacing w:before="60" w:line="240" w:lineRule="auto"/>
            <w:rPr>
              <w:b/>
              <w:color w:val="000000"/>
            </w:rPr>
          </w:pPr>
          <w:hyperlink w:anchor="_lgxvg4dxo1xs">
            <w:r>
              <w:rPr>
                <w:b/>
                <w:color w:val="000000"/>
              </w:rPr>
              <w:t xml:space="preserve">3. </w:t>
            </w:r>
            <w:r w:rsidR="0028753C">
              <w:rPr>
                <w:b/>
                <w:color w:val="000000"/>
              </w:rPr>
              <w:t>EXPANSION PLAN AND RATIONALE</w:t>
            </w:r>
            <w:r>
              <w:rPr>
                <w:b/>
                <w:color w:val="000000"/>
              </w:rPr>
              <w:tab/>
              <w:t>6</w:t>
            </w:r>
          </w:hyperlink>
        </w:p>
        <w:p w:rsidR="009B11BB" w:rsidRDefault="009B11BB">
          <w:pPr>
            <w:widowControl w:val="0"/>
            <w:tabs>
              <w:tab w:val="right" w:leader="dot" w:pos="12000"/>
            </w:tabs>
            <w:spacing w:before="60" w:line="240" w:lineRule="auto"/>
            <w:rPr>
              <w:b/>
              <w:color w:val="000000"/>
            </w:rPr>
          </w:pPr>
          <w:hyperlink w:anchor="_x2ctbbxdv102">
            <w:r>
              <w:rPr>
                <w:b/>
                <w:color w:val="000000"/>
              </w:rPr>
              <w:t xml:space="preserve">4. </w:t>
            </w:r>
            <w:r w:rsidR="0028753C">
              <w:rPr>
                <w:b/>
                <w:color w:val="000000"/>
              </w:rPr>
              <w:t>CAPITAL REQUIREMENTS AND UTILIZATION</w:t>
            </w:r>
            <w:r>
              <w:rPr>
                <w:b/>
                <w:color w:val="000000"/>
              </w:rPr>
              <w:tab/>
              <w:t>8</w:t>
            </w:r>
          </w:hyperlink>
        </w:p>
        <w:p w:rsidR="009B11BB" w:rsidRDefault="009B11BB">
          <w:pPr>
            <w:widowControl w:val="0"/>
            <w:tabs>
              <w:tab w:val="right" w:leader="dot" w:pos="12000"/>
            </w:tabs>
            <w:spacing w:before="60" w:line="240" w:lineRule="auto"/>
            <w:rPr>
              <w:b/>
              <w:color w:val="000000"/>
            </w:rPr>
          </w:pPr>
          <w:hyperlink w:anchor="_5qjtg4wzvn4d">
            <w:r>
              <w:rPr>
                <w:b/>
                <w:color w:val="000000"/>
              </w:rPr>
              <w:t xml:space="preserve">5. </w:t>
            </w:r>
            <w:r w:rsidR="0028753C">
              <w:rPr>
                <w:b/>
                <w:color w:val="000000"/>
              </w:rPr>
              <w:t>SUMMARY FINANCIAL PROJECTION</w:t>
            </w:r>
            <w:r>
              <w:rPr>
                <w:b/>
                <w:color w:val="000000"/>
              </w:rPr>
              <w:tab/>
              <w:t>9</w:t>
            </w:r>
          </w:hyperlink>
        </w:p>
        <w:p w:rsidR="0028753C" w:rsidRDefault="0028753C">
          <w:pPr>
            <w:widowControl w:val="0"/>
            <w:tabs>
              <w:tab w:val="right" w:leader="dot" w:pos="12000"/>
            </w:tabs>
            <w:spacing w:before="60" w:line="240" w:lineRule="auto"/>
            <w:rPr>
              <w:b/>
              <w:color w:val="000000"/>
            </w:rPr>
          </w:pPr>
          <w:r>
            <w:rPr>
              <w:b/>
              <w:color w:val="000000"/>
            </w:rPr>
            <w:t>6. COMPETITIVE LANDSCAPE</w:t>
          </w:r>
        </w:p>
        <w:p w:rsidR="0028753C" w:rsidRDefault="0028753C">
          <w:pPr>
            <w:widowControl w:val="0"/>
            <w:tabs>
              <w:tab w:val="right" w:leader="dot" w:pos="12000"/>
            </w:tabs>
            <w:spacing w:before="60" w:line="240" w:lineRule="auto"/>
            <w:rPr>
              <w:b/>
              <w:color w:val="000000"/>
            </w:rPr>
          </w:pPr>
          <w:r>
            <w:rPr>
              <w:b/>
              <w:color w:val="000000"/>
            </w:rPr>
            <w:t>7. KEY INVESTMENT CONSIDERATIONS</w:t>
          </w:r>
        </w:p>
        <w:p w:rsidR="0028753C" w:rsidRDefault="0028753C">
          <w:pPr>
            <w:widowControl w:val="0"/>
            <w:tabs>
              <w:tab w:val="right" w:leader="dot" w:pos="12000"/>
            </w:tabs>
            <w:spacing w:before="60" w:line="240" w:lineRule="auto"/>
            <w:rPr>
              <w:b/>
              <w:color w:val="000000"/>
            </w:rPr>
          </w:pPr>
          <w:r>
            <w:rPr>
              <w:b/>
              <w:color w:val="000000"/>
            </w:rPr>
            <w:t>8. KEY BENEFITS TO THE COMMUNITY</w:t>
          </w:r>
        </w:p>
        <w:p w:rsidR="0028753C" w:rsidRDefault="0028753C">
          <w:pPr>
            <w:widowControl w:val="0"/>
            <w:tabs>
              <w:tab w:val="right" w:leader="dot" w:pos="12000"/>
            </w:tabs>
            <w:spacing w:before="60" w:line="240" w:lineRule="auto"/>
            <w:rPr>
              <w:b/>
              <w:color w:val="000000"/>
            </w:rPr>
          </w:pPr>
          <w:r>
            <w:rPr>
              <w:b/>
              <w:color w:val="000000"/>
            </w:rPr>
            <w:t>9. EXIT STRATEGY</w:t>
          </w:r>
        </w:p>
        <w:p w:rsidR="0028753C" w:rsidRDefault="0028753C">
          <w:pPr>
            <w:widowControl w:val="0"/>
            <w:tabs>
              <w:tab w:val="right" w:leader="dot" w:pos="12000"/>
            </w:tabs>
            <w:spacing w:before="60" w:line="240" w:lineRule="auto"/>
            <w:rPr>
              <w:b/>
              <w:color w:val="000000"/>
            </w:rPr>
          </w:pPr>
          <w:r>
            <w:rPr>
              <w:b/>
              <w:color w:val="000000"/>
            </w:rPr>
            <w:t>10. INVESTMENT HIGHLIGHTS</w:t>
          </w:r>
        </w:p>
        <w:p w:rsidR="0028753C" w:rsidRDefault="0028753C">
          <w:pPr>
            <w:widowControl w:val="0"/>
            <w:tabs>
              <w:tab w:val="right" w:leader="dot" w:pos="12000"/>
            </w:tabs>
            <w:spacing w:before="60" w:line="240" w:lineRule="auto"/>
            <w:rPr>
              <w:b/>
              <w:color w:val="000000"/>
            </w:rPr>
          </w:pPr>
          <w:r>
            <w:rPr>
              <w:b/>
              <w:color w:val="000000"/>
            </w:rPr>
            <w:t>11. CONCLUSION</w:t>
          </w:r>
        </w:p>
        <w:p w:rsidR="009B11BB" w:rsidRDefault="009B11BB">
          <w:pPr>
            <w:widowControl w:val="0"/>
            <w:tabs>
              <w:tab w:val="right" w:leader="dot" w:pos="12000"/>
            </w:tabs>
            <w:spacing w:before="60" w:line="240" w:lineRule="auto"/>
            <w:rPr>
              <w:b/>
              <w:color w:val="000000"/>
            </w:rPr>
          </w:pPr>
          <w:r>
            <w:fldChar w:fldCharType="end"/>
          </w:r>
        </w:p>
      </w:sdtContent>
    </w:sdt>
    <w:p w:rsidR="009B11BB" w:rsidRDefault="00000000">
      <w:pPr>
        <w:pStyle w:val="Heading1"/>
      </w:pPr>
      <w:bookmarkStart w:id="0" w:name="_xe7kwabsm35v" w:colFirst="0" w:colLast="0"/>
      <w:bookmarkEnd w:id="0"/>
      <w:r>
        <w:br w:type="page"/>
      </w:r>
    </w:p>
    <w:p w:rsidR="009B11BB" w:rsidRPr="00A04927" w:rsidRDefault="00000000">
      <w:pPr>
        <w:pStyle w:val="Heading1"/>
        <w:rPr>
          <w:color w:val="0070C0"/>
        </w:rPr>
      </w:pPr>
      <w:bookmarkStart w:id="1" w:name="_ga2tk8czsk0g" w:colFirst="0" w:colLast="0"/>
      <w:bookmarkEnd w:id="1"/>
      <w:r w:rsidRPr="00A04927">
        <w:rPr>
          <w:color w:val="0070C0"/>
        </w:rPr>
        <w:lastRenderedPageBreak/>
        <w:t xml:space="preserve">1. </w:t>
      </w:r>
      <w:r w:rsidR="00C62094" w:rsidRPr="00A04927">
        <w:rPr>
          <w:color w:val="0070C0"/>
        </w:rPr>
        <w:t>EXECUTIVE SUMMARY</w:t>
      </w:r>
    </w:p>
    <w:p w:rsidR="009B11BB" w:rsidRDefault="009B11BB"/>
    <w:p w:rsidR="000B2C93" w:rsidRDefault="000B2C93" w:rsidP="00A04927">
      <w:pPr>
        <w:spacing w:line="360" w:lineRule="auto"/>
        <w:jc w:val="both"/>
      </w:pPr>
      <w:r>
        <w:t xml:space="preserve">SifuTutor and NakNgaji, leading edtech platforms in Southeast Asia, seek </w:t>
      </w:r>
      <w:r w:rsidRPr="000B2C93">
        <w:rPr>
          <w:b/>
          <w:bCs/>
          <w:sz w:val="28"/>
          <w:szCs w:val="28"/>
          <w:u w:val="single"/>
        </w:rPr>
        <w:t>RM10 million</w:t>
      </w:r>
      <w:r>
        <w:t xml:space="preserve"> in investment to fund expansion into Indonesia, USA, and Europe, while enhancing operations in existing markets (Malaysia, Singapore, and Brunei). With a proven track record of growth and a robust technological foundation, we aim to capitalize on the burgeoning global demand for online tutoring and Islamic education services.</w:t>
      </w:r>
    </w:p>
    <w:p w:rsidR="009B11BB" w:rsidRPr="00A04927" w:rsidRDefault="009B11BB" w:rsidP="00A04927">
      <w:pPr>
        <w:spacing w:line="360" w:lineRule="auto"/>
        <w:rPr>
          <w:b/>
          <w:color w:val="0070C0"/>
        </w:rPr>
      </w:pPr>
    </w:p>
    <w:p w:rsidR="009B11BB" w:rsidRPr="00A04927" w:rsidRDefault="009B11BB">
      <w:pPr>
        <w:rPr>
          <w:b/>
          <w:color w:val="0070C0"/>
        </w:rPr>
      </w:pPr>
    </w:p>
    <w:p w:rsidR="009B11BB" w:rsidRPr="00A04927" w:rsidRDefault="00000000">
      <w:pPr>
        <w:pStyle w:val="Heading1"/>
        <w:rPr>
          <w:color w:val="0070C0"/>
        </w:rPr>
      </w:pPr>
      <w:bookmarkStart w:id="2" w:name="_bfhld3expf9p" w:colFirst="0" w:colLast="0"/>
      <w:bookmarkEnd w:id="2"/>
      <w:r w:rsidRPr="00A04927">
        <w:rPr>
          <w:color w:val="0070C0"/>
        </w:rPr>
        <w:t>2. DETAILS OF THE COMPANY</w:t>
      </w:r>
    </w:p>
    <w:p w:rsidR="009B11BB" w:rsidRDefault="009B11BB"/>
    <w:p w:rsidR="009B11BB" w:rsidRDefault="00000000" w:rsidP="00A04927">
      <w:pPr>
        <w:spacing w:line="360" w:lineRule="auto"/>
      </w:pPr>
      <w:r>
        <w:t>The following is a brief overview of the company.</w:t>
      </w:r>
    </w:p>
    <w:p w:rsidR="009B11BB" w:rsidRDefault="009B11BB" w:rsidP="00A04927">
      <w:pPr>
        <w:spacing w:line="360" w:lineRule="auto"/>
      </w:pPr>
    </w:p>
    <w:p w:rsidR="009B11BB" w:rsidRDefault="00000000" w:rsidP="00A04927">
      <w:pPr>
        <w:pStyle w:val="Heading2"/>
        <w:spacing w:line="360" w:lineRule="auto"/>
        <w:rPr>
          <w:i/>
        </w:rPr>
      </w:pPr>
      <w:bookmarkStart w:id="3" w:name="_snv3x5d8a8uo" w:colFirst="0" w:colLast="0"/>
      <w:bookmarkEnd w:id="3"/>
      <w:r>
        <w:rPr>
          <w:i/>
        </w:rPr>
        <w:t>2.1 About Us</w:t>
      </w:r>
    </w:p>
    <w:p w:rsidR="009B11BB" w:rsidRDefault="009B11BB" w:rsidP="00A04927">
      <w:pPr>
        <w:spacing w:line="360" w:lineRule="auto"/>
      </w:pPr>
    </w:p>
    <w:p w:rsidR="009B11BB" w:rsidRDefault="00000000" w:rsidP="00A04927">
      <w:pPr>
        <w:spacing w:line="360" w:lineRule="auto"/>
        <w:jc w:val="both"/>
        <w:rPr>
          <w:highlight w:val="white"/>
        </w:rPr>
      </w:pPr>
      <w:r>
        <w:t>Established in 2018 by Russian marine engineering graduates Syamil Yusoff and Hafiz Razali, Sifututor and Nakngaji were born out of their shared commitment to overcoming the challenge of finding reputable tutors for children while addressing the lack of opportunities for</w:t>
      </w:r>
      <w:r>
        <w:rPr>
          <w:highlight w:val="white"/>
        </w:rPr>
        <w:t xml:space="preserve"> tutors, teachers and professionals to supplement their income in the dynamic gig economy.</w:t>
      </w:r>
    </w:p>
    <w:p w:rsidR="009B11BB" w:rsidRDefault="009B11BB" w:rsidP="00A04927">
      <w:pPr>
        <w:spacing w:line="360" w:lineRule="auto"/>
        <w:jc w:val="both"/>
      </w:pPr>
    </w:p>
    <w:p w:rsidR="009B11BB" w:rsidRDefault="00000000" w:rsidP="00A04927">
      <w:pPr>
        <w:spacing w:line="360" w:lineRule="auto"/>
        <w:jc w:val="both"/>
      </w:pPr>
      <w:r>
        <w:t xml:space="preserve">Evolving from a conventional tutoring service to a digital platform in 2019, the company seamlessly connects parents with their preferred Tutor-Partners while handling scheduling, reporting, and payments. SifuTutor and Nakngaji has become a trusted platform for students, parents, and educators alike, embodying principles of personalized attention and academic rigor. </w:t>
      </w:r>
    </w:p>
    <w:p w:rsidR="009B11BB" w:rsidRDefault="009B11BB" w:rsidP="00A04927">
      <w:pPr>
        <w:spacing w:line="360" w:lineRule="auto"/>
        <w:jc w:val="both"/>
      </w:pPr>
    </w:p>
    <w:p w:rsidR="009B11BB" w:rsidRDefault="00000000" w:rsidP="00A04927">
      <w:pPr>
        <w:spacing w:line="360" w:lineRule="auto"/>
        <w:jc w:val="both"/>
      </w:pPr>
      <w:r>
        <w:t xml:space="preserve">With a powerhouse of over 39,000 registered tutors, we’ve positively impacted the lives of approximately 35,000 students since our launch. Beyond education, we’re disrupting the gig economy in Malaysia by offering a tech-driven, well-matched alternative that aligns opportunities with skills and educational backgrounds, much like Grab or Uber. </w:t>
      </w:r>
    </w:p>
    <w:p w:rsidR="009B11BB" w:rsidRDefault="009B11BB" w:rsidP="00A04927">
      <w:pPr>
        <w:spacing w:line="360" w:lineRule="auto"/>
        <w:jc w:val="both"/>
      </w:pPr>
    </w:p>
    <w:p w:rsidR="009B11BB" w:rsidRDefault="00000000" w:rsidP="00A04927">
      <w:pPr>
        <w:spacing w:line="360" w:lineRule="auto"/>
        <w:jc w:val="both"/>
      </w:pPr>
      <w:r>
        <w:t xml:space="preserve">Moving forward, the company remains committed to shaping tutoring success stories </w:t>
      </w:r>
      <w:r w:rsidR="0057201A">
        <w:t>and aspires</w:t>
      </w:r>
      <w:r>
        <w:t xml:space="preserve"> to be the preferred destination for those seeking fulfilling careers in education. SifuTutor and Nakngaji envisions becoming the people’s choice, thriving as a beacon of opportunity and excellence in the education sector.</w:t>
      </w:r>
      <w:r>
        <w:br/>
      </w:r>
      <w:r>
        <w:lastRenderedPageBreak/>
        <w:br/>
      </w:r>
      <w:bookmarkStart w:id="4" w:name="_ijbcg9ozntry" w:colFirst="0" w:colLast="0"/>
      <w:bookmarkEnd w:id="4"/>
    </w:p>
    <w:p w:rsidR="009B11BB" w:rsidRDefault="00000000">
      <w:pPr>
        <w:pStyle w:val="Heading2"/>
        <w:rPr>
          <w:i/>
        </w:rPr>
      </w:pPr>
      <w:r>
        <w:rPr>
          <w:i/>
        </w:rPr>
        <w:t>2.2 Overview of Business Model</w:t>
      </w:r>
    </w:p>
    <w:p w:rsidR="009B11BB" w:rsidRDefault="009B11BB"/>
    <w:p w:rsidR="009B11BB" w:rsidRDefault="00000000" w:rsidP="00A04927">
      <w:pPr>
        <w:spacing w:line="360" w:lineRule="auto"/>
        <w:jc w:val="both"/>
      </w:pPr>
      <w:r>
        <w:t>In response to the intricate challenges posed by the fluctuating supply and demand dynamics in</w:t>
      </w:r>
    </w:p>
    <w:p w:rsidR="009B11BB" w:rsidRDefault="00000000" w:rsidP="00A04927">
      <w:pPr>
        <w:spacing w:line="360" w:lineRule="auto"/>
        <w:jc w:val="both"/>
      </w:pPr>
      <w:r>
        <w:t>tutoring, we proactively introduced an all-encompassing web and mobile app solution. This pioneering platform effortlessly bridges the gap between customers from Malaysia, Brunei and Singapore and Tutor-Partners nationwide, offering a resolute answer to the perennial struggle parents face in finding tutors conveniently, safely, and reliably. Our commitment extends beyond mere matchmaking, evolving into an end-to-end service model that includes consulting, monitoring, management, and after-sales services for both customers and tutors.</w:t>
      </w:r>
    </w:p>
    <w:p w:rsidR="009B11BB" w:rsidRDefault="009B11BB" w:rsidP="00A04927">
      <w:pPr>
        <w:spacing w:line="360" w:lineRule="auto"/>
      </w:pPr>
    </w:p>
    <w:p w:rsidR="009B11BB" w:rsidRDefault="00000000" w:rsidP="00A04927">
      <w:pPr>
        <w:spacing w:line="360" w:lineRule="auto"/>
        <w:jc w:val="both"/>
      </w:pPr>
      <w:r>
        <w:t xml:space="preserve">Emphasizing value addition at every step, our secure payment solution guarantees customers a seamless experience, freeing Tutor-Partners to focus on teaching without the burden of payment </w:t>
      </w:r>
      <w:proofErr w:type="gramStart"/>
      <w:r>
        <w:t>concerns.This</w:t>
      </w:r>
      <w:proofErr w:type="gramEnd"/>
      <w:r>
        <w:t xml:space="preserve"> holistic approach not only transforms the private education landscape but also ensures a reliable and enriching experience for both stakeholders.</w:t>
      </w:r>
    </w:p>
    <w:p w:rsidR="009B11BB" w:rsidRDefault="009B11BB" w:rsidP="00A04927">
      <w:pPr>
        <w:spacing w:line="360" w:lineRule="auto"/>
        <w:jc w:val="both"/>
      </w:pPr>
    </w:p>
    <w:p w:rsidR="009B11BB" w:rsidRDefault="00000000" w:rsidP="00A04927">
      <w:pPr>
        <w:spacing w:line="360" w:lineRule="auto"/>
        <w:jc w:val="both"/>
      </w:pPr>
      <w:r>
        <w:t>SifuTutor and NakNgaji operate on a sharing economy model, similar to platforms like Uber or Grab, but for education. This approach leverages the resources and skills of individual Tutor-Partners who sign up to offer their services through the platform. We operate under a commission-based arrangement with all Tutor-Partners. The platform retains a percentage of the fee paid by the customer for each session as its commission. The remaining amount is disbursed to the Tutor-Partners. This model incentivizes Tutor-Partners to join the platform, as they can earn income while the platform takes care of administrative tasks such as marketing, customer acquisition, and payment processing.</w:t>
      </w:r>
    </w:p>
    <w:p w:rsidR="00A04927" w:rsidRPr="00A04927" w:rsidRDefault="00A04927" w:rsidP="00A04927">
      <w:pPr>
        <w:spacing w:line="360" w:lineRule="auto"/>
        <w:jc w:val="both"/>
      </w:pPr>
    </w:p>
    <w:p w:rsidR="000B2C93" w:rsidRPr="00A04927" w:rsidRDefault="000B2C93">
      <w:pPr>
        <w:pStyle w:val="Heading2"/>
      </w:pPr>
      <w:bookmarkStart w:id="5" w:name="_rapmm0fbexwm" w:colFirst="0" w:colLast="0"/>
      <w:bookmarkEnd w:id="5"/>
    </w:p>
    <w:p w:rsidR="000B2C93" w:rsidRPr="00A04927" w:rsidRDefault="000B2C93" w:rsidP="000B2C93">
      <w:pPr>
        <w:pStyle w:val="Heading2"/>
        <w:rPr>
          <w:i/>
        </w:rPr>
      </w:pPr>
      <w:r w:rsidRPr="00A04927">
        <w:rPr>
          <w:i/>
        </w:rPr>
        <w:t>2.3 Current Business Environment Overview</w:t>
      </w:r>
    </w:p>
    <w:p w:rsidR="000B2C93" w:rsidRPr="00A04927" w:rsidRDefault="000B2C93">
      <w:pPr>
        <w:pStyle w:val="Heading2"/>
      </w:pPr>
    </w:p>
    <w:p w:rsidR="000B2C93" w:rsidRPr="00A04927" w:rsidRDefault="000B2C93" w:rsidP="00A04927">
      <w:pPr>
        <w:pStyle w:val="ListParagraph"/>
        <w:numPr>
          <w:ilvl w:val="0"/>
          <w:numId w:val="3"/>
        </w:numPr>
        <w:spacing w:line="360" w:lineRule="auto"/>
        <w:jc w:val="both"/>
        <w:rPr>
          <w:rFonts w:ascii="Arial" w:hAnsi="Arial" w:cs="Arial"/>
        </w:rPr>
      </w:pPr>
      <w:r w:rsidRPr="00A04927">
        <w:rPr>
          <w:rFonts w:ascii="Arial" w:hAnsi="Arial" w:cs="Arial"/>
        </w:rPr>
        <w:t>SifuTutor: Premier tutoring platform operating in Malaysia</w:t>
      </w:r>
    </w:p>
    <w:p w:rsidR="000B2C93" w:rsidRPr="00A04927" w:rsidRDefault="000B2C93" w:rsidP="00A04927">
      <w:pPr>
        <w:pStyle w:val="ListParagraph"/>
        <w:numPr>
          <w:ilvl w:val="0"/>
          <w:numId w:val="3"/>
        </w:numPr>
        <w:spacing w:line="360" w:lineRule="auto"/>
        <w:jc w:val="both"/>
        <w:rPr>
          <w:rFonts w:ascii="Arial" w:hAnsi="Arial" w:cs="Arial"/>
        </w:rPr>
      </w:pPr>
      <w:r w:rsidRPr="00A04927">
        <w:rPr>
          <w:rFonts w:ascii="Arial" w:hAnsi="Arial" w:cs="Arial"/>
        </w:rPr>
        <w:t>NakNgaji: Innovative Islamic education platform serving Malaysia, Singapore &amp; Brunei</w:t>
      </w:r>
    </w:p>
    <w:p w:rsidR="000B2C93" w:rsidRPr="00A04927" w:rsidRDefault="000B2C93">
      <w:pPr>
        <w:pStyle w:val="Heading2"/>
      </w:pPr>
    </w:p>
    <w:p w:rsidR="00A04927" w:rsidRDefault="00A04927">
      <w:pPr>
        <w:pStyle w:val="Heading2"/>
      </w:pPr>
    </w:p>
    <w:p w:rsidR="009B11BB" w:rsidRPr="00A04927" w:rsidRDefault="00000000">
      <w:pPr>
        <w:pStyle w:val="Heading2"/>
        <w:rPr>
          <w:i/>
        </w:rPr>
      </w:pPr>
      <w:r w:rsidRPr="00A04927">
        <w:br/>
      </w:r>
      <w:r w:rsidRPr="00A04927">
        <w:rPr>
          <w:i/>
        </w:rPr>
        <w:t>2.</w:t>
      </w:r>
      <w:r w:rsidR="000B2C93" w:rsidRPr="00A04927">
        <w:rPr>
          <w:i/>
        </w:rPr>
        <w:t>4</w:t>
      </w:r>
      <w:r w:rsidRPr="00A04927">
        <w:rPr>
          <w:i/>
        </w:rPr>
        <w:t xml:space="preserve"> Historical Performance</w:t>
      </w:r>
    </w:p>
    <w:p w:rsidR="009B11BB" w:rsidRPr="00A04927" w:rsidRDefault="009B11BB"/>
    <w:p w:rsidR="0057201A" w:rsidRPr="00A04927" w:rsidRDefault="00000000" w:rsidP="00A04927">
      <w:pPr>
        <w:spacing w:line="360" w:lineRule="auto"/>
        <w:jc w:val="both"/>
      </w:pPr>
      <w:r w:rsidRPr="00A04927">
        <w:t xml:space="preserve">Since the inception of the Sifututor and Nakngaji, the company has registered an uptrend revenue year over year. </w:t>
      </w:r>
      <w:r w:rsidR="0057201A" w:rsidRPr="00A04927">
        <w:t>Our combined revenue growth demonstrates strong market traction:</w:t>
      </w:r>
    </w:p>
    <w:p w:rsidR="0057201A" w:rsidRPr="00A04927" w:rsidRDefault="0057201A" w:rsidP="00A04927">
      <w:pPr>
        <w:spacing w:line="360" w:lineRule="auto"/>
        <w:jc w:val="both"/>
      </w:pPr>
    </w:p>
    <w:p w:rsidR="00C62094" w:rsidRPr="00A04927" w:rsidRDefault="00C62094" w:rsidP="00A04927">
      <w:pPr>
        <w:pStyle w:val="ListParagraph"/>
        <w:numPr>
          <w:ilvl w:val="0"/>
          <w:numId w:val="2"/>
        </w:numPr>
        <w:spacing w:line="360" w:lineRule="auto"/>
        <w:jc w:val="both"/>
        <w:rPr>
          <w:rFonts w:ascii="Arial" w:hAnsi="Arial" w:cs="Arial"/>
        </w:rPr>
      </w:pPr>
      <w:r w:rsidRPr="00A04927">
        <w:rPr>
          <w:rFonts w:ascii="Arial" w:hAnsi="Arial" w:cs="Arial"/>
        </w:rPr>
        <w:t>2020: RM 2.8 million</w:t>
      </w:r>
    </w:p>
    <w:p w:rsidR="0057201A" w:rsidRPr="00A04927" w:rsidRDefault="0057201A" w:rsidP="00A04927">
      <w:pPr>
        <w:pStyle w:val="ListParagraph"/>
        <w:numPr>
          <w:ilvl w:val="0"/>
          <w:numId w:val="2"/>
        </w:numPr>
        <w:spacing w:line="360" w:lineRule="auto"/>
        <w:jc w:val="both"/>
        <w:rPr>
          <w:rFonts w:ascii="Arial" w:hAnsi="Arial" w:cs="Arial"/>
        </w:rPr>
      </w:pPr>
      <w:r w:rsidRPr="00A04927">
        <w:rPr>
          <w:rFonts w:ascii="Arial" w:hAnsi="Arial" w:cs="Arial"/>
        </w:rPr>
        <w:t>202</w:t>
      </w:r>
      <w:r w:rsidR="00C62094" w:rsidRPr="00A04927">
        <w:rPr>
          <w:rFonts w:ascii="Arial" w:hAnsi="Arial" w:cs="Arial"/>
        </w:rPr>
        <w:t>1</w:t>
      </w:r>
      <w:r w:rsidRPr="00A04927">
        <w:rPr>
          <w:rFonts w:ascii="Arial" w:hAnsi="Arial" w:cs="Arial"/>
        </w:rPr>
        <w:t>: RM</w:t>
      </w:r>
      <w:r w:rsidR="00C62094" w:rsidRPr="00A04927">
        <w:rPr>
          <w:rFonts w:ascii="Arial" w:hAnsi="Arial" w:cs="Arial"/>
        </w:rPr>
        <w:t xml:space="preserve"> 3.7 </w:t>
      </w:r>
      <w:r w:rsidRPr="00A04927">
        <w:rPr>
          <w:rFonts w:ascii="Arial" w:hAnsi="Arial" w:cs="Arial"/>
        </w:rPr>
        <w:t>million</w:t>
      </w:r>
    </w:p>
    <w:p w:rsidR="0057201A" w:rsidRPr="00A04927" w:rsidRDefault="0057201A" w:rsidP="00A04927">
      <w:pPr>
        <w:pStyle w:val="ListParagraph"/>
        <w:numPr>
          <w:ilvl w:val="0"/>
          <w:numId w:val="2"/>
        </w:numPr>
        <w:spacing w:line="360" w:lineRule="auto"/>
        <w:jc w:val="both"/>
        <w:rPr>
          <w:rFonts w:ascii="Arial" w:hAnsi="Arial" w:cs="Arial"/>
        </w:rPr>
      </w:pPr>
      <w:r w:rsidRPr="00A04927">
        <w:rPr>
          <w:rFonts w:ascii="Arial" w:hAnsi="Arial" w:cs="Arial"/>
        </w:rPr>
        <w:t>202</w:t>
      </w:r>
      <w:r w:rsidR="00C62094" w:rsidRPr="00A04927">
        <w:rPr>
          <w:rFonts w:ascii="Arial" w:hAnsi="Arial" w:cs="Arial"/>
        </w:rPr>
        <w:t>2</w:t>
      </w:r>
      <w:r w:rsidRPr="00A04927">
        <w:rPr>
          <w:rFonts w:ascii="Arial" w:hAnsi="Arial" w:cs="Arial"/>
        </w:rPr>
        <w:t>: RM</w:t>
      </w:r>
      <w:r w:rsidR="00C62094" w:rsidRPr="00A04927">
        <w:rPr>
          <w:rFonts w:ascii="Arial" w:hAnsi="Arial" w:cs="Arial"/>
        </w:rPr>
        <w:t xml:space="preserve"> 4.9</w:t>
      </w:r>
      <w:r w:rsidRPr="00A04927">
        <w:rPr>
          <w:rFonts w:ascii="Arial" w:hAnsi="Arial" w:cs="Arial"/>
        </w:rPr>
        <w:t xml:space="preserve"> million</w:t>
      </w:r>
    </w:p>
    <w:p w:rsidR="0057201A" w:rsidRPr="00A04927" w:rsidRDefault="0057201A" w:rsidP="00A04927">
      <w:pPr>
        <w:pStyle w:val="ListParagraph"/>
        <w:numPr>
          <w:ilvl w:val="0"/>
          <w:numId w:val="2"/>
        </w:numPr>
        <w:spacing w:line="360" w:lineRule="auto"/>
        <w:jc w:val="both"/>
        <w:rPr>
          <w:rFonts w:ascii="Arial" w:hAnsi="Arial" w:cs="Arial"/>
        </w:rPr>
      </w:pPr>
      <w:r w:rsidRPr="00A04927">
        <w:rPr>
          <w:rFonts w:ascii="Arial" w:hAnsi="Arial" w:cs="Arial"/>
        </w:rPr>
        <w:t>202</w:t>
      </w:r>
      <w:r w:rsidR="00C62094" w:rsidRPr="00A04927">
        <w:rPr>
          <w:rFonts w:ascii="Arial" w:hAnsi="Arial" w:cs="Arial"/>
        </w:rPr>
        <w:t>3</w:t>
      </w:r>
      <w:r w:rsidRPr="00A04927">
        <w:rPr>
          <w:rFonts w:ascii="Arial" w:hAnsi="Arial" w:cs="Arial"/>
        </w:rPr>
        <w:t>: RM</w:t>
      </w:r>
      <w:r w:rsidR="00C62094" w:rsidRPr="00A04927">
        <w:rPr>
          <w:rFonts w:ascii="Arial" w:hAnsi="Arial" w:cs="Arial"/>
        </w:rPr>
        <w:t xml:space="preserve"> </w:t>
      </w:r>
      <w:r w:rsidRPr="00A04927">
        <w:rPr>
          <w:rFonts w:ascii="Arial" w:hAnsi="Arial" w:cs="Arial"/>
        </w:rPr>
        <w:t>8.</w:t>
      </w:r>
      <w:r w:rsidR="00C62094" w:rsidRPr="00A04927">
        <w:rPr>
          <w:rFonts w:ascii="Arial" w:hAnsi="Arial" w:cs="Arial"/>
        </w:rPr>
        <w:t>4</w:t>
      </w:r>
      <w:r w:rsidRPr="00A04927">
        <w:rPr>
          <w:rFonts w:ascii="Arial" w:hAnsi="Arial" w:cs="Arial"/>
        </w:rPr>
        <w:t xml:space="preserve"> million</w:t>
      </w:r>
    </w:p>
    <w:p w:rsidR="0057201A" w:rsidRPr="00A04927" w:rsidRDefault="0057201A" w:rsidP="00A04927">
      <w:pPr>
        <w:pStyle w:val="ListParagraph"/>
        <w:numPr>
          <w:ilvl w:val="0"/>
          <w:numId w:val="2"/>
        </w:numPr>
        <w:spacing w:line="360" w:lineRule="auto"/>
        <w:jc w:val="both"/>
        <w:rPr>
          <w:rFonts w:ascii="Arial" w:hAnsi="Arial" w:cs="Arial"/>
        </w:rPr>
      </w:pPr>
      <w:r w:rsidRPr="00A04927">
        <w:rPr>
          <w:rFonts w:ascii="Arial" w:hAnsi="Arial" w:cs="Arial"/>
        </w:rPr>
        <w:t>202</w:t>
      </w:r>
      <w:r w:rsidR="00C62094" w:rsidRPr="00A04927">
        <w:rPr>
          <w:rFonts w:ascii="Arial" w:hAnsi="Arial" w:cs="Arial"/>
        </w:rPr>
        <w:t>4</w:t>
      </w:r>
      <w:r w:rsidRPr="00A04927">
        <w:rPr>
          <w:rFonts w:ascii="Arial" w:hAnsi="Arial" w:cs="Arial"/>
        </w:rPr>
        <w:t>: RM14</w:t>
      </w:r>
      <w:r w:rsidR="00C62094" w:rsidRPr="00A04927">
        <w:rPr>
          <w:rFonts w:ascii="Arial" w:hAnsi="Arial" w:cs="Arial"/>
        </w:rPr>
        <w:t>.0</w:t>
      </w:r>
      <w:r w:rsidRPr="00A04927">
        <w:rPr>
          <w:rFonts w:ascii="Arial" w:hAnsi="Arial" w:cs="Arial"/>
        </w:rPr>
        <w:t xml:space="preserve"> million *</w:t>
      </w:r>
    </w:p>
    <w:p w:rsidR="009B11BB" w:rsidRPr="00A04927" w:rsidRDefault="00000000" w:rsidP="00A04927">
      <w:pPr>
        <w:spacing w:line="360" w:lineRule="auto"/>
        <w:jc w:val="both"/>
        <w:rPr>
          <w:i/>
          <w:iCs/>
          <w:sz w:val="18"/>
          <w:szCs w:val="18"/>
        </w:rPr>
      </w:pPr>
      <w:r w:rsidRPr="00A04927">
        <w:rPr>
          <w:i/>
          <w:iCs/>
          <w:sz w:val="18"/>
          <w:szCs w:val="18"/>
        </w:rPr>
        <w:t>(</w:t>
      </w:r>
      <w:r w:rsidR="0057201A" w:rsidRPr="00A04927">
        <w:rPr>
          <w:i/>
          <w:iCs/>
          <w:sz w:val="18"/>
          <w:szCs w:val="18"/>
        </w:rPr>
        <w:t>*</w:t>
      </w:r>
      <w:r w:rsidRPr="00A04927">
        <w:rPr>
          <w:i/>
          <w:iCs/>
          <w:sz w:val="18"/>
          <w:szCs w:val="18"/>
        </w:rPr>
        <w:t>) For the Financial Year 202</w:t>
      </w:r>
      <w:r w:rsidR="00C62094" w:rsidRPr="00A04927">
        <w:rPr>
          <w:i/>
          <w:iCs/>
          <w:sz w:val="18"/>
          <w:szCs w:val="18"/>
        </w:rPr>
        <w:t>4</w:t>
      </w:r>
      <w:r w:rsidRPr="00A04927">
        <w:rPr>
          <w:i/>
          <w:iCs/>
          <w:sz w:val="18"/>
          <w:szCs w:val="18"/>
        </w:rPr>
        <w:t xml:space="preserve">, the figure based on </w:t>
      </w:r>
      <w:r w:rsidR="00C62094" w:rsidRPr="00A04927">
        <w:rPr>
          <w:i/>
          <w:iCs/>
          <w:sz w:val="18"/>
          <w:szCs w:val="18"/>
        </w:rPr>
        <w:t>estimated final sales as of 31 December 2024.</w:t>
      </w:r>
    </w:p>
    <w:p w:rsidR="00A04927" w:rsidRPr="00C62094" w:rsidRDefault="00A04927" w:rsidP="00A04927">
      <w:pPr>
        <w:spacing w:line="360" w:lineRule="auto"/>
        <w:jc w:val="both"/>
        <w:rPr>
          <w:i/>
          <w:iCs/>
          <w:sz w:val="20"/>
          <w:szCs w:val="20"/>
        </w:rPr>
      </w:pPr>
    </w:p>
    <w:p w:rsidR="009B11BB" w:rsidRDefault="00000000" w:rsidP="00A04927">
      <w:pPr>
        <w:pStyle w:val="Heading2"/>
        <w:spacing w:line="360" w:lineRule="auto"/>
        <w:rPr>
          <w:i/>
        </w:rPr>
      </w:pPr>
      <w:bookmarkStart w:id="6" w:name="_xsdf0cjk2hv2" w:colFirst="0" w:colLast="0"/>
      <w:bookmarkEnd w:id="6"/>
      <w:r>
        <w:rPr>
          <w:i/>
        </w:rPr>
        <w:t xml:space="preserve">2.4 Historical Growth of the Company </w:t>
      </w:r>
    </w:p>
    <w:p w:rsidR="009B11BB" w:rsidRDefault="009B11BB"/>
    <w:p w:rsidR="009B11BB" w:rsidRDefault="00000000">
      <w:r>
        <w:t>Below are some important key growth metrics over the years:</w:t>
      </w:r>
    </w:p>
    <w:p w:rsidR="009B11BB" w:rsidRDefault="009B11B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815"/>
        <w:gridCol w:w="1170"/>
        <w:gridCol w:w="1170"/>
        <w:gridCol w:w="1170"/>
        <w:gridCol w:w="1170"/>
        <w:gridCol w:w="1170"/>
        <w:gridCol w:w="1170"/>
      </w:tblGrid>
      <w:tr w:rsidR="009B11BB" w:rsidTr="00C62094">
        <w:tc>
          <w:tcPr>
            <w:tcW w:w="525" w:type="dxa"/>
            <w:shd w:val="clear" w:color="auto" w:fill="F2F2F2" w:themeFill="background1" w:themeFillShade="F2"/>
            <w:tcMar>
              <w:top w:w="100" w:type="dxa"/>
              <w:left w:w="100" w:type="dxa"/>
              <w:bottom w:w="100" w:type="dxa"/>
              <w:right w:w="100" w:type="dxa"/>
            </w:tcMar>
          </w:tcPr>
          <w:p w:rsidR="009B11BB" w:rsidRDefault="00000000">
            <w:pPr>
              <w:widowControl w:val="0"/>
              <w:pBdr>
                <w:top w:val="nil"/>
                <w:left w:val="nil"/>
                <w:bottom w:val="nil"/>
                <w:right w:val="nil"/>
                <w:between w:val="nil"/>
              </w:pBdr>
              <w:spacing w:line="240" w:lineRule="auto"/>
            </w:pPr>
            <w:r>
              <w:t>No</w:t>
            </w:r>
          </w:p>
        </w:tc>
        <w:tc>
          <w:tcPr>
            <w:tcW w:w="1815" w:type="dxa"/>
            <w:shd w:val="clear" w:color="auto" w:fill="F2F2F2" w:themeFill="background1" w:themeFillShade="F2"/>
            <w:tcMar>
              <w:top w:w="100" w:type="dxa"/>
              <w:left w:w="100" w:type="dxa"/>
              <w:bottom w:w="100" w:type="dxa"/>
              <w:right w:w="100" w:type="dxa"/>
            </w:tcMar>
          </w:tcPr>
          <w:p w:rsidR="009B11BB" w:rsidRDefault="00000000">
            <w:pPr>
              <w:widowControl w:val="0"/>
              <w:pBdr>
                <w:top w:val="nil"/>
                <w:left w:val="nil"/>
                <w:bottom w:val="nil"/>
                <w:right w:val="nil"/>
                <w:between w:val="nil"/>
              </w:pBdr>
              <w:spacing w:line="240" w:lineRule="auto"/>
            </w:pPr>
            <w:r>
              <w:t>Items</w:t>
            </w:r>
          </w:p>
        </w:tc>
        <w:tc>
          <w:tcPr>
            <w:tcW w:w="1170" w:type="dxa"/>
            <w:shd w:val="clear" w:color="auto" w:fill="F2F2F2" w:themeFill="background1" w:themeFillShade="F2"/>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2019</w:t>
            </w:r>
          </w:p>
        </w:tc>
        <w:tc>
          <w:tcPr>
            <w:tcW w:w="1170" w:type="dxa"/>
            <w:shd w:val="clear" w:color="auto" w:fill="F2F2F2" w:themeFill="background1" w:themeFillShade="F2"/>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2020</w:t>
            </w:r>
          </w:p>
        </w:tc>
        <w:tc>
          <w:tcPr>
            <w:tcW w:w="1170" w:type="dxa"/>
            <w:shd w:val="clear" w:color="auto" w:fill="F2F2F2" w:themeFill="background1" w:themeFillShade="F2"/>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2021</w:t>
            </w:r>
          </w:p>
        </w:tc>
        <w:tc>
          <w:tcPr>
            <w:tcW w:w="1170" w:type="dxa"/>
            <w:shd w:val="clear" w:color="auto" w:fill="F2F2F2" w:themeFill="background1" w:themeFillShade="F2"/>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2022</w:t>
            </w:r>
          </w:p>
        </w:tc>
        <w:tc>
          <w:tcPr>
            <w:tcW w:w="1170" w:type="dxa"/>
            <w:shd w:val="clear" w:color="auto" w:fill="F2F2F2" w:themeFill="background1" w:themeFillShade="F2"/>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2023</w:t>
            </w:r>
          </w:p>
        </w:tc>
        <w:tc>
          <w:tcPr>
            <w:tcW w:w="1170" w:type="dxa"/>
            <w:shd w:val="clear" w:color="auto" w:fill="F2F2F2" w:themeFill="background1" w:themeFillShade="F2"/>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2024</w:t>
            </w:r>
            <w:r w:rsidR="00C62094">
              <w:t>*</w:t>
            </w:r>
          </w:p>
        </w:tc>
      </w:tr>
      <w:tr w:rsidR="009B11BB">
        <w:tc>
          <w:tcPr>
            <w:tcW w:w="525" w:type="dxa"/>
            <w:shd w:val="clear" w:color="auto" w:fill="auto"/>
            <w:tcMar>
              <w:top w:w="100" w:type="dxa"/>
              <w:left w:w="100" w:type="dxa"/>
              <w:bottom w:w="100" w:type="dxa"/>
              <w:right w:w="100" w:type="dxa"/>
            </w:tcMar>
          </w:tcPr>
          <w:p w:rsidR="009B11BB" w:rsidRDefault="00000000">
            <w:pPr>
              <w:widowControl w:val="0"/>
              <w:pBdr>
                <w:top w:val="nil"/>
                <w:left w:val="nil"/>
                <w:bottom w:val="nil"/>
                <w:right w:val="nil"/>
                <w:between w:val="nil"/>
              </w:pBdr>
              <w:spacing w:line="240" w:lineRule="auto"/>
            </w:pPr>
            <w:r>
              <w:t>1</w:t>
            </w:r>
          </w:p>
        </w:tc>
        <w:tc>
          <w:tcPr>
            <w:tcW w:w="1815" w:type="dxa"/>
            <w:shd w:val="clear" w:color="auto" w:fill="auto"/>
            <w:tcMar>
              <w:top w:w="100" w:type="dxa"/>
              <w:left w:w="100" w:type="dxa"/>
              <w:bottom w:w="100" w:type="dxa"/>
              <w:right w:w="100" w:type="dxa"/>
            </w:tcMar>
          </w:tcPr>
          <w:p w:rsidR="009B11BB" w:rsidRDefault="00000000">
            <w:pPr>
              <w:widowControl w:val="0"/>
              <w:pBdr>
                <w:top w:val="nil"/>
                <w:left w:val="nil"/>
                <w:bottom w:val="nil"/>
                <w:right w:val="nil"/>
                <w:between w:val="nil"/>
              </w:pBdr>
              <w:spacing w:line="240" w:lineRule="auto"/>
            </w:pPr>
            <w:r>
              <w:t>No of manpower</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15</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11</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22</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31</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49</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63</w:t>
            </w:r>
          </w:p>
        </w:tc>
      </w:tr>
      <w:tr w:rsidR="009B11BB">
        <w:tc>
          <w:tcPr>
            <w:tcW w:w="525" w:type="dxa"/>
            <w:shd w:val="clear" w:color="auto" w:fill="auto"/>
            <w:tcMar>
              <w:top w:w="100" w:type="dxa"/>
              <w:left w:w="100" w:type="dxa"/>
              <w:bottom w:w="100" w:type="dxa"/>
              <w:right w:w="100" w:type="dxa"/>
            </w:tcMar>
          </w:tcPr>
          <w:p w:rsidR="009B11BB" w:rsidRDefault="00000000">
            <w:pPr>
              <w:widowControl w:val="0"/>
              <w:pBdr>
                <w:top w:val="nil"/>
                <w:left w:val="nil"/>
                <w:bottom w:val="nil"/>
                <w:right w:val="nil"/>
                <w:between w:val="nil"/>
              </w:pBdr>
              <w:spacing w:line="240" w:lineRule="auto"/>
            </w:pPr>
            <w:r>
              <w:t>2</w:t>
            </w:r>
          </w:p>
        </w:tc>
        <w:tc>
          <w:tcPr>
            <w:tcW w:w="1815" w:type="dxa"/>
            <w:shd w:val="clear" w:color="auto" w:fill="auto"/>
            <w:tcMar>
              <w:top w:w="100" w:type="dxa"/>
              <w:left w:w="100" w:type="dxa"/>
              <w:bottom w:w="100" w:type="dxa"/>
              <w:right w:w="100" w:type="dxa"/>
            </w:tcMar>
          </w:tcPr>
          <w:p w:rsidR="009B11BB" w:rsidRDefault="00000000">
            <w:pPr>
              <w:widowControl w:val="0"/>
              <w:pBdr>
                <w:top w:val="nil"/>
                <w:left w:val="nil"/>
                <w:bottom w:val="nil"/>
                <w:right w:val="nil"/>
                <w:between w:val="nil"/>
              </w:pBdr>
              <w:spacing w:line="240" w:lineRule="auto"/>
            </w:pPr>
            <w:r>
              <w:t>No of registered Tutor-Partners</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1</w:t>
            </w:r>
            <w:r w:rsidR="00C62094">
              <w:t>,</w:t>
            </w:r>
            <w:r>
              <w:t>909</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2</w:t>
            </w:r>
            <w:r w:rsidR="00C62094">
              <w:t>,</w:t>
            </w:r>
            <w:r>
              <w:t>566</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3</w:t>
            </w:r>
            <w:r w:rsidR="00C62094">
              <w:t>,</w:t>
            </w:r>
            <w:r>
              <w:t>932</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7</w:t>
            </w:r>
            <w:r w:rsidR="00C62094">
              <w:t>,</w:t>
            </w:r>
            <w:r>
              <w:t>683</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12</w:t>
            </w:r>
            <w:r w:rsidR="00C62094">
              <w:t>,</w:t>
            </w:r>
            <w:r>
              <w:t>557</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22</w:t>
            </w:r>
            <w:r w:rsidR="00C62094">
              <w:t>,</w:t>
            </w:r>
            <w:r>
              <w:t>230</w:t>
            </w:r>
          </w:p>
        </w:tc>
      </w:tr>
      <w:tr w:rsidR="009B11BB">
        <w:tc>
          <w:tcPr>
            <w:tcW w:w="525" w:type="dxa"/>
            <w:shd w:val="clear" w:color="auto" w:fill="auto"/>
            <w:tcMar>
              <w:top w:w="100" w:type="dxa"/>
              <w:left w:w="100" w:type="dxa"/>
              <w:bottom w:w="100" w:type="dxa"/>
              <w:right w:w="100" w:type="dxa"/>
            </w:tcMar>
          </w:tcPr>
          <w:p w:rsidR="009B11BB" w:rsidRDefault="00000000">
            <w:pPr>
              <w:widowControl w:val="0"/>
              <w:pBdr>
                <w:top w:val="nil"/>
                <w:left w:val="nil"/>
                <w:bottom w:val="nil"/>
                <w:right w:val="nil"/>
                <w:between w:val="nil"/>
              </w:pBdr>
              <w:spacing w:line="240" w:lineRule="auto"/>
            </w:pPr>
            <w:r>
              <w:t>3</w:t>
            </w:r>
          </w:p>
        </w:tc>
        <w:tc>
          <w:tcPr>
            <w:tcW w:w="1815" w:type="dxa"/>
            <w:shd w:val="clear" w:color="auto" w:fill="auto"/>
            <w:tcMar>
              <w:top w:w="100" w:type="dxa"/>
              <w:left w:w="100" w:type="dxa"/>
              <w:bottom w:w="100" w:type="dxa"/>
              <w:right w:w="100" w:type="dxa"/>
            </w:tcMar>
          </w:tcPr>
          <w:p w:rsidR="009B11BB" w:rsidRDefault="00000000">
            <w:pPr>
              <w:widowControl w:val="0"/>
              <w:pBdr>
                <w:top w:val="nil"/>
                <w:left w:val="nil"/>
                <w:bottom w:val="nil"/>
                <w:right w:val="nil"/>
                <w:between w:val="nil"/>
              </w:pBdr>
              <w:spacing w:line="240" w:lineRule="auto"/>
            </w:pPr>
            <w:r>
              <w:t>No of students</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1</w:t>
            </w:r>
            <w:r w:rsidR="00C62094">
              <w:t>,</w:t>
            </w:r>
            <w:r>
              <w:t>720</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2</w:t>
            </w:r>
            <w:r w:rsidR="00C62094">
              <w:t>,</w:t>
            </w:r>
            <w:r>
              <w:t>312</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3</w:t>
            </w:r>
            <w:r w:rsidR="00C62094">
              <w:t>,</w:t>
            </w:r>
            <w:r>
              <w:t>061</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4</w:t>
            </w:r>
            <w:r w:rsidR="00C62094">
              <w:t>,</w:t>
            </w:r>
            <w:r>
              <w:t>077</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6</w:t>
            </w:r>
            <w:r w:rsidR="00C62094">
              <w:t>,</w:t>
            </w:r>
            <w:r>
              <w:t>950</w:t>
            </w:r>
          </w:p>
        </w:tc>
        <w:tc>
          <w:tcPr>
            <w:tcW w:w="1170" w:type="dxa"/>
            <w:shd w:val="clear" w:color="auto" w:fill="auto"/>
            <w:tcMar>
              <w:top w:w="100" w:type="dxa"/>
              <w:left w:w="100" w:type="dxa"/>
              <w:bottom w:w="100" w:type="dxa"/>
              <w:right w:w="100" w:type="dxa"/>
            </w:tcMar>
          </w:tcPr>
          <w:p w:rsidR="009B11BB" w:rsidRDefault="00000000" w:rsidP="00C62094">
            <w:pPr>
              <w:widowControl w:val="0"/>
              <w:pBdr>
                <w:top w:val="nil"/>
                <w:left w:val="nil"/>
                <w:bottom w:val="nil"/>
                <w:right w:val="nil"/>
                <w:between w:val="nil"/>
              </w:pBdr>
              <w:spacing w:line="240" w:lineRule="auto"/>
              <w:jc w:val="center"/>
            </w:pPr>
            <w:r>
              <w:t>12</w:t>
            </w:r>
            <w:r w:rsidR="00C62094">
              <w:t>,</w:t>
            </w:r>
            <w:r>
              <w:t>350</w:t>
            </w:r>
          </w:p>
        </w:tc>
      </w:tr>
    </w:tbl>
    <w:p w:rsidR="009B11BB" w:rsidRDefault="009B11BB"/>
    <w:p w:rsidR="009B11BB" w:rsidRPr="00A04927" w:rsidRDefault="00C62094">
      <w:pPr>
        <w:rPr>
          <w:i/>
          <w:iCs/>
          <w:sz w:val="18"/>
          <w:szCs w:val="18"/>
        </w:rPr>
      </w:pPr>
      <w:r w:rsidRPr="00A04927">
        <w:rPr>
          <w:i/>
          <w:iCs/>
          <w:sz w:val="18"/>
          <w:szCs w:val="18"/>
        </w:rPr>
        <w:t>(*) as of 30 September 2024</w:t>
      </w:r>
    </w:p>
    <w:p w:rsidR="009B11BB" w:rsidRDefault="009B11BB"/>
    <w:p w:rsidR="009B11BB" w:rsidRDefault="009B11BB"/>
    <w:p w:rsidR="000B2C93" w:rsidRPr="00A04927" w:rsidRDefault="00A04927" w:rsidP="000B2C93">
      <w:pPr>
        <w:pStyle w:val="Heading1"/>
        <w:jc w:val="both"/>
        <w:rPr>
          <w:color w:val="0070C0"/>
        </w:rPr>
      </w:pPr>
      <w:r w:rsidRPr="00A04927">
        <w:rPr>
          <w:color w:val="0070C0"/>
        </w:rPr>
        <w:t>3.</w:t>
      </w:r>
      <w:r w:rsidR="000B2C93" w:rsidRPr="00A04927">
        <w:rPr>
          <w:color w:val="0070C0"/>
        </w:rPr>
        <w:t xml:space="preserve"> </w:t>
      </w:r>
      <w:r>
        <w:rPr>
          <w:color w:val="0070C0"/>
        </w:rPr>
        <w:t>EXPANSION PLAN AND RATIONALE</w:t>
      </w:r>
    </w:p>
    <w:p w:rsidR="000B2C93" w:rsidRPr="000B2C93" w:rsidRDefault="000B2C93" w:rsidP="000B2C93"/>
    <w:p w:rsidR="000B2C93" w:rsidRDefault="000B2C93" w:rsidP="000B2C93">
      <w:pPr>
        <w:pStyle w:val="Heading2"/>
        <w:jc w:val="both"/>
      </w:pPr>
      <w:r>
        <w:t>3.1 Expansion Targets</w:t>
      </w:r>
    </w:p>
    <w:p w:rsidR="000B2C93" w:rsidRPr="00A33775" w:rsidRDefault="000B2C93" w:rsidP="00A33775">
      <w:pPr>
        <w:spacing w:line="360" w:lineRule="auto"/>
      </w:pPr>
    </w:p>
    <w:p w:rsidR="000B2C93" w:rsidRPr="00A33775" w:rsidRDefault="000B2C93" w:rsidP="00A33775">
      <w:pPr>
        <w:pStyle w:val="ListParagraph"/>
        <w:numPr>
          <w:ilvl w:val="0"/>
          <w:numId w:val="5"/>
        </w:numPr>
        <w:spacing w:line="360" w:lineRule="auto"/>
        <w:jc w:val="both"/>
        <w:rPr>
          <w:rFonts w:ascii="Arial" w:hAnsi="Arial" w:cs="Arial"/>
        </w:rPr>
      </w:pPr>
      <w:r w:rsidRPr="00A33775">
        <w:rPr>
          <w:rFonts w:ascii="Arial" w:hAnsi="Arial" w:cs="Arial"/>
        </w:rPr>
        <w:t>SifuTutor: Extend operations into Indonesia</w:t>
      </w:r>
    </w:p>
    <w:p w:rsidR="000B2C93" w:rsidRPr="00A33775" w:rsidRDefault="000B2C93" w:rsidP="00A33775">
      <w:pPr>
        <w:pStyle w:val="ListParagraph"/>
        <w:numPr>
          <w:ilvl w:val="0"/>
          <w:numId w:val="5"/>
        </w:numPr>
        <w:spacing w:line="360" w:lineRule="auto"/>
        <w:jc w:val="both"/>
        <w:rPr>
          <w:rFonts w:ascii="Arial" w:hAnsi="Arial" w:cs="Arial"/>
        </w:rPr>
      </w:pPr>
      <w:r w:rsidRPr="00A33775">
        <w:rPr>
          <w:rFonts w:ascii="Arial" w:hAnsi="Arial" w:cs="Arial"/>
        </w:rPr>
        <w:t>NakNgaji: Launch services in USA and Europe</w:t>
      </w:r>
    </w:p>
    <w:p w:rsidR="00A04927" w:rsidRPr="00A33775" w:rsidRDefault="00A04927" w:rsidP="00A33775">
      <w:pPr>
        <w:pStyle w:val="ListParagraph"/>
        <w:spacing w:line="360" w:lineRule="auto"/>
        <w:jc w:val="both"/>
        <w:rPr>
          <w:rFonts w:ascii="Arial" w:hAnsi="Arial" w:cs="Arial"/>
        </w:rPr>
      </w:pPr>
    </w:p>
    <w:p w:rsidR="00A04927" w:rsidRPr="00A33775" w:rsidRDefault="00A04927" w:rsidP="00A04927">
      <w:pPr>
        <w:pStyle w:val="ListParagraph"/>
        <w:jc w:val="both"/>
        <w:rPr>
          <w:rFonts w:ascii="Arial" w:hAnsi="Arial" w:cs="Arial"/>
        </w:rPr>
      </w:pPr>
    </w:p>
    <w:p w:rsidR="000B2C93" w:rsidRDefault="000B2C93" w:rsidP="000B2C93">
      <w:pPr>
        <w:pStyle w:val="Heading2"/>
        <w:jc w:val="both"/>
      </w:pPr>
      <w:r>
        <w:lastRenderedPageBreak/>
        <w:t>3.2 Why Expand</w:t>
      </w:r>
    </w:p>
    <w:p w:rsidR="000B2C93" w:rsidRPr="00A33775" w:rsidRDefault="000B2C93" w:rsidP="00A33775">
      <w:pPr>
        <w:spacing w:line="360" w:lineRule="auto"/>
      </w:pPr>
    </w:p>
    <w:p w:rsidR="000B2C93" w:rsidRPr="00A33775" w:rsidRDefault="000B2C93" w:rsidP="00A33775">
      <w:pPr>
        <w:pStyle w:val="ListParagraph"/>
        <w:numPr>
          <w:ilvl w:val="0"/>
          <w:numId w:val="6"/>
        </w:numPr>
        <w:spacing w:line="360" w:lineRule="auto"/>
        <w:jc w:val="both"/>
        <w:rPr>
          <w:rFonts w:ascii="Arial" w:hAnsi="Arial" w:cs="Arial"/>
        </w:rPr>
      </w:pPr>
      <w:r w:rsidRPr="00A33775">
        <w:rPr>
          <w:rFonts w:ascii="Arial" w:hAnsi="Arial" w:cs="Arial"/>
        </w:rPr>
        <w:t>Economies of Scale: Increase operational efficiency and boost net profit margins.</w:t>
      </w:r>
    </w:p>
    <w:p w:rsidR="000B2C93" w:rsidRPr="00A33775" w:rsidRDefault="000B2C93" w:rsidP="00A33775">
      <w:pPr>
        <w:pStyle w:val="ListParagraph"/>
        <w:numPr>
          <w:ilvl w:val="0"/>
          <w:numId w:val="6"/>
        </w:numPr>
        <w:spacing w:line="360" w:lineRule="auto"/>
        <w:jc w:val="both"/>
        <w:rPr>
          <w:rFonts w:ascii="Arial" w:hAnsi="Arial" w:cs="Arial"/>
        </w:rPr>
      </w:pPr>
      <w:r w:rsidRPr="00A33775">
        <w:rPr>
          <w:rFonts w:ascii="Arial" w:hAnsi="Arial" w:cs="Arial"/>
        </w:rPr>
        <w:t>2. Market Diversification: Reduce reliance on local markets, ensuring business resilience.</w:t>
      </w:r>
    </w:p>
    <w:p w:rsidR="000B2C93" w:rsidRPr="00A33775" w:rsidRDefault="000B2C93" w:rsidP="00A33775">
      <w:pPr>
        <w:pStyle w:val="ListParagraph"/>
        <w:numPr>
          <w:ilvl w:val="0"/>
          <w:numId w:val="6"/>
        </w:numPr>
        <w:spacing w:line="360" w:lineRule="auto"/>
        <w:jc w:val="both"/>
        <w:rPr>
          <w:rFonts w:ascii="Arial" w:hAnsi="Arial" w:cs="Arial"/>
        </w:rPr>
      </w:pPr>
      <w:r w:rsidRPr="00A33775">
        <w:rPr>
          <w:rFonts w:ascii="Arial" w:hAnsi="Arial" w:cs="Arial"/>
        </w:rPr>
        <w:t>3. Currency Exposure: Leverage forex opportunities across multiple markets.</w:t>
      </w:r>
    </w:p>
    <w:p w:rsidR="000B2C93" w:rsidRPr="00A33775" w:rsidRDefault="000B2C93" w:rsidP="00A33775">
      <w:pPr>
        <w:pStyle w:val="ListParagraph"/>
        <w:numPr>
          <w:ilvl w:val="0"/>
          <w:numId w:val="6"/>
        </w:numPr>
        <w:spacing w:line="360" w:lineRule="auto"/>
        <w:jc w:val="both"/>
        <w:rPr>
          <w:rFonts w:ascii="Arial" w:hAnsi="Arial" w:cs="Arial"/>
        </w:rPr>
      </w:pPr>
      <w:r w:rsidRPr="00A33775">
        <w:rPr>
          <w:rFonts w:ascii="Arial" w:hAnsi="Arial" w:cs="Arial"/>
        </w:rPr>
        <w:t>4. Revenue Growth: Target double-digit growth over the next 5 years.</w:t>
      </w:r>
    </w:p>
    <w:p w:rsidR="000B2C93" w:rsidRPr="00A33775" w:rsidRDefault="000B2C93" w:rsidP="00A33775">
      <w:pPr>
        <w:pStyle w:val="ListParagraph"/>
        <w:numPr>
          <w:ilvl w:val="0"/>
          <w:numId w:val="6"/>
        </w:numPr>
        <w:spacing w:line="360" w:lineRule="auto"/>
        <w:jc w:val="both"/>
        <w:rPr>
          <w:rFonts w:ascii="Arial" w:hAnsi="Arial" w:cs="Arial"/>
        </w:rPr>
      </w:pPr>
      <w:r w:rsidRPr="00A33775">
        <w:rPr>
          <w:rFonts w:ascii="Arial" w:hAnsi="Arial" w:cs="Arial"/>
        </w:rPr>
        <w:t>5. IPO Preparation: Position for potential IPO within 5 years through sustained growth.</w:t>
      </w:r>
    </w:p>
    <w:p w:rsidR="000B2C93" w:rsidRPr="00A33775" w:rsidRDefault="000B2C93" w:rsidP="00A33775">
      <w:pPr>
        <w:pStyle w:val="ListParagraph"/>
        <w:numPr>
          <w:ilvl w:val="0"/>
          <w:numId w:val="6"/>
        </w:numPr>
        <w:spacing w:line="360" w:lineRule="auto"/>
        <w:jc w:val="both"/>
        <w:rPr>
          <w:rFonts w:ascii="Arial" w:hAnsi="Arial" w:cs="Arial"/>
        </w:rPr>
      </w:pPr>
      <w:r w:rsidRPr="00A33775">
        <w:rPr>
          <w:rFonts w:ascii="Arial" w:hAnsi="Arial" w:cs="Arial"/>
        </w:rPr>
        <w:t>6. Global Brand Establishment: Elevate Malaysian educational technology internationally.</w:t>
      </w:r>
    </w:p>
    <w:p w:rsidR="000B2C93" w:rsidRDefault="000B2C93" w:rsidP="00A33775">
      <w:pPr>
        <w:pStyle w:val="ListParagraph"/>
        <w:spacing w:line="360" w:lineRule="auto"/>
        <w:jc w:val="both"/>
        <w:rPr>
          <w:rFonts w:ascii="Arial" w:hAnsi="Arial" w:cs="Arial"/>
        </w:rPr>
      </w:pPr>
    </w:p>
    <w:p w:rsidR="00A33775" w:rsidRPr="00A33775" w:rsidRDefault="00A33775" w:rsidP="00A33775">
      <w:pPr>
        <w:pStyle w:val="ListParagraph"/>
        <w:spacing w:line="360" w:lineRule="auto"/>
        <w:jc w:val="both"/>
        <w:rPr>
          <w:rFonts w:ascii="Arial" w:hAnsi="Arial" w:cs="Arial"/>
          <w:color w:val="0070C0"/>
        </w:rPr>
      </w:pPr>
    </w:p>
    <w:p w:rsidR="000B2C93" w:rsidRPr="00A33775" w:rsidRDefault="000B2C93" w:rsidP="000B2C93">
      <w:pPr>
        <w:pStyle w:val="Heading1"/>
        <w:jc w:val="both"/>
        <w:rPr>
          <w:color w:val="0070C0"/>
        </w:rPr>
      </w:pPr>
      <w:r w:rsidRPr="00A33775">
        <w:rPr>
          <w:color w:val="0070C0"/>
        </w:rPr>
        <w:t xml:space="preserve">4. </w:t>
      </w:r>
      <w:r w:rsidR="00A33775" w:rsidRPr="00A33775">
        <w:rPr>
          <w:color w:val="0070C0"/>
        </w:rPr>
        <w:t>CAPITAL REQUIREMENTS AND UTILLIZATION</w:t>
      </w:r>
    </w:p>
    <w:p w:rsidR="000B2C93" w:rsidRPr="00A33775" w:rsidRDefault="000B2C93" w:rsidP="00A33775">
      <w:pPr>
        <w:spacing w:line="360" w:lineRule="auto"/>
        <w:jc w:val="both"/>
        <w:rPr>
          <w:color w:val="0070C0"/>
        </w:rPr>
      </w:pPr>
    </w:p>
    <w:p w:rsidR="000B2C93" w:rsidRDefault="000B2C93" w:rsidP="00A33775">
      <w:pPr>
        <w:spacing w:line="360" w:lineRule="auto"/>
        <w:jc w:val="both"/>
      </w:pPr>
      <w:r>
        <w:t xml:space="preserve">We are seeking an investment of </w:t>
      </w:r>
      <w:r w:rsidRPr="000B2C93">
        <w:rPr>
          <w:b/>
          <w:bCs/>
        </w:rPr>
        <w:t>RM10 million</w:t>
      </w:r>
      <w:r>
        <w:t>, allocated as follows:</w:t>
      </w:r>
    </w:p>
    <w:p w:rsidR="000B2C93" w:rsidRDefault="000B2C93" w:rsidP="00A33775">
      <w:pPr>
        <w:spacing w:line="360" w:lineRule="auto"/>
        <w:jc w:val="both"/>
      </w:pPr>
    </w:p>
    <w:p w:rsidR="000B2C93" w:rsidRDefault="000B2C93" w:rsidP="00A33775">
      <w:pPr>
        <w:pStyle w:val="Heading2"/>
        <w:spacing w:line="360" w:lineRule="auto"/>
        <w:jc w:val="both"/>
      </w:pPr>
      <w:r>
        <w:t>4.1 Current Operations (Malaysia, Singapore, Brunei): RM4 million</w:t>
      </w:r>
    </w:p>
    <w:p w:rsidR="000B2C93" w:rsidRPr="000B2C93" w:rsidRDefault="000B2C93" w:rsidP="00A33775">
      <w:pPr>
        <w:spacing w:line="360" w:lineRule="auto"/>
      </w:pPr>
    </w:p>
    <w:tbl>
      <w:tblPr>
        <w:tblStyle w:val="TableGrid"/>
        <w:tblW w:w="0" w:type="auto"/>
        <w:tblLook w:val="04A0" w:firstRow="1" w:lastRow="0" w:firstColumn="1" w:lastColumn="0" w:noHBand="0" w:noVBand="1"/>
      </w:tblPr>
      <w:tblGrid>
        <w:gridCol w:w="5382"/>
        <w:gridCol w:w="3258"/>
      </w:tblGrid>
      <w:tr w:rsidR="000B2C93" w:rsidTr="00A33775">
        <w:tc>
          <w:tcPr>
            <w:tcW w:w="5382" w:type="dxa"/>
            <w:shd w:val="clear" w:color="auto" w:fill="F2F2F2" w:themeFill="background1" w:themeFillShade="F2"/>
          </w:tcPr>
          <w:p w:rsidR="000B2C93" w:rsidRPr="00A33775" w:rsidRDefault="000B2C93" w:rsidP="00A33775">
            <w:pPr>
              <w:spacing w:line="360" w:lineRule="auto"/>
              <w:jc w:val="both"/>
              <w:rPr>
                <w:rFonts w:ascii="Arial" w:hAnsi="Arial" w:cs="Arial"/>
              </w:rPr>
            </w:pPr>
            <w:r w:rsidRPr="00A33775">
              <w:rPr>
                <w:rFonts w:ascii="Arial" w:hAnsi="Arial" w:cs="Arial"/>
              </w:rPr>
              <w:t>Utilization</w:t>
            </w:r>
          </w:p>
        </w:tc>
        <w:tc>
          <w:tcPr>
            <w:tcW w:w="3258" w:type="dxa"/>
            <w:shd w:val="clear" w:color="auto" w:fill="F2F2F2" w:themeFill="background1" w:themeFillShade="F2"/>
          </w:tcPr>
          <w:p w:rsidR="000B2C93" w:rsidRPr="00A33775" w:rsidRDefault="000B2C93" w:rsidP="00A33775">
            <w:pPr>
              <w:spacing w:line="360" w:lineRule="auto"/>
              <w:jc w:val="center"/>
              <w:rPr>
                <w:rFonts w:ascii="Arial" w:hAnsi="Arial" w:cs="Arial"/>
              </w:rPr>
            </w:pPr>
            <w:r w:rsidRPr="00A33775">
              <w:rPr>
                <w:rFonts w:ascii="Arial" w:hAnsi="Arial" w:cs="Arial"/>
              </w:rPr>
              <w:t>Allocation (MYR)</w:t>
            </w:r>
          </w:p>
        </w:tc>
      </w:tr>
      <w:tr w:rsidR="000B2C93" w:rsidTr="00A33775">
        <w:tc>
          <w:tcPr>
            <w:tcW w:w="5382" w:type="dxa"/>
          </w:tcPr>
          <w:p w:rsidR="000B2C93" w:rsidRPr="00A33775" w:rsidRDefault="000B2C93" w:rsidP="00A33775">
            <w:pPr>
              <w:spacing w:line="360" w:lineRule="auto"/>
              <w:jc w:val="both"/>
              <w:rPr>
                <w:rFonts w:ascii="Arial" w:hAnsi="Arial" w:cs="Arial"/>
              </w:rPr>
            </w:pPr>
            <w:r w:rsidRPr="00A33775">
              <w:rPr>
                <w:rFonts w:ascii="Arial" w:hAnsi="Arial" w:cs="Arial"/>
              </w:rPr>
              <w:t>Product development and technology enhancement</w:t>
            </w:r>
          </w:p>
        </w:tc>
        <w:tc>
          <w:tcPr>
            <w:tcW w:w="3258" w:type="dxa"/>
          </w:tcPr>
          <w:p w:rsidR="000B2C93" w:rsidRPr="00A33775" w:rsidRDefault="000B2C93" w:rsidP="00A33775">
            <w:pPr>
              <w:spacing w:line="360" w:lineRule="auto"/>
              <w:jc w:val="center"/>
              <w:rPr>
                <w:rFonts w:ascii="Arial" w:hAnsi="Arial" w:cs="Arial"/>
              </w:rPr>
            </w:pPr>
            <w:r w:rsidRPr="00A33775">
              <w:rPr>
                <w:rFonts w:ascii="Arial" w:hAnsi="Arial" w:cs="Arial"/>
              </w:rPr>
              <w:t>2,000,000</w:t>
            </w:r>
          </w:p>
        </w:tc>
      </w:tr>
      <w:tr w:rsidR="000B2C93" w:rsidTr="00A33775">
        <w:tc>
          <w:tcPr>
            <w:tcW w:w="5382" w:type="dxa"/>
          </w:tcPr>
          <w:p w:rsidR="000B2C93" w:rsidRPr="00A33775" w:rsidRDefault="000B2C93" w:rsidP="00A33775">
            <w:pPr>
              <w:spacing w:line="360" w:lineRule="auto"/>
              <w:jc w:val="both"/>
              <w:rPr>
                <w:rFonts w:ascii="Arial" w:hAnsi="Arial" w:cs="Arial"/>
              </w:rPr>
            </w:pPr>
            <w:r w:rsidRPr="00A33775">
              <w:rPr>
                <w:rFonts w:ascii="Arial" w:hAnsi="Arial" w:cs="Arial"/>
              </w:rPr>
              <w:t>Team expansion and training</w:t>
            </w:r>
          </w:p>
        </w:tc>
        <w:tc>
          <w:tcPr>
            <w:tcW w:w="3258" w:type="dxa"/>
          </w:tcPr>
          <w:p w:rsidR="000B2C93" w:rsidRPr="00A33775" w:rsidRDefault="000B2C93" w:rsidP="00A33775">
            <w:pPr>
              <w:spacing w:line="360" w:lineRule="auto"/>
              <w:jc w:val="center"/>
              <w:rPr>
                <w:rFonts w:ascii="Arial" w:hAnsi="Arial" w:cs="Arial"/>
              </w:rPr>
            </w:pPr>
            <w:r w:rsidRPr="00A33775">
              <w:rPr>
                <w:rFonts w:ascii="Arial" w:hAnsi="Arial" w:cs="Arial"/>
              </w:rPr>
              <w:t>800,000</w:t>
            </w:r>
          </w:p>
        </w:tc>
      </w:tr>
      <w:tr w:rsidR="000B2C93" w:rsidTr="00A33775">
        <w:tc>
          <w:tcPr>
            <w:tcW w:w="5382" w:type="dxa"/>
          </w:tcPr>
          <w:p w:rsidR="000B2C93" w:rsidRPr="00A33775" w:rsidRDefault="000B2C93" w:rsidP="00A33775">
            <w:pPr>
              <w:spacing w:line="360" w:lineRule="auto"/>
              <w:jc w:val="both"/>
              <w:rPr>
                <w:rFonts w:ascii="Arial" w:hAnsi="Arial" w:cs="Arial"/>
              </w:rPr>
            </w:pPr>
            <w:r w:rsidRPr="00A33775">
              <w:rPr>
                <w:rFonts w:ascii="Arial" w:hAnsi="Arial" w:cs="Arial"/>
              </w:rPr>
              <w:t>Marketing and customer acquisition</w:t>
            </w:r>
          </w:p>
        </w:tc>
        <w:tc>
          <w:tcPr>
            <w:tcW w:w="3258" w:type="dxa"/>
          </w:tcPr>
          <w:p w:rsidR="000B2C93" w:rsidRPr="00A33775" w:rsidRDefault="000B2C93" w:rsidP="00A33775">
            <w:pPr>
              <w:spacing w:line="360" w:lineRule="auto"/>
              <w:jc w:val="center"/>
              <w:rPr>
                <w:rFonts w:ascii="Arial" w:hAnsi="Arial" w:cs="Arial"/>
              </w:rPr>
            </w:pPr>
            <w:r w:rsidRPr="00A33775">
              <w:rPr>
                <w:rFonts w:ascii="Arial" w:hAnsi="Arial" w:cs="Arial"/>
              </w:rPr>
              <w:t>600,000</w:t>
            </w:r>
          </w:p>
        </w:tc>
      </w:tr>
      <w:tr w:rsidR="000B2C93" w:rsidTr="00A33775">
        <w:tc>
          <w:tcPr>
            <w:tcW w:w="5382" w:type="dxa"/>
          </w:tcPr>
          <w:p w:rsidR="000B2C93" w:rsidRPr="00A33775" w:rsidRDefault="000B2C93" w:rsidP="00A33775">
            <w:pPr>
              <w:spacing w:line="360" w:lineRule="auto"/>
              <w:jc w:val="both"/>
              <w:rPr>
                <w:rFonts w:ascii="Arial" w:hAnsi="Arial" w:cs="Arial"/>
              </w:rPr>
            </w:pPr>
            <w:r w:rsidRPr="00A33775">
              <w:rPr>
                <w:rFonts w:ascii="Arial" w:hAnsi="Arial" w:cs="Arial"/>
              </w:rPr>
              <w:t>Operational costs</w:t>
            </w:r>
          </w:p>
        </w:tc>
        <w:tc>
          <w:tcPr>
            <w:tcW w:w="3258" w:type="dxa"/>
          </w:tcPr>
          <w:p w:rsidR="000B2C93" w:rsidRPr="00A33775" w:rsidRDefault="000B2C93" w:rsidP="00A33775">
            <w:pPr>
              <w:spacing w:line="360" w:lineRule="auto"/>
              <w:jc w:val="center"/>
              <w:rPr>
                <w:rFonts w:ascii="Arial" w:hAnsi="Arial" w:cs="Arial"/>
              </w:rPr>
            </w:pPr>
            <w:r w:rsidRPr="00A33775">
              <w:rPr>
                <w:rFonts w:ascii="Arial" w:hAnsi="Arial" w:cs="Arial"/>
              </w:rPr>
              <w:t>400,000</w:t>
            </w:r>
          </w:p>
        </w:tc>
      </w:tr>
    </w:tbl>
    <w:p w:rsidR="000B2C93" w:rsidRDefault="000B2C93" w:rsidP="00A33775">
      <w:pPr>
        <w:pStyle w:val="Heading2"/>
        <w:spacing w:line="360" w:lineRule="auto"/>
        <w:jc w:val="both"/>
      </w:pPr>
    </w:p>
    <w:p w:rsidR="000B2C93" w:rsidRPr="00A33775" w:rsidRDefault="000B2C93" w:rsidP="00A33775">
      <w:pPr>
        <w:spacing w:line="360" w:lineRule="auto"/>
      </w:pPr>
    </w:p>
    <w:p w:rsidR="000B2C93" w:rsidRPr="00A33775" w:rsidRDefault="000B2C93" w:rsidP="00A33775">
      <w:pPr>
        <w:pStyle w:val="Heading2"/>
        <w:spacing w:line="360" w:lineRule="auto"/>
        <w:jc w:val="both"/>
      </w:pPr>
      <w:r w:rsidRPr="00A33775">
        <w:t>4.2 New Market Expansion (Indonesia, USA, Europe): RM6 million</w:t>
      </w:r>
    </w:p>
    <w:p w:rsidR="000B2C93" w:rsidRPr="00A33775" w:rsidRDefault="000B2C93" w:rsidP="00A33775">
      <w:pPr>
        <w:spacing w:line="360" w:lineRule="auto"/>
      </w:pPr>
    </w:p>
    <w:tbl>
      <w:tblPr>
        <w:tblStyle w:val="TableGrid"/>
        <w:tblW w:w="0" w:type="auto"/>
        <w:tblLook w:val="04A0" w:firstRow="1" w:lastRow="0" w:firstColumn="1" w:lastColumn="0" w:noHBand="0" w:noVBand="1"/>
      </w:tblPr>
      <w:tblGrid>
        <w:gridCol w:w="5382"/>
        <w:gridCol w:w="3258"/>
      </w:tblGrid>
      <w:tr w:rsidR="000B2C93" w:rsidRPr="00A33775" w:rsidTr="00A33775">
        <w:tc>
          <w:tcPr>
            <w:tcW w:w="5382" w:type="dxa"/>
            <w:shd w:val="clear" w:color="auto" w:fill="F2F2F2" w:themeFill="background1" w:themeFillShade="F2"/>
          </w:tcPr>
          <w:p w:rsidR="000B2C93" w:rsidRPr="00A33775" w:rsidRDefault="000B2C93" w:rsidP="00A33775">
            <w:pPr>
              <w:spacing w:line="360" w:lineRule="auto"/>
              <w:jc w:val="both"/>
              <w:rPr>
                <w:rFonts w:ascii="Arial" w:hAnsi="Arial" w:cs="Arial"/>
              </w:rPr>
            </w:pPr>
            <w:r w:rsidRPr="00A33775">
              <w:rPr>
                <w:rFonts w:ascii="Arial" w:hAnsi="Arial" w:cs="Arial"/>
              </w:rPr>
              <w:t>Utilization</w:t>
            </w:r>
          </w:p>
        </w:tc>
        <w:tc>
          <w:tcPr>
            <w:tcW w:w="3258" w:type="dxa"/>
            <w:shd w:val="clear" w:color="auto" w:fill="F2F2F2" w:themeFill="background1" w:themeFillShade="F2"/>
          </w:tcPr>
          <w:p w:rsidR="000B2C93" w:rsidRPr="00A33775" w:rsidRDefault="000B2C93" w:rsidP="00A33775">
            <w:pPr>
              <w:spacing w:line="360" w:lineRule="auto"/>
              <w:jc w:val="center"/>
              <w:rPr>
                <w:rFonts w:ascii="Arial" w:hAnsi="Arial" w:cs="Arial"/>
              </w:rPr>
            </w:pPr>
            <w:r w:rsidRPr="00A33775">
              <w:rPr>
                <w:rFonts w:ascii="Arial" w:hAnsi="Arial" w:cs="Arial"/>
              </w:rPr>
              <w:t>Allocation (MYR)</w:t>
            </w:r>
          </w:p>
        </w:tc>
      </w:tr>
      <w:tr w:rsidR="000B2C93" w:rsidRPr="00A33775" w:rsidTr="00A33775">
        <w:tc>
          <w:tcPr>
            <w:tcW w:w="5382" w:type="dxa"/>
          </w:tcPr>
          <w:p w:rsidR="000B2C93" w:rsidRPr="00A33775" w:rsidRDefault="000B2C93" w:rsidP="00A33775">
            <w:pPr>
              <w:spacing w:line="360" w:lineRule="auto"/>
              <w:jc w:val="both"/>
              <w:rPr>
                <w:rFonts w:ascii="Arial" w:hAnsi="Arial" w:cs="Arial"/>
              </w:rPr>
            </w:pPr>
            <w:r w:rsidRPr="00A33775">
              <w:rPr>
                <w:rFonts w:ascii="Arial" w:hAnsi="Arial" w:cs="Arial"/>
              </w:rPr>
              <w:t>Market entry and localization</w:t>
            </w:r>
          </w:p>
        </w:tc>
        <w:tc>
          <w:tcPr>
            <w:tcW w:w="3258" w:type="dxa"/>
          </w:tcPr>
          <w:p w:rsidR="000B2C93" w:rsidRPr="00A33775" w:rsidRDefault="000B2C93" w:rsidP="00A33775">
            <w:pPr>
              <w:spacing w:line="360" w:lineRule="auto"/>
              <w:jc w:val="center"/>
              <w:rPr>
                <w:rFonts w:ascii="Arial" w:hAnsi="Arial" w:cs="Arial"/>
              </w:rPr>
            </w:pPr>
            <w:r w:rsidRPr="00A33775">
              <w:rPr>
                <w:rFonts w:ascii="Arial" w:hAnsi="Arial" w:cs="Arial"/>
              </w:rPr>
              <w:t>2,500,000</w:t>
            </w:r>
          </w:p>
        </w:tc>
      </w:tr>
      <w:tr w:rsidR="000B2C93" w:rsidRPr="00A33775" w:rsidTr="00A33775">
        <w:tc>
          <w:tcPr>
            <w:tcW w:w="5382" w:type="dxa"/>
          </w:tcPr>
          <w:p w:rsidR="000B2C93" w:rsidRPr="00A33775" w:rsidRDefault="000B2C93" w:rsidP="00A33775">
            <w:pPr>
              <w:spacing w:line="360" w:lineRule="auto"/>
              <w:jc w:val="both"/>
              <w:rPr>
                <w:rFonts w:ascii="Arial" w:hAnsi="Arial" w:cs="Arial"/>
              </w:rPr>
            </w:pPr>
            <w:r w:rsidRPr="00A33775">
              <w:rPr>
                <w:rFonts w:ascii="Arial" w:hAnsi="Arial" w:cs="Arial"/>
              </w:rPr>
              <w:t>Recruitment and partnerships</w:t>
            </w:r>
          </w:p>
        </w:tc>
        <w:tc>
          <w:tcPr>
            <w:tcW w:w="3258" w:type="dxa"/>
          </w:tcPr>
          <w:p w:rsidR="000B2C93" w:rsidRPr="00A33775" w:rsidRDefault="000B2C93" w:rsidP="00A33775">
            <w:pPr>
              <w:spacing w:line="360" w:lineRule="auto"/>
              <w:jc w:val="center"/>
              <w:rPr>
                <w:rFonts w:ascii="Arial" w:hAnsi="Arial" w:cs="Arial"/>
              </w:rPr>
            </w:pPr>
            <w:r w:rsidRPr="00A33775">
              <w:rPr>
                <w:rFonts w:ascii="Arial" w:hAnsi="Arial" w:cs="Arial"/>
              </w:rPr>
              <w:t>1,500,000</w:t>
            </w:r>
          </w:p>
        </w:tc>
      </w:tr>
      <w:tr w:rsidR="000B2C93" w:rsidRPr="00A33775" w:rsidTr="00A33775">
        <w:tc>
          <w:tcPr>
            <w:tcW w:w="5382" w:type="dxa"/>
          </w:tcPr>
          <w:p w:rsidR="000B2C93" w:rsidRPr="00A33775" w:rsidRDefault="000B2C93" w:rsidP="00A33775">
            <w:pPr>
              <w:spacing w:line="360" w:lineRule="auto"/>
              <w:jc w:val="both"/>
              <w:rPr>
                <w:rFonts w:ascii="Arial" w:hAnsi="Arial" w:cs="Arial"/>
              </w:rPr>
            </w:pPr>
            <w:r w:rsidRPr="00A33775">
              <w:rPr>
                <w:rFonts w:ascii="Arial" w:hAnsi="Arial" w:cs="Arial"/>
              </w:rPr>
              <w:t>Marketing and customer acquisition</w:t>
            </w:r>
          </w:p>
        </w:tc>
        <w:tc>
          <w:tcPr>
            <w:tcW w:w="3258" w:type="dxa"/>
          </w:tcPr>
          <w:p w:rsidR="000B2C93" w:rsidRPr="00A33775" w:rsidRDefault="000B2C93" w:rsidP="00A33775">
            <w:pPr>
              <w:spacing w:line="360" w:lineRule="auto"/>
              <w:jc w:val="center"/>
              <w:rPr>
                <w:rFonts w:ascii="Arial" w:hAnsi="Arial" w:cs="Arial"/>
              </w:rPr>
            </w:pPr>
            <w:r w:rsidRPr="00A33775">
              <w:rPr>
                <w:rFonts w:ascii="Arial" w:hAnsi="Arial" w:cs="Arial"/>
              </w:rPr>
              <w:t>1,000,000</w:t>
            </w:r>
          </w:p>
        </w:tc>
      </w:tr>
      <w:tr w:rsidR="000B2C93" w:rsidRPr="00A33775" w:rsidTr="00A33775">
        <w:tc>
          <w:tcPr>
            <w:tcW w:w="5382" w:type="dxa"/>
          </w:tcPr>
          <w:p w:rsidR="000B2C93" w:rsidRPr="00A33775" w:rsidRDefault="000B2C93" w:rsidP="00A33775">
            <w:pPr>
              <w:spacing w:line="360" w:lineRule="auto"/>
              <w:jc w:val="both"/>
              <w:rPr>
                <w:rFonts w:ascii="Arial" w:hAnsi="Arial" w:cs="Arial"/>
              </w:rPr>
            </w:pPr>
            <w:r w:rsidRPr="00A33775">
              <w:rPr>
                <w:rFonts w:ascii="Arial" w:hAnsi="Arial" w:cs="Arial"/>
              </w:rPr>
              <w:t>Operational setup and administrative</w:t>
            </w:r>
          </w:p>
        </w:tc>
        <w:tc>
          <w:tcPr>
            <w:tcW w:w="3258" w:type="dxa"/>
          </w:tcPr>
          <w:p w:rsidR="000B2C93" w:rsidRPr="00A33775" w:rsidRDefault="000B2C93" w:rsidP="00A33775">
            <w:pPr>
              <w:spacing w:line="360" w:lineRule="auto"/>
              <w:jc w:val="center"/>
              <w:rPr>
                <w:rFonts w:ascii="Arial" w:hAnsi="Arial" w:cs="Arial"/>
              </w:rPr>
            </w:pPr>
            <w:r w:rsidRPr="00A33775">
              <w:rPr>
                <w:rFonts w:ascii="Arial" w:hAnsi="Arial" w:cs="Arial"/>
              </w:rPr>
              <w:t>1,000,000</w:t>
            </w:r>
          </w:p>
        </w:tc>
      </w:tr>
    </w:tbl>
    <w:p w:rsidR="000B2C93" w:rsidRPr="00A33775" w:rsidRDefault="000B2C93" w:rsidP="00A33775">
      <w:pPr>
        <w:pStyle w:val="Heading1"/>
        <w:spacing w:line="360" w:lineRule="auto"/>
        <w:jc w:val="both"/>
      </w:pPr>
    </w:p>
    <w:p w:rsidR="000B2C93" w:rsidRDefault="000B2C93" w:rsidP="000B2C93">
      <w:pPr>
        <w:pStyle w:val="Heading1"/>
        <w:jc w:val="both"/>
      </w:pPr>
    </w:p>
    <w:p w:rsidR="00A33775" w:rsidRDefault="00A33775" w:rsidP="00A33775"/>
    <w:p w:rsidR="00A33775" w:rsidRDefault="00A33775" w:rsidP="00A33775"/>
    <w:p w:rsidR="00A33775" w:rsidRDefault="00A33775" w:rsidP="00A33775"/>
    <w:p w:rsidR="00A33775" w:rsidRPr="00A33775" w:rsidRDefault="00A33775" w:rsidP="00A33775"/>
    <w:p w:rsidR="000B2C93" w:rsidRPr="00A33775" w:rsidRDefault="000B2C93" w:rsidP="000B2C93">
      <w:pPr>
        <w:pStyle w:val="Heading1"/>
        <w:jc w:val="both"/>
        <w:rPr>
          <w:color w:val="0070C0"/>
        </w:rPr>
      </w:pPr>
      <w:r w:rsidRPr="00A33775">
        <w:rPr>
          <w:color w:val="0070C0"/>
        </w:rPr>
        <w:t xml:space="preserve">5. </w:t>
      </w:r>
      <w:r w:rsidR="00A33775" w:rsidRPr="00A33775">
        <w:rPr>
          <w:color w:val="0070C0"/>
        </w:rPr>
        <w:t>SUMMARY FINANCIAL PROJECTION</w:t>
      </w:r>
    </w:p>
    <w:p w:rsidR="00597ECF" w:rsidRPr="00A33775" w:rsidRDefault="00597ECF" w:rsidP="00597ECF">
      <w:pPr>
        <w:spacing w:line="240" w:lineRule="auto"/>
        <w:jc w:val="both"/>
      </w:pPr>
    </w:p>
    <w:p w:rsidR="000B2C93" w:rsidRPr="00A33775" w:rsidRDefault="000B2C93" w:rsidP="00A33775">
      <w:pPr>
        <w:spacing w:line="360" w:lineRule="auto"/>
        <w:jc w:val="both"/>
      </w:pPr>
      <w:r w:rsidRPr="00A33775">
        <w:t>We expect revenue growth to follow the below projections with the proposed investment:</w:t>
      </w:r>
    </w:p>
    <w:p w:rsidR="00CF4C9A" w:rsidRPr="00A33775" w:rsidRDefault="00CF4C9A" w:rsidP="00A33775">
      <w:pPr>
        <w:spacing w:line="360" w:lineRule="auto"/>
        <w:jc w:val="both"/>
      </w:pPr>
    </w:p>
    <w:p w:rsidR="000B2C93" w:rsidRPr="00A33775" w:rsidRDefault="000B2C93" w:rsidP="00A33775">
      <w:pPr>
        <w:pStyle w:val="ListParagraph"/>
        <w:numPr>
          <w:ilvl w:val="0"/>
          <w:numId w:val="7"/>
        </w:numPr>
        <w:spacing w:line="360" w:lineRule="auto"/>
        <w:jc w:val="both"/>
        <w:rPr>
          <w:rFonts w:ascii="Arial" w:hAnsi="Arial" w:cs="Arial"/>
        </w:rPr>
      </w:pPr>
      <w:r w:rsidRPr="00A33775">
        <w:rPr>
          <w:rFonts w:ascii="Arial" w:hAnsi="Arial" w:cs="Arial"/>
        </w:rPr>
        <w:t>2025: RM25 million</w:t>
      </w:r>
    </w:p>
    <w:p w:rsidR="000B2C93" w:rsidRPr="00A33775" w:rsidRDefault="000B2C93" w:rsidP="00A33775">
      <w:pPr>
        <w:pStyle w:val="ListParagraph"/>
        <w:numPr>
          <w:ilvl w:val="0"/>
          <w:numId w:val="7"/>
        </w:numPr>
        <w:spacing w:line="360" w:lineRule="auto"/>
        <w:jc w:val="both"/>
        <w:rPr>
          <w:rFonts w:ascii="Arial" w:hAnsi="Arial" w:cs="Arial"/>
        </w:rPr>
      </w:pPr>
      <w:r w:rsidRPr="00A33775">
        <w:rPr>
          <w:rFonts w:ascii="Arial" w:hAnsi="Arial" w:cs="Arial"/>
        </w:rPr>
        <w:t>2026: RM50 million</w:t>
      </w:r>
    </w:p>
    <w:p w:rsidR="000B2C93" w:rsidRPr="00A33775" w:rsidRDefault="000B2C93" w:rsidP="00A33775">
      <w:pPr>
        <w:pStyle w:val="ListParagraph"/>
        <w:numPr>
          <w:ilvl w:val="0"/>
          <w:numId w:val="7"/>
        </w:numPr>
        <w:spacing w:line="360" w:lineRule="auto"/>
        <w:jc w:val="both"/>
        <w:rPr>
          <w:rFonts w:ascii="Arial" w:hAnsi="Arial" w:cs="Arial"/>
        </w:rPr>
      </w:pPr>
      <w:r w:rsidRPr="00A33775">
        <w:rPr>
          <w:rFonts w:ascii="Arial" w:hAnsi="Arial" w:cs="Arial"/>
        </w:rPr>
        <w:t>2027: RM85 million</w:t>
      </w:r>
    </w:p>
    <w:p w:rsidR="000B2C93" w:rsidRPr="00A33775" w:rsidRDefault="000B2C93" w:rsidP="00A33775">
      <w:pPr>
        <w:pStyle w:val="ListParagraph"/>
        <w:numPr>
          <w:ilvl w:val="0"/>
          <w:numId w:val="7"/>
        </w:numPr>
        <w:spacing w:line="360" w:lineRule="auto"/>
        <w:jc w:val="both"/>
        <w:rPr>
          <w:rFonts w:ascii="Arial" w:hAnsi="Arial" w:cs="Arial"/>
        </w:rPr>
      </w:pPr>
      <w:r w:rsidRPr="00A33775">
        <w:rPr>
          <w:rFonts w:ascii="Arial" w:hAnsi="Arial" w:cs="Arial"/>
        </w:rPr>
        <w:t>2028: RM140 million</w:t>
      </w:r>
    </w:p>
    <w:p w:rsidR="000B2C93" w:rsidRPr="00A33775" w:rsidRDefault="000B2C93" w:rsidP="00A33775">
      <w:pPr>
        <w:pStyle w:val="ListParagraph"/>
        <w:spacing w:line="360" w:lineRule="auto"/>
        <w:jc w:val="both"/>
        <w:rPr>
          <w:rFonts w:ascii="Arial" w:hAnsi="Arial" w:cs="Arial"/>
          <w:color w:val="0070C0"/>
        </w:rPr>
      </w:pPr>
    </w:p>
    <w:p w:rsidR="000B2C93" w:rsidRPr="00A33775" w:rsidRDefault="000B2C93" w:rsidP="00597ECF">
      <w:pPr>
        <w:pStyle w:val="Heading1"/>
        <w:spacing w:line="240" w:lineRule="auto"/>
        <w:jc w:val="both"/>
        <w:rPr>
          <w:color w:val="0070C0"/>
        </w:rPr>
      </w:pPr>
      <w:r w:rsidRPr="00A33775">
        <w:rPr>
          <w:color w:val="0070C0"/>
        </w:rPr>
        <w:t xml:space="preserve">6. </w:t>
      </w:r>
      <w:r w:rsidR="00A33775" w:rsidRPr="00A33775">
        <w:rPr>
          <w:color w:val="0070C0"/>
        </w:rPr>
        <w:t>COMPETITVE LANDSCAPE</w:t>
      </w:r>
    </w:p>
    <w:p w:rsidR="000B2C93" w:rsidRPr="00B61EBF" w:rsidRDefault="000B2C93" w:rsidP="000B2C93"/>
    <w:p w:rsidR="000B2C93" w:rsidRPr="00B61EBF" w:rsidRDefault="000B2C93" w:rsidP="00A33775">
      <w:pPr>
        <w:spacing w:line="360" w:lineRule="auto"/>
        <w:jc w:val="both"/>
      </w:pPr>
      <w:r w:rsidRPr="00B61EBF">
        <w:t xml:space="preserve">SifuTutor and NakNgaji stand out in the global edtech landscape due to our </w:t>
      </w:r>
      <w:r w:rsidRPr="00B61EBF">
        <w:rPr>
          <w:b/>
          <w:bCs/>
          <w:u w:val="single"/>
        </w:rPr>
        <w:t>unique dual-market focus (secular tutoring and Islamic education)</w:t>
      </w:r>
      <w:r w:rsidRPr="00B61EBF">
        <w:t>, scalable technology platform, and proven operational success in Southeast Asia.</w:t>
      </w:r>
    </w:p>
    <w:p w:rsidR="000B2C93" w:rsidRPr="00B61EBF" w:rsidRDefault="000B2C93" w:rsidP="00A33775">
      <w:pPr>
        <w:spacing w:line="360" w:lineRule="auto"/>
        <w:jc w:val="both"/>
      </w:pPr>
    </w:p>
    <w:p w:rsidR="000B2C93" w:rsidRPr="00B61EBF" w:rsidRDefault="000B2C93" w:rsidP="000B2C93">
      <w:pPr>
        <w:jc w:val="both"/>
      </w:pPr>
    </w:p>
    <w:p w:rsidR="000B2C93" w:rsidRPr="00A33775" w:rsidRDefault="000B2C93" w:rsidP="000B2C93">
      <w:pPr>
        <w:pStyle w:val="Heading1"/>
        <w:jc w:val="both"/>
        <w:rPr>
          <w:color w:val="0070C0"/>
        </w:rPr>
      </w:pPr>
      <w:r w:rsidRPr="00A33775">
        <w:rPr>
          <w:color w:val="0070C0"/>
        </w:rPr>
        <w:t xml:space="preserve">7. </w:t>
      </w:r>
      <w:r w:rsidR="00A33775" w:rsidRPr="00A33775">
        <w:rPr>
          <w:color w:val="0070C0"/>
        </w:rPr>
        <w:t>KEY</w:t>
      </w:r>
      <w:r w:rsidRPr="00A33775">
        <w:rPr>
          <w:color w:val="0070C0"/>
        </w:rPr>
        <w:t xml:space="preserve"> </w:t>
      </w:r>
      <w:r w:rsidR="00A33775" w:rsidRPr="00A33775">
        <w:rPr>
          <w:color w:val="0070C0"/>
        </w:rPr>
        <w:t>INVESTMENT CONSIDERATION</w:t>
      </w:r>
    </w:p>
    <w:p w:rsidR="000B2C93" w:rsidRPr="00B61EBF" w:rsidRDefault="000B2C93" w:rsidP="00A33775">
      <w:pPr>
        <w:spacing w:line="360" w:lineRule="auto"/>
      </w:pPr>
    </w:p>
    <w:p w:rsidR="000B2C93" w:rsidRPr="00B61EBF" w:rsidRDefault="000B2C93" w:rsidP="00A33775">
      <w:pPr>
        <w:pStyle w:val="ListParagraph"/>
        <w:numPr>
          <w:ilvl w:val="0"/>
          <w:numId w:val="10"/>
        </w:numPr>
        <w:spacing w:line="360" w:lineRule="auto"/>
        <w:jc w:val="both"/>
        <w:rPr>
          <w:rFonts w:ascii="Arial" w:hAnsi="Arial" w:cs="Arial"/>
        </w:rPr>
      </w:pPr>
      <w:r w:rsidRPr="00B61EBF">
        <w:rPr>
          <w:rFonts w:ascii="Arial" w:hAnsi="Arial" w:cs="Arial"/>
        </w:rPr>
        <w:t>First Mover Advantage: Expand rapidly in existing markets and establish first-mover advantage in new territories.</w:t>
      </w:r>
    </w:p>
    <w:p w:rsidR="000B2C93" w:rsidRPr="00B61EBF" w:rsidRDefault="000B2C93" w:rsidP="00A33775">
      <w:pPr>
        <w:pStyle w:val="ListParagraph"/>
        <w:numPr>
          <w:ilvl w:val="0"/>
          <w:numId w:val="10"/>
        </w:numPr>
        <w:spacing w:line="360" w:lineRule="auto"/>
        <w:jc w:val="both"/>
        <w:rPr>
          <w:rFonts w:ascii="Arial" w:hAnsi="Arial" w:cs="Arial"/>
        </w:rPr>
      </w:pPr>
      <w:r w:rsidRPr="00B61EBF">
        <w:rPr>
          <w:rFonts w:ascii="Arial" w:hAnsi="Arial" w:cs="Arial"/>
        </w:rPr>
        <w:t>Diversification: Reduce market-specific risks through global expansion.</w:t>
      </w:r>
    </w:p>
    <w:p w:rsidR="000B2C93" w:rsidRPr="00B61EBF" w:rsidRDefault="000B2C93" w:rsidP="00A33775">
      <w:pPr>
        <w:pStyle w:val="ListParagraph"/>
        <w:numPr>
          <w:ilvl w:val="0"/>
          <w:numId w:val="10"/>
        </w:numPr>
        <w:spacing w:line="360" w:lineRule="auto"/>
        <w:jc w:val="both"/>
        <w:rPr>
          <w:rFonts w:ascii="Arial" w:hAnsi="Arial" w:cs="Arial"/>
        </w:rPr>
      </w:pPr>
      <w:r w:rsidRPr="00B61EBF">
        <w:rPr>
          <w:rFonts w:ascii="Arial" w:hAnsi="Arial" w:cs="Arial"/>
        </w:rPr>
        <w:t>Scalability: Leverage technology for efficient cross-market operations.</w:t>
      </w:r>
    </w:p>
    <w:p w:rsidR="000B2C93" w:rsidRPr="00B61EBF" w:rsidRDefault="000B2C93" w:rsidP="00A33775">
      <w:pPr>
        <w:pStyle w:val="ListParagraph"/>
        <w:numPr>
          <w:ilvl w:val="0"/>
          <w:numId w:val="10"/>
        </w:numPr>
        <w:spacing w:line="360" w:lineRule="auto"/>
        <w:jc w:val="both"/>
        <w:rPr>
          <w:rFonts w:ascii="Arial" w:hAnsi="Arial" w:cs="Arial"/>
        </w:rPr>
      </w:pPr>
      <w:r w:rsidRPr="00B61EBF">
        <w:rPr>
          <w:rFonts w:ascii="Arial" w:hAnsi="Arial" w:cs="Arial"/>
        </w:rPr>
        <w:t>Social Impact: Improve access to quality education and promote cultural understanding globally.</w:t>
      </w:r>
    </w:p>
    <w:p w:rsidR="000B2C93" w:rsidRPr="00B61EBF" w:rsidRDefault="000B2C93" w:rsidP="00A33775">
      <w:pPr>
        <w:pStyle w:val="ListParagraph"/>
        <w:numPr>
          <w:ilvl w:val="0"/>
          <w:numId w:val="10"/>
        </w:numPr>
        <w:spacing w:line="360" w:lineRule="auto"/>
        <w:jc w:val="both"/>
        <w:rPr>
          <w:rFonts w:ascii="Arial" w:hAnsi="Arial" w:cs="Arial"/>
        </w:rPr>
      </w:pPr>
      <w:r w:rsidRPr="00B61EBF">
        <w:rPr>
          <w:rFonts w:ascii="Arial" w:hAnsi="Arial" w:cs="Arial"/>
        </w:rPr>
        <w:t>Financial Returns: Target 10% post-tax profit margin by Year 3 of expansion.</w:t>
      </w:r>
    </w:p>
    <w:p w:rsidR="000B2C93" w:rsidRPr="00B61EBF" w:rsidRDefault="000B2C93" w:rsidP="00A33775">
      <w:pPr>
        <w:pStyle w:val="ListParagraph"/>
        <w:numPr>
          <w:ilvl w:val="0"/>
          <w:numId w:val="10"/>
        </w:numPr>
        <w:spacing w:line="360" w:lineRule="auto"/>
        <w:jc w:val="both"/>
        <w:rPr>
          <w:rFonts w:ascii="Arial" w:hAnsi="Arial" w:cs="Arial"/>
        </w:rPr>
      </w:pPr>
      <w:r w:rsidRPr="00B61EBF">
        <w:rPr>
          <w:rFonts w:ascii="Arial" w:hAnsi="Arial" w:cs="Arial"/>
        </w:rPr>
        <w:t>Innovation Driver: Contribute to edtech sector growth, positioning Malaysian tech globally.</w:t>
      </w:r>
    </w:p>
    <w:p w:rsidR="00597ECF" w:rsidRPr="00A33775" w:rsidRDefault="00597ECF" w:rsidP="00A33775">
      <w:pPr>
        <w:pStyle w:val="ListParagraph"/>
        <w:spacing w:line="360" w:lineRule="auto"/>
        <w:jc w:val="both"/>
        <w:rPr>
          <w:rFonts w:ascii="Arial" w:hAnsi="Arial" w:cs="Arial"/>
          <w:color w:val="0070C0"/>
        </w:rPr>
      </w:pPr>
    </w:p>
    <w:p w:rsidR="00597ECF" w:rsidRPr="00A33775" w:rsidRDefault="00B27AF2" w:rsidP="00597ECF">
      <w:pPr>
        <w:pStyle w:val="Heading1"/>
        <w:jc w:val="both"/>
        <w:rPr>
          <w:color w:val="0070C0"/>
        </w:rPr>
      </w:pPr>
      <w:r w:rsidRPr="00A33775">
        <w:rPr>
          <w:color w:val="0070C0"/>
        </w:rPr>
        <w:t>8</w:t>
      </w:r>
      <w:r w:rsidR="00597ECF" w:rsidRPr="00A33775">
        <w:rPr>
          <w:color w:val="0070C0"/>
        </w:rPr>
        <w:t xml:space="preserve">. </w:t>
      </w:r>
      <w:r w:rsidR="00A33775" w:rsidRPr="00A33775">
        <w:rPr>
          <w:color w:val="0070C0"/>
        </w:rPr>
        <w:t xml:space="preserve">KEY BENEFITS TO </w:t>
      </w:r>
      <w:r w:rsidR="00A33775">
        <w:rPr>
          <w:color w:val="0070C0"/>
        </w:rPr>
        <w:t>THE COMMUNITY</w:t>
      </w:r>
    </w:p>
    <w:p w:rsidR="00597ECF" w:rsidRPr="00B27AF2" w:rsidRDefault="00597ECF" w:rsidP="00A33775">
      <w:pPr>
        <w:spacing w:line="360" w:lineRule="auto"/>
      </w:pPr>
    </w:p>
    <w:p w:rsidR="00597ECF" w:rsidRPr="00B27AF2" w:rsidRDefault="00597ECF" w:rsidP="00A33775">
      <w:pPr>
        <w:pStyle w:val="ListParagraph"/>
        <w:numPr>
          <w:ilvl w:val="0"/>
          <w:numId w:val="9"/>
        </w:numPr>
        <w:spacing w:line="360" w:lineRule="auto"/>
        <w:rPr>
          <w:rFonts w:ascii="Arial" w:hAnsi="Arial" w:cs="Arial"/>
        </w:rPr>
      </w:pPr>
      <w:r w:rsidRPr="00B27AF2">
        <w:rPr>
          <w:rFonts w:ascii="Arial" w:hAnsi="Arial" w:cs="Arial"/>
        </w:rPr>
        <w:t xml:space="preserve">Providing </w:t>
      </w:r>
      <w:r w:rsidR="00B27AF2" w:rsidRPr="00B27AF2">
        <w:rPr>
          <w:rFonts w:ascii="Arial" w:hAnsi="Arial" w:cs="Arial"/>
        </w:rPr>
        <w:t xml:space="preserve">and creating about </w:t>
      </w:r>
      <w:r w:rsidRPr="00B27AF2">
        <w:rPr>
          <w:rFonts w:ascii="Arial" w:hAnsi="Arial" w:cs="Arial"/>
        </w:rPr>
        <w:t xml:space="preserve">100++ </w:t>
      </w:r>
      <w:r w:rsidR="00B27AF2" w:rsidRPr="00B27AF2">
        <w:rPr>
          <w:rFonts w:ascii="Arial" w:hAnsi="Arial" w:cs="Arial"/>
        </w:rPr>
        <w:t>employment</w:t>
      </w:r>
      <w:r w:rsidR="00A33775">
        <w:rPr>
          <w:rFonts w:ascii="Arial" w:hAnsi="Arial" w:cs="Arial"/>
        </w:rPr>
        <w:t xml:space="preserve"> within the system.</w:t>
      </w:r>
    </w:p>
    <w:p w:rsidR="00597ECF" w:rsidRPr="00B27AF2" w:rsidRDefault="00A33775" w:rsidP="00A33775">
      <w:pPr>
        <w:pStyle w:val="ListParagraph"/>
        <w:numPr>
          <w:ilvl w:val="0"/>
          <w:numId w:val="9"/>
        </w:numPr>
        <w:spacing w:line="360" w:lineRule="auto"/>
        <w:rPr>
          <w:rFonts w:ascii="Arial" w:hAnsi="Arial" w:cs="Arial"/>
        </w:rPr>
      </w:pPr>
      <w:r>
        <w:rPr>
          <w:rFonts w:ascii="Arial" w:hAnsi="Arial" w:cs="Arial"/>
        </w:rPr>
        <w:t>Creating 12,000++ opportunity to the Tutors.</w:t>
      </w:r>
    </w:p>
    <w:p w:rsidR="00597ECF" w:rsidRPr="00B27AF2" w:rsidRDefault="00597ECF" w:rsidP="00A33775">
      <w:pPr>
        <w:pStyle w:val="ListParagraph"/>
        <w:spacing w:line="360" w:lineRule="auto"/>
        <w:jc w:val="both"/>
        <w:rPr>
          <w:rFonts w:ascii="Arial" w:hAnsi="Arial" w:cs="Arial"/>
        </w:rPr>
      </w:pPr>
    </w:p>
    <w:p w:rsidR="00597ECF" w:rsidRPr="00B27AF2" w:rsidRDefault="00597ECF" w:rsidP="000B2C93">
      <w:pPr>
        <w:pStyle w:val="ListParagraph"/>
        <w:jc w:val="both"/>
        <w:rPr>
          <w:rFonts w:ascii="Arial" w:hAnsi="Arial" w:cs="Arial"/>
        </w:rPr>
      </w:pPr>
    </w:p>
    <w:p w:rsidR="000B2C93" w:rsidRPr="00A33775" w:rsidRDefault="00597ECF" w:rsidP="000B2C93">
      <w:pPr>
        <w:pStyle w:val="Heading1"/>
        <w:jc w:val="both"/>
        <w:rPr>
          <w:color w:val="0070C0"/>
        </w:rPr>
      </w:pPr>
      <w:r w:rsidRPr="00A33775">
        <w:rPr>
          <w:color w:val="0070C0"/>
        </w:rPr>
        <w:lastRenderedPageBreak/>
        <w:t>9</w:t>
      </w:r>
      <w:r w:rsidR="000B2C93" w:rsidRPr="00A33775">
        <w:rPr>
          <w:color w:val="0070C0"/>
        </w:rPr>
        <w:t xml:space="preserve">. </w:t>
      </w:r>
      <w:r w:rsidR="00A33775" w:rsidRPr="00A33775">
        <w:rPr>
          <w:color w:val="0070C0"/>
        </w:rPr>
        <w:t xml:space="preserve">EXIT STRATEGY </w:t>
      </w:r>
    </w:p>
    <w:p w:rsidR="000B2C93" w:rsidRPr="00B27AF2" w:rsidRDefault="000B2C93" w:rsidP="00A33775">
      <w:pPr>
        <w:spacing w:line="360" w:lineRule="auto"/>
      </w:pPr>
    </w:p>
    <w:p w:rsidR="000B2C93" w:rsidRPr="00B27AF2" w:rsidRDefault="000B2C93" w:rsidP="00A33775">
      <w:pPr>
        <w:pStyle w:val="ListParagraph"/>
        <w:numPr>
          <w:ilvl w:val="0"/>
          <w:numId w:val="11"/>
        </w:numPr>
        <w:spacing w:line="360" w:lineRule="auto"/>
        <w:jc w:val="both"/>
        <w:rPr>
          <w:rFonts w:ascii="Arial" w:hAnsi="Arial" w:cs="Arial"/>
        </w:rPr>
      </w:pPr>
      <w:r w:rsidRPr="00B27AF2">
        <w:rPr>
          <w:rFonts w:ascii="Arial" w:hAnsi="Arial" w:cs="Arial"/>
        </w:rPr>
        <w:t>IPO Preparation: Aim for potential IPO within 5 years, subject to market conditions and growth targets.</w:t>
      </w:r>
    </w:p>
    <w:p w:rsidR="000B2C93" w:rsidRPr="00B27AF2" w:rsidRDefault="000B2C93" w:rsidP="00A33775">
      <w:pPr>
        <w:pStyle w:val="ListParagraph"/>
        <w:numPr>
          <w:ilvl w:val="0"/>
          <w:numId w:val="11"/>
        </w:numPr>
        <w:spacing w:line="360" w:lineRule="auto"/>
        <w:jc w:val="both"/>
        <w:rPr>
          <w:rFonts w:ascii="Arial" w:hAnsi="Arial" w:cs="Arial"/>
        </w:rPr>
      </w:pPr>
      <w:r w:rsidRPr="00B27AF2">
        <w:rPr>
          <w:rFonts w:ascii="Arial" w:hAnsi="Arial" w:cs="Arial"/>
        </w:rPr>
        <w:t>Strategic Partnerships: Explore partnerships or acquisitions to accelerate growth and provide additional exit opportunities.</w:t>
      </w:r>
    </w:p>
    <w:p w:rsidR="000B2C93" w:rsidRPr="00B27AF2" w:rsidRDefault="000B2C93" w:rsidP="00A33775">
      <w:pPr>
        <w:pStyle w:val="ListParagraph"/>
        <w:numPr>
          <w:ilvl w:val="0"/>
          <w:numId w:val="11"/>
        </w:numPr>
        <w:spacing w:line="360" w:lineRule="auto"/>
        <w:jc w:val="both"/>
        <w:rPr>
          <w:rFonts w:ascii="Arial" w:hAnsi="Arial" w:cs="Arial"/>
        </w:rPr>
      </w:pPr>
      <w:r w:rsidRPr="00B27AF2">
        <w:rPr>
          <w:rFonts w:ascii="Arial" w:hAnsi="Arial" w:cs="Arial"/>
        </w:rPr>
        <w:t>Secondary Sale: Consider facilitating secondary sales to larger institutional investors as valuation grows.</w:t>
      </w:r>
    </w:p>
    <w:p w:rsidR="000B2C93" w:rsidRPr="00B27AF2" w:rsidRDefault="000B2C93" w:rsidP="00A33775">
      <w:pPr>
        <w:pStyle w:val="ListParagraph"/>
        <w:numPr>
          <w:ilvl w:val="0"/>
          <w:numId w:val="11"/>
        </w:numPr>
        <w:spacing w:line="360" w:lineRule="auto"/>
        <w:jc w:val="both"/>
        <w:rPr>
          <w:rFonts w:ascii="Arial" w:hAnsi="Arial" w:cs="Arial"/>
        </w:rPr>
      </w:pPr>
      <w:r w:rsidRPr="00B27AF2">
        <w:rPr>
          <w:rFonts w:ascii="Arial" w:hAnsi="Arial" w:cs="Arial"/>
        </w:rPr>
        <w:t>Continued Growth: Focus on sustainable growth and profitability to build long-term shareholder value.</w:t>
      </w:r>
    </w:p>
    <w:p w:rsidR="009B11BB" w:rsidRPr="00B27AF2" w:rsidRDefault="009B11BB"/>
    <w:p w:rsidR="009B11BB" w:rsidRPr="00A33775" w:rsidRDefault="009B11BB">
      <w:pPr>
        <w:jc w:val="both"/>
        <w:rPr>
          <w:color w:val="0070C0"/>
        </w:rPr>
      </w:pPr>
    </w:p>
    <w:p w:rsidR="009B11BB" w:rsidRPr="00A33775" w:rsidRDefault="00B27AF2">
      <w:pPr>
        <w:pStyle w:val="Heading1"/>
        <w:rPr>
          <w:color w:val="0070C0"/>
        </w:rPr>
      </w:pPr>
      <w:bookmarkStart w:id="7" w:name="_x2ctbbxdv102" w:colFirst="0" w:colLast="0"/>
      <w:bookmarkEnd w:id="7"/>
      <w:r w:rsidRPr="00A33775">
        <w:rPr>
          <w:color w:val="0070C0"/>
        </w:rPr>
        <w:t>10. INVESTMENT HIGHLIGHTS</w:t>
      </w:r>
    </w:p>
    <w:p w:rsidR="009B11BB" w:rsidRDefault="009B11BB">
      <w:pPr>
        <w:jc w:val="both"/>
      </w:pPr>
    </w:p>
    <w:p w:rsidR="009B11BB" w:rsidRDefault="00000000" w:rsidP="00A33775">
      <w:pPr>
        <w:spacing w:line="360" w:lineRule="auto"/>
        <w:jc w:val="both"/>
      </w:pPr>
      <w:r>
        <w:t>As the investment is unique and one of its kind, the following are the key factors toward the feasible and viable investment by the Investors.</w:t>
      </w:r>
    </w:p>
    <w:p w:rsidR="009B11BB" w:rsidRDefault="009B11BB" w:rsidP="00A33775">
      <w:pPr>
        <w:spacing w:line="360" w:lineRule="auto"/>
        <w:jc w:val="both"/>
      </w:pPr>
    </w:p>
    <w:p w:rsidR="009B11BB" w:rsidRDefault="00B27AF2" w:rsidP="00A33775">
      <w:pPr>
        <w:pStyle w:val="Heading2"/>
        <w:spacing w:line="360" w:lineRule="auto"/>
        <w:jc w:val="both"/>
        <w:rPr>
          <w:i/>
        </w:rPr>
      </w:pPr>
      <w:bookmarkStart w:id="8" w:name="_ygvpmhkkv5dn" w:colFirst="0" w:colLast="0"/>
      <w:bookmarkEnd w:id="8"/>
      <w:r>
        <w:rPr>
          <w:i/>
        </w:rPr>
        <w:t>10.1 Proven Business Model</w:t>
      </w:r>
    </w:p>
    <w:p w:rsidR="009B11BB" w:rsidRDefault="009B11BB" w:rsidP="00A33775">
      <w:pPr>
        <w:spacing w:line="360" w:lineRule="auto"/>
        <w:jc w:val="both"/>
        <w:rPr>
          <w:i/>
        </w:rPr>
      </w:pPr>
    </w:p>
    <w:p w:rsidR="009B11BB" w:rsidRDefault="00000000" w:rsidP="00A33775">
      <w:pPr>
        <w:spacing w:line="360" w:lineRule="auto"/>
        <w:jc w:val="both"/>
      </w:pPr>
      <w:r>
        <w:t xml:space="preserve">Our one-on-one tutoring approach ensures personalized attention and significant academic improvement for students. This model has been successfully implemented and refined through our platforms, SifuTutor and NakNgaji. </w:t>
      </w:r>
    </w:p>
    <w:p w:rsidR="009B11BB" w:rsidRDefault="009B11BB" w:rsidP="00A33775">
      <w:pPr>
        <w:spacing w:line="360" w:lineRule="auto"/>
        <w:jc w:val="both"/>
      </w:pPr>
    </w:p>
    <w:p w:rsidR="009B11BB" w:rsidRDefault="00B27AF2" w:rsidP="00A33775">
      <w:pPr>
        <w:pStyle w:val="Heading2"/>
        <w:spacing w:line="360" w:lineRule="auto"/>
        <w:jc w:val="both"/>
        <w:rPr>
          <w:i/>
        </w:rPr>
      </w:pPr>
      <w:bookmarkStart w:id="9" w:name="_tj3gyqricfak" w:colFirst="0" w:colLast="0"/>
      <w:bookmarkEnd w:id="9"/>
      <w:r>
        <w:rPr>
          <w:i/>
        </w:rPr>
        <w:t>10.2 High Growth Potential</w:t>
      </w:r>
    </w:p>
    <w:p w:rsidR="009B11BB" w:rsidRDefault="009B11BB" w:rsidP="00A33775">
      <w:pPr>
        <w:spacing w:line="360" w:lineRule="auto"/>
        <w:jc w:val="both"/>
        <w:rPr>
          <w:i/>
        </w:rPr>
      </w:pPr>
    </w:p>
    <w:p w:rsidR="009B11BB" w:rsidRDefault="00000000" w:rsidP="00A33775">
      <w:pPr>
        <w:spacing w:line="360" w:lineRule="auto"/>
        <w:jc w:val="both"/>
      </w:pPr>
      <w:r>
        <w:t>The demand for personalized education is on the rise. Our platform is positioned to capture a significant share of this growing market, driven by increasing adoption of online learning and the need for flexible educational solutions. We plan to expand our offerings by introducing additional services such as language lessons, music instruction, and sports coaching.</w:t>
      </w:r>
    </w:p>
    <w:p w:rsidR="009B11BB" w:rsidRDefault="009B11BB" w:rsidP="00A33775">
      <w:pPr>
        <w:spacing w:line="360" w:lineRule="auto"/>
        <w:jc w:val="both"/>
      </w:pPr>
    </w:p>
    <w:p w:rsidR="00A33775" w:rsidRDefault="00A33775" w:rsidP="00A33775">
      <w:pPr>
        <w:spacing w:line="360" w:lineRule="auto"/>
        <w:jc w:val="both"/>
      </w:pPr>
    </w:p>
    <w:p w:rsidR="009B11BB" w:rsidRDefault="00B27AF2" w:rsidP="00A33775">
      <w:pPr>
        <w:pStyle w:val="Heading2"/>
        <w:spacing w:line="360" w:lineRule="auto"/>
        <w:jc w:val="both"/>
        <w:rPr>
          <w:i/>
        </w:rPr>
      </w:pPr>
      <w:bookmarkStart w:id="10" w:name="_ykatv5nkmzmh" w:colFirst="0" w:colLast="0"/>
      <w:bookmarkEnd w:id="10"/>
      <w:r>
        <w:rPr>
          <w:i/>
        </w:rPr>
        <w:t>10.3 Scalable Technology</w:t>
      </w:r>
    </w:p>
    <w:p w:rsidR="009B11BB" w:rsidRDefault="009B11BB" w:rsidP="00A33775">
      <w:pPr>
        <w:spacing w:line="360" w:lineRule="auto"/>
        <w:jc w:val="both"/>
        <w:rPr>
          <w:i/>
        </w:rPr>
      </w:pPr>
    </w:p>
    <w:p w:rsidR="009B11BB" w:rsidRDefault="00000000" w:rsidP="00A33775">
      <w:pPr>
        <w:spacing w:line="360" w:lineRule="auto"/>
        <w:jc w:val="both"/>
      </w:pPr>
      <w:r>
        <w:lastRenderedPageBreak/>
        <w:t xml:space="preserve">Our advanced technological infrastructure allows for seamless expansion and scalability. We are equipped to handle a growing user base while maintaining the quality of our services. </w:t>
      </w:r>
    </w:p>
    <w:p w:rsidR="009B11BB" w:rsidRDefault="009B11BB" w:rsidP="00A33775">
      <w:pPr>
        <w:spacing w:line="360" w:lineRule="auto"/>
        <w:jc w:val="both"/>
      </w:pPr>
    </w:p>
    <w:p w:rsidR="009B11BB" w:rsidRDefault="00B27AF2" w:rsidP="00A33775">
      <w:pPr>
        <w:pStyle w:val="Heading2"/>
        <w:spacing w:line="360" w:lineRule="auto"/>
        <w:jc w:val="both"/>
        <w:rPr>
          <w:i/>
        </w:rPr>
      </w:pPr>
      <w:bookmarkStart w:id="11" w:name="_v4gouspf7m8" w:colFirst="0" w:colLast="0"/>
      <w:bookmarkEnd w:id="11"/>
      <w:r>
        <w:rPr>
          <w:i/>
        </w:rPr>
        <w:t>10.4 Experienced Management Team</w:t>
      </w:r>
    </w:p>
    <w:p w:rsidR="009B11BB" w:rsidRDefault="009B11BB" w:rsidP="00A33775">
      <w:pPr>
        <w:spacing w:line="360" w:lineRule="auto"/>
        <w:jc w:val="both"/>
        <w:rPr>
          <w:i/>
        </w:rPr>
      </w:pPr>
    </w:p>
    <w:p w:rsidR="009B11BB" w:rsidRDefault="00000000" w:rsidP="00A33775">
      <w:pPr>
        <w:spacing w:line="360" w:lineRule="auto"/>
        <w:jc w:val="both"/>
      </w:pPr>
      <w:r>
        <w:t xml:space="preserve">Our leadership team brings together a wealth of experience in education, technology, and business development. Their combined expertise ensures strategic growth and operational excellence. </w:t>
      </w:r>
    </w:p>
    <w:p w:rsidR="009B11BB" w:rsidRDefault="009B11BB" w:rsidP="00A33775">
      <w:pPr>
        <w:spacing w:line="360" w:lineRule="auto"/>
        <w:jc w:val="both"/>
      </w:pPr>
    </w:p>
    <w:p w:rsidR="009B11BB" w:rsidRDefault="00B27AF2" w:rsidP="00A33775">
      <w:pPr>
        <w:pStyle w:val="Heading2"/>
        <w:spacing w:line="360" w:lineRule="auto"/>
        <w:jc w:val="both"/>
        <w:rPr>
          <w:i/>
        </w:rPr>
      </w:pPr>
      <w:bookmarkStart w:id="12" w:name="_wvop04vr78po" w:colFirst="0" w:colLast="0"/>
      <w:bookmarkEnd w:id="12"/>
      <w:r>
        <w:rPr>
          <w:i/>
        </w:rPr>
        <w:t>10.5 Market Opportunity</w:t>
      </w:r>
    </w:p>
    <w:p w:rsidR="009B11BB" w:rsidRDefault="009B11BB" w:rsidP="00A33775">
      <w:pPr>
        <w:spacing w:line="360" w:lineRule="auto"/>
        <w:jc w:val="both"/>
        <w:rPr>
          <w:i/>
        </w:rPr>
      </w:pPr>
    </w:p>
    <w:p w:rsidR="009B11BB" w:rsidRDefault="00000000" w:rsidP="00A33775">
      <w:pPr>
        <w:spacing w:line="360" w:lineRule="auto"/>
        <w:jc w:val="both"/>
      </w:pPr>
      <w:r>
        <w:t>The global education market is undergoing a transformative shift towards personalized and online learning. Our platform addresses key pain points in traditional education by providing a flexible, student-centric approach. With a growing base of satisfied students and tutors, we are well-positioned to capitalize on this trend. With over 2,000 Google reviews averaging 4.8 stars, we are recognized as the most reliable and trusted tutoring platform—eight times more than our closest competitor.</w:t>
      </w:r>
    </w:p>
    <w:p w:rsidR="009B11BB" w:rsidRDefault="009B11BB">
      <w:bookmarkStart w:id="13" w:name="_5qjtg4wzvn4d" w:colFirst="0" w:colLast="0"/>
      <w:bookmarkEnd w:id="13"/>
    </w:p>
    <w:p w:rsidR="009B11BB" w:rsidRDefault="009B11BB"/>
    <w:p w:rsidR="009B11BB" w:rsidRPr="00A33775" w:rsidRDefault="00B27AF2">
      <w:pPr>
        <w:pStyle w:val="Heading1"/>
        <w:rPr>
          <w:color w:val="0070C0"/>
        </w:rPr>
      </w:pPr>
      <w:bookmarkStart w:id="14" w:name="_z7jwowhq6575" w:colFirst="0" w:colLast="0"/>
      <w:bookmarkEnd w:id="14"/>
      <w:r w:rsidRPr="00A33775">
        <w:rPr>
          <w:color w:val="0070C0"/>
        </w:rPr>
        <w:t>11. CONCLUSION</w:t>
      </w:r>
    </w:p>
    <w:p w:rsidR="00B27AF2" w:rsidRDefault="00B27AF2" w:rsidP="00B27AF2">
      <w:pPr>
        <w:jc w:val="both"/>
      </w:pPr>
    </w:p>
    <w:p w:rsidR="00B27AF2" w:rsidRDefault="00B27AF2" w:rsidP="00A33775">
      <w:pPr>
        <w:spacing w:line="360" w:lineRule="auto"/>
        <w:jc w:val="both"/>
      </w:pPr>
      <w:r w:rsidRPr="00B27AF2">
        <w:t>SifuTutor and NakNgaji offer a unique investment opportunity in the rapidly growing global edtech market:</w:t>
      </w:r>
    </w:p>
    <w:p w:rsidR="00B27AF2" w:rsidRPr="00B27AF2" w:rsidRDefault="00B27AF2" w:rsidP="00A33775">
      <w:pPr>
        <w:spacing w:line="360" w:lineRule="auto"/>
        <w:jc w:val="both"/>
      </w:pPr>
    </w:p>
    <w:p w:rsidR="00B27AF2" w:rsidRPr="00B27AF2" w:rsidRDefault="00B27AF2" w:rsidP="00A33775">
      <w:pPr>
        <w:pStyle w:val="ListParagraph"/>
        <w:numPr>
          <w:ilvl w:val="0"/>
          <w:numId w:val="12"/>
        </w:numPr>
        <w:spacing w:line="360" w:lineRule="auto"/>
        <w:jc w:val="both"/>
        <w:rPr>
          <w:rFonts w:ascii="Arial" w:hAnsi="Arial" w:cs="Arial"/>
        </w:rPr>
      </w:pPr>
      <w:r w:rsidRPr="00B27AF2">
        <w:rPr>
          <w:rFonts w:ascii="Arial" w:hAnsi="Arial" w:cs="Arial"/>
        </w:rPr>
        <w:t>Proven Success: Consistent growth trajectory in Southeast Asia.</w:t>
      </w:r>
    </w:p>
    <w:p w:rsidR="00B27AF2" w:rsidRPr="00B27AF2" w:rsidRDefault="00B27AF2" w:rsidP="00A33775">
      <w:pPr>
        <w:pStyle w:val="ListParagraph"/>
        <w:numPr>
          <w:ilvl w:val="0"/>
          <w:numId w:val="12"/>
        </w:numPr>
        <w:spacing w:line="360" w:lineRule="auto"/>
        <w:jc w:val="both"/>
        <w:rPr>
          <w:rFonts w:ascii="Arial" w:hAnsi="Arial" w:cs="Arial"/>
        </w:rPr>
      </w:pPr>
      <w:r w:rsidRPr="00B27AF2">
        <w:rPr>
          <w:rFonts w:ascii="Arial" w:hAnsi="Arial" w:cs="Arial"/>
        </w:rPr>
        <w:t>Massive Market Potential: Global online education market projected to reach $319 billion by 2025.</w:t>
      </w:r>
    </w:p>
    <w:p w:rsidR="00B27AF2" w:rsidRPr="00B27AF2" w:rsidRDefault="00B27AF2" w:rsidP="00A33775">
      <w:pPr>
        <w:pStyle w:val="ListParagraph"/>
        <w:numPr>
          <w:ilvl w:val="0"/>
          <w:numId w:val="12"/>
        </w:numPr>
        <w:spacing w:line="360" w:lineRule="auto"/>
        <w:jc w:val="both"/>
        <w:rPr>
          <w:rFonts w:ascii="Arial" w:hAnsi="Arial" w:cs="Arial"/>
        </w:rPr>
      </w:pPr>
      <w:r w:rsidRPr="00B27AF2">
        <w:rPr>
          <w:rFonts w:ascii="Arial" w:hAnsi="Arial" w:cs="Arial"/>
        </w:rPr>
        <w:t>Dual Market Strategy: Diversified opportunities through secular and Islamic education platforms.</w:t>
      </w:r>
    </w:p>
    <w:p w:rsidR="00B27AF2" w:rsidRPr="00B27AF2" w:rsidRDefault="00B27AF2" w:rsidP="00A33775">
      <w:pPr>
        <w:pStyle w:val="ListParagraph"/>
        <w:numPr>
          <w:ilvl w:val="0"/>
          <w:numId w:val="12"/>
        </w:numPr>
        <w:spacing w:line="360" w:lineRule="auto"/>
        <w:jc w:val="both"/>
        <w:rPr>
          <w:rFonts w:ascii="Arial" w:hAnsi="Arial" w:cs="Arial"/>
        </w:rPr>
      </w:pPr>
      <w:r w:rsidRPr="00B27AF2">
        <w:rPr>
          <w:rFonts w:ascii="Arial" w:hAnsi="Arial" w:cs="Arial"/>
        </w:rPr>
        <w:t>Technology-Driven Scalability: Robust infrastructure for efficient global scaling.</w:t>
      </w:r>
    </w:p>
    <w:p w:rsidR="00B27AF2" w:rsidRPr="00B27AF2" w:rsidRDefault="00B27AF2" w:rsidP="00A33775">
      <w:pPr>
        <w:pStyle w:val="ListParagraph"/>
        <w:numPr>
          <w:ilvl w:val="0"/>
          <w:numId w:val="12"/>
        </w:numPr>
        <w:spacing w:line="360" w:lineRule="auto"/>
        <w:jc w:val="both"/>
        <w:rPr>
          <w:rFonts w:ascii="Arial" w:hAnsi="Arial" w:cs="Arial"/>
        </w:rPr>
      </w:pPr>
      <w:r w:rsidRPr="00B27AF2">
        <w:rPr>
          <w:rFonts w:ascii="Arial" w:hAnsi="Arial" w:cs="Arial"/>
        </w:rPr>
        <w:t>Social Impact: Improving educational access and promoting cultural understanding globally.</w:t>
      </w:r>
    </w:p>
    <w:p w:rsidR="00A33775" w:rsidRDefault="00A33775" w:rsidP="00A33775">
      <w:pPr>
        <w:spacing w:line="360" w:lineRule="auto"/>
        <w:jc w:val="both"/>
      </w:pPr>
    </w:p>
    <w:p w:rsidR="00B27AF2" w:rsidRPr="00B27AF2" w:rsidRDefault="00B27AF2" w:rsidP="00A33775">
      <w:pPr>
        <w:spacing w:line="360" w:lineRule="auto"/>
        <w:jc w:val="both"/>
        <w:rPr>
          <w:b/>
          <w:bCs/>
        </w:rPr>
      </w:pPr>
      <w:r w:rsidRPr="00B27AF2">
        <w:lastRenderedPageBreak/>
        <w:t xml:space="preserve">With a </w:t>
      </w:r>
      <w:r w:rsidRPr="00A33775">
        <w:rPr>
          <w:b/>
          <w:bCs/>
          <w:u w:val="single"/>
        </w:rPr>
        <w:t>RM10 million</w:t>
      </w:r>
      <w:r w:rsidRPr="00B27AF2">
        <w:t xml:space="preserve"> investment, we project to more than triple our revenue over five years, reaching RM140 million by 2028. This growth, combined with our target 10% profit margin, presents an attractive return potential for investors.</w:t>
      </w:r>
      <w:r w:rsidRPr="00B27AF2">
        <w:br/>
      </w:r>
      <w:r w:rsidRPr="00B27AF2">
        <w:br/>
      </w:r>
      <w:r w:rsidRPr="00B27AF2">
        <w:rPr>
          <w:b/>
          <w:bCs/>
        </w:rPr>
        <w:t>We invite you to join us in revolutionizing online education and Islamic learning on a global scale, contributing to a more educated, connected, and culturally aware world.</w:t>
      </w:r>
    </w:p>
    <w:p w:rsidR="009B11BB" w:rsidRDefault="009B11BB" w:rsidP="00A33775">
      <w:pPr>
        <w:spacing w:before="240" w:after="240" w:line="360" w:lineRule="auto"/>
        <w:jc w:val="both"/>
      </w:pPr>
    </w:p>
    <w:sectPr w:rsidR="009B11BB">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84108" w:rsidRDefault="00684108">
      <w:pPr>
        <w:spacing w:line="240" w:lineRule="auto"/>
      </w:pPr>
      <w:r>
        <w:separator/>
      </w:r>
    </w:p>
  </w:endnote>
  <w:endnote w:type="continuationSeparator" w:id="0">
    <w:p w:rsidR="00684108" w:rsidRDefault="00684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11BB" w:rsidRDefault="00000000">
    <w:pPr>
      <w:jc w:val="right"/>
    </w:pPr>
    <w:r>
      <w:fldChar w:fldCharType="begin"/>
    </w:r>
    <w:r>
      <w:instrText>PAGE</w:instrText>
    </w:r>
    <w:r>
      <w:fldChar w:fldCharType="separate"/>
    </w:r>
    <w:r w:rsidR="00E5416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11BB" w:rsidRDefault="009B11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84108" w:rsidRDefault="00684108">
      <w:pPr>
        <w:spacing w:line="240" w:lineRule="auto"/>
      </w:pPr>
      <w:r>
        <w:separator/>
      </w:r>
    </w:p>
  </w:footnote>
  <w:footnote w:type="continuationSeparator" w:id="0">
    <w:p w:rsidR="00684108" w:rsidRDefault="006841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B11BB" w:rsidRDefault="009B11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384B"/>
    <w:multiLevelType w:val="multilevel"/>
    <w:tmpl w:val="94C4A2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A37084C"/>
    <w:multiLevelType w:val="hybridMultilevel"/>
    <w:tmpl w:val="FD2AC4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7775C0C"/>
    <w:multiLevelType w:val="hybridMultilevel"/>
    <w:tmpl w:val="0DFCCB3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C6221C7"/>
    <w:multiLevelType w:val="hybridMultilevel"/>
    <w:tmpl w:val="1FCC3F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ABA569B"/>
    <w:multiLevelType w:val="hybridMultilevel"/>
    <w:tmpl w:val="6A72120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D1367CA"/>
    <w:multiLevelType w:val="hybridMultilevel"/>
    <w:tmpl w:val="119E4B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EC613FD"/>
    <w:multiLevelType w:val="hybridMultilevel"/>
    <w:tmpl w:val="99385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FE52042"/>
    <w:multiLevelType w:val="hybridMultilevel"/>
    <w:tmpl w:val="8D825A9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17A3FF3"/>
    <w:multiLevelType w:val="hybridMultilevel"/>
    <w:tmpl w:val="19B6E3B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8F13D07"/>
    <w:multiLevelType w:val="hybridMultilevel"/>
    <w:tmpl w:val="CFB29F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1052778"/>
    <w:multiLevelType w:val="hybridMultilevel"/>
    <w:tmpl w:val="E1C609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F450418"/>
    <w:multiLevelType w:val="hybridMultilevel"/>
    <w:tmpl w:val="8700709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19306093">
    <w:abstractNumId w:val="0"/>
  </w:num>
  <w:num w:numId="2" w16cid:durableId="770856219">
    <w:abstractNumId w:val="10"/>
  </w:num>
  <w:num w:numId="3" w16cid:durableId="1301228257">
    <w:abstractNumId w:val="8"/>
  </w:num>
  <w:num w:numId="4" w16cid:durableId="1366783944">
    <w:abstractNumId w:val="2"/>
  </w:num>
  <w:num w:numId="5" w16cid:durableId="1321425077">
    <w:abstractNumId w:val="11"/>
  </w:num>
  <w:num w:numId="6" w16cid:durableId="976960089">
    <w:abstractNumId w:val="7"/>
  </w:num>
  <w:num w:numId="7" w16cid:durableId="634872221">
    <w:abstractNumId w:val="3"/>
  </w:num>
  <w:num w:numId="8" w16cid:durableId="1907764137">
    <w:abstractNumId w:val="4"/>
  </w:num>
  <w:num w:numId="9" w16cid:durableId="1491216861">
    <w:abstractNumId w:val="5"/>
  </w:num>
  <w:num w:numId="10" w16cid:durableId="606691091">
    <w:abstractNumId w:val="9"/>
  </w:num>
  <w:num w:numId="11" w16cid:durableId="1890873138">
    <w:abstractNumId w:val="6"/>
  </w:num>
  <w:num w:numId="12" w16cid:durableId="1982270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BB"/>
    <w:rsid w:val="000B2C93"/>
    <w:rsid w:val="000B59B4"/>
    <w:rsid w:val="00115C82"/>
    <w:rsid w:val="001D59D2"/>
    <w:rsid w:val="0028753C"/>
    <w:rsid w:val="002926CF"/>
    <w:rsid w:val="0057201A"/>
    <w:rsid w:val="00597ECF"/>
    <w:rsid w:val="00684108"/>
    <w:rsid w:val="00727AE7"/>
    <w:rsid w:val="00807529"/>
    <w:rsid w:val="008B2D71"/>
    <w:rsid w:val="009B11BB"/>
    <w:rsid w:val="00A04927"/>
    <w:rsid w:val="00A33775"/>
    <w:rsid w:val="00B27AF2"/>
    <w:rsid w:val="00B61EBF"/>
    <w:rsid w:val="00C62094"/>
    <w:rsid w:val="00CF4C9A"/>
    <w:rsid w:val="00E5416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E5AD"/>
  <w15:docId w15:val="{5E6A663D-802B-418F-9755-A3062B66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jc w:val="both"/>
      <w:outlineLvl w:val="3"/>
    </w:pPr>
    <w:rPr>
      <w:b/>
    </w:rPr>
  </w:style>
  <w:style w:type="paragraph" w:styleId="Heading5">
    <w:name w:val="heading 5"/>
    <w:basedOn w:val="Normal"/>
    <w:next w:val="Normal"/>
    <w:uiPriority w:val="9"/>
    <w:semiHidden/>
    <w:unhideWhenUsed/>
    <w:qFormat/>
    <w:pPr>
      <w:keepNext/>
      <w:keepLines/>
      <w:outlineLvl w:val="4"/>
    </w:pPr>
    <w:rPr>
      <w:b/>
    </w:rPr>
  </w:style>
  <w:style w:type="paragraph" w:styleId="Heading6">
    <w:name w:val="heading 6"/>
    <w:basedOn w:val="Normal"/>
    <w:next w:val="Normal"/>
    <w:uiPriority w:val="9"/>
    <w:semiHidden/>
    <w:unhideWhenUsed/>
    <w:qFormat/>
    <w:pPr>
      <w:keepNext/>
      <w:keepLines/>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7201A"/>
    <w:pPr>
      <w:spacing w:after="200"/>
      <w:ind w:left="720"/>
      <w:contextualSpacing/>
    </w:pPr>
    <w:rPr>
      <w:rFonts w:asciiTheme="minorHAnsi" w:eastAsiaTheme="minorEastAsia" w:hAnsiTheme="minorHAnsi" w:cstheme="minorBidi"/>
      <w:lang w:val="en-US" w:eastAsia="en-US"/>
    </w:rPr>
  </w:style>
  <w:style w:type="table" w:styleId="TableGrid">
    <w:name w:val="Table Grid"/>
    <w:basedOn w:val="TableNormal"/>
    <w:uiPriority w:val="59"/>
    <w:rsid w:val="000B2C93"/>
    <w:pPr>
      <w:spacing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10</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Norazam Ramli</cp:lastModifiedBy>
  <cp:revision>7</cp:revision>
  <cp:lastPrinted>2024-10-22T07:46:00Z</cp:lastPrinted>
  <dcterms:created xsi:type="dcterms:W3CDTF">2024-10-22T06:51:00Z</dcterms:created>
  <dcterms:modified xsi:type="dcterms:W3CDTF">2024-10-22T08:21:00Z</dcterms:modified>
</cp:coreProperties>
</file>