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jc w:val="left"/>
      </w:pPr>
      <w:r>
        <w:drawing>
          <wp:inline xmlns:a="http://schemas.openxmlformats.org/drawingml/2006/main" xmlns:pic="http://schemas.openxmlformats.org/drawingml/2006/picture">
            <wp:extent cx="4389120" cy="719328"/>
            <wp:docPr id="1" name="Picture 1"/>
            <wp:cNvGraphicFramePr>
              <a:graphicFrameLocks noChangeAspect="1"/>
            </wp:cNvGraphicFramePr>
            <a:graphic>
              <a:graphicData uri="http://schemas.openxmlformats.org/drawingml/2006/picture">
                <pic:pic>
                  <pic:nvPicPr>
                    <pic:cNvPr id="0" name="logo-horizontal.png"/>
                    <pic:cNvPicPr/>
                  </pic:nvPicPr>
                  <pic:blipFill>
                    <a:blip r:embed="rId11"/>
                    <a:stretch>
                      <a:fillRect/>
                    </a:stretch>
                  </pic:blipFill>
                  <pic:spPr>
                    <a:xfrm>
                      <a:off x="0" y="0"/>
                      <a:ext cx="4389120" cy="719328"/>
                    </a:xfrm>
                    <a:prstGeom prst="rect"/>
                  </pic:spPr>
                </pic:pic>
              </a:graphicData>
            </a:graphic>
          </wp:inline>
        </w:drawing>
      </w:r>
    </w:p>
    <w:p>
      <w:pPr>
        <w:pStyle w:val="Title"/>
      </w:pPr>
      <w:r>
        <w:t>HearthMesh High Level Design</w:t>
      </w:r>
    </w:p>
    <w:p>
      <w:pPr>
        <w:spacing w:after="680"/>
      </w:pPr>
      <w:r>
        <w:rPr>
          <w:color w:val="65757B"/>
          <w:sz w:val="36"/>
        </w:rPr>
        <w:t>Global attributable emergency continuity mesh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92"/>
            <w:shd w:fill="111820"/>
            <w:tcMar>
              <w:top w:w="110" w:type="dxa"/>
              <w:start w:w="130" w:type="dxa"/>
              <w:bottom w:w="110" w:type="dxa"/>
              <w:end w:w="130" w:type="dxa"/>
            </w:tcMar>
            <w:vAlign w:val="center"/>
          </w:tcPr>
          <w:p>
            <w:pPr>
              <w:jc w:val="left"/>
            </w:pPr>
            <w:r>
              <w:rPr>
                <w:b/>
                <w:color w:val="FFFFFF"/>
                <w:sz w:val="19"/>
              </w:rPr>
              <w:t>Field</w:t>
            </w:r>
          </w:p>
        </w:tc>
        <w:tc>
          <w:tcPr>
            <w:tcW w:type="dxa" w:w="6624"/>
            <w:shd w:fill="111820"/>
            <w:tcMar>
              <w:top w:w="110" w:type="dxa"/>
              <w:start w:w="130" w:type="dxa"/>
              <w:bottom w:w="110" w:type="dxa"/>
              <w:end w:w="130" w:type="dxa"/>
            </w:tcMar>
            <w:vAlign w:val="center"/>
          </w:tcPr>
          <w:p>
            <w:pPr>
              <w:jc w:val="left"/>
            </w:pPr>
            <w:r>
              <w:rPr>
                <w:b/>
                <w:color w:val="FFFFFF"/>
                <w:sz w:val="19"/>
              </w:rPr>
              <w:t>Value</w:t>
            </w:r>
          </w:p>
        </w:tc>
      </w:tr>
      <w:tr>
        <w:trPr>
          <w:cantSplit/>
        </w:trPr>
        <w:tc>
          <w:tcPr>
            <w:tcW w:type="dxa" w:w="2592"/>
            <w:tcMar>
              <w:top w:w="110" w:type="dxa"/>
              <w:start w:w="130" w:type="dxa"/>
              <w:bottom w:w="110" w:type="dxa"/>
              <w:end w:w="130" w:type="dxa"/>
            </w:tcMar>
            <w:vAlign w:val="center"/>
          </w:tcPr>
          <w:p>
            <w:pPr>
              <w:spacing w:after="0"/>
            </w:pPr>
            <w:r>
              <w:rPr>
                <w:sz w:val="18"/>
              </w:rPr>
              <w:t>Document version</w:t>
            </w:r>
          </w:p>
        </w:tc>
        <w:tc>
          <w:tcPr>
            <w:tcW w:type="dxa" w:w="6624"/>
            <w:tcMar>
              <w:top w:w="110" w:type="dxa"/>
              <w:start w:w="130" w:type="dxa"/>
              <w:bottom w:w="110" w:type="dxa"/>
              <w:end w:w="130" w:type="dxa"/>
            </w:tcMar>
            <w:vAlign w:val="center"/>
          </w:tcPr>
          <w:p>
            <w:pPr>
              <w:spacing w:after="0"/>
            </w:pPr>
            <w:r>
              <w:rPr>
                <w:sz w:val="18"/>
              </w:rPr>
              <w:t>0.1</w:t>
            </w:r>
          </w:p>
        </w:tc>
      </w:tr>
      <w:tr>
        <w:trPr>
          <w:cantSplit/>
        </w:trPr>
        <w:tc>
          <w:tcPr>
            <w:tcW w:type="dxa" w:w="2592"/>
            <w:shd w:fill="F4F8F8"/>
            <w:tcMar>
              <w:top w:w="110" w:type="dxa"/>
              <w:start w:w="130" w:type="dxa"/>
              <w:bottom w:w="110" w:type="dxa"/>
              <w:end w:w="130" w:type="dxa"/>
            </w:tcMar>
            <w:vAlign w:val="center"/>
          </w:tcPr>
          <w:p>
            <w:pPr>
              <w:spacing w:after="0"/>
            </w:pPr>
            <w:r>
              <w:rPr>
                <w:sz w:val="18"/>
              </w:rPr>
              <w:t>Project status</w:t>
            </w:r>
          </w:p>
        </w:tc>
        <w:tc>
          <w:tcPr>
            <w:tcW w:type="dxa" w:w="6624"/>
            <w:shd w:fill="F4F8F8"/>
            <w:tcMar>
              <w:top w:w="110" w:type="dxa"/>
              <w:start w:w="130" w:type="dxa"/>
              <w:bottom w:w="110" w:type="dxa"/>
              <w:end w:w="130" w:type="dxa"/>
            </w:tcMar>
            <w:vAlign w:val="center"/>
          </w:tcPr>
          <w:p>
            <w:pPr>
              <w:spacing w:after="0"/>
            </w:pPr>
            <w:r>
              <w:rPr>
                <w:sz w:val="18"/>
              </w:rPr>
              <w:t>Experimental pre-alpha</w:t>
            </w:r>
          </w:p>
        </w:tc>
      </w:tr>
      <w:tr>
        <w:trPr>
          <w:cantSplit/>
        </w:trPr>
        <w:tc>
          <w:tcPr>
            <w:tcW w:type="dxa" w:w="2592"/>
            <w:tcMar>
              <w:top w:w="110" w:type="dxa"/>
              <w:start w:w="130" w:type="dxa"/>
              <w:bottom w:w="110" w:type="dxa"/>
              <w:end w:w="130" w:type="dxa"/>
            </w:tcMar>
            <w:vAlign w:val="center"/>
          </w:tcPr>
          <w:p>
            <w:pPr>
              <w:spacing w:after="0"/>
            </w:pPr>
            <w:r>
              <w:rPr>
                <w:sz w:val="18"/>
              </w:rPr>
              <w:t>Date</w:t>
            </w:r>
          </w:p>
        </w:tc>
        <w:tc>
          <w:tcPr>
            <w:tcW w:type="dxa" w:w="6624"/>
            <w:tcMar>
              <w:top w:w="110" w:type="dxa"/>
              <w:start w:w="130" w:type="dxa"/>
              <w:bottom w:w="110" w:type="dxa"/>
              <w:end w:w="130" w:type="dxa"/>
            </w:tcMar>
            <w:vAlign w:val="center"/>
          </w:tcPr>
          <w:p>
            <w:pPr>
              <w:spacing w:after="0"/>
            </w:pPr>
            <w:r>
              <w:rPr>
                <w:sz w:val="18"/>
              </w:rPr>
              <w:t>24 September 2026</w:t>
            </w:r>
          </w:p>
        </w:tc>
      </w:tr>
      <w:tr>
        <w:trPr>
          <w:cantSplit/>
        </w:trPr>
        <w:tc>
          <w:tcPr>
            <w:tcW w:type="dxa" w:w="2592"/>
            <w:shd w:fill="F4F8F8"/>
            <w:tcMar>
              <w:top w:w="110" w:type="dxa"/>
              <w:start w:w="130" w:type="dxa"/>
              <w:bottom w:w="110" w:type="dxa"/>
              <w:end w:w="130" w:type="dxa"/>
            </w:tcMar>
            <w:vAlign w:val="center"/>
          </w:tcPr>
          <w:p>
            <w:pPr>
              <w:spacing w:after="0"/>
            </w:pPr>
            <w:r>
              <w:rPr>
                <w:sz w:val="18"/>
              </w:rPr>
              <w:t>Project owner</w:t>
            </w:r>
          </w:p>
        </w:tc>
        <w:tc>
          <w:tcPr>
            <w:tcW w:type="dxa" w:w="6624"/>
            <w:shd w:fill="F4F8F8"/>
            <w:tcMar>
              <w:top w:w="110" w:type="dxa"/>
              <w:start w:w="130" w:type="dxa"/>
              <w:bottom w:w="110" w:type="dxa"/>
              <w:end w:w="130" w:type="dxa"/>
            </w:tcMar>
            <w:vAlign w:val="center"/>
          </w:tcPr>
          <w:p>
            <w:pPr>
              <w:spacing w:after="0"/>
            </w:pPr>
            <w:r>
              <w:rPr>
                <w:sz w:val="18"/>
              </w:rPr>
              <w:t>Valerio Musella</w:t>
            </w:r>
          </w:p>
        </w:tc>
      </w:tr>
    </w:tbl>
    <w:p>
      <w:pPr>
        <w:spacing w:after="0"/>
      </w:pPr>
    </w:p>
    <w:p/>
    <w:p>
      <w:pPr>
        <w:spacing w:before="840"/>
      </w:pPr>
      <w:r>
        <w:rPr>
          <w:b/>
          <w:sz w:val="24"/>
        </w:rPr>
        <w:t>Purpose</w:t>
      </w:r>
    </w:p>
    <w:p>
      <w:r>
        <w:t>Define the target architecture and the deliberately narrower three-node MVP used to validate signed publication, replication, corruption detection and peer-assisted recovery.</w:t>
      </w:r>
    </w:p>
    <w:p>
      <w:pPr>
        <w:spacing w:before="360"/>
      </w:pPr>
      <w:r>
        <w:rPr>
          <w:b/>
          <w:sz w:val="24"/>
        </w:rPr>
        <w:t>Status statement</w:t>
      </w:r>
    </w:p>
    <w:p>
      <w:r>
        <w:t>This design is not a production security assessment. The MVP demonstrates selected system behavior and requires protocol hardening, independent review and multi-host testing before real continuity data is entrusted to it.</w:t>
      </w:r>
    </w:p>
    <w:p>
      <w:r>
        <w:br w:type="page"/>
      </w:r>
    </w:p>
    <w:p>
      <w:pPr>
        <w:pStyle w:val="Heading1"/>
        <w:keepNext/>
      </w:pPr>
      <w:r>
        <w:t>1 Executive summary</w:t>
      </w:r>
    </w:p>
    <w:p>
      <w:r>
        <w:t>HearthMesh is designed as a global, non-anonymous emergency continuity mesh. Independently operated nodes exchange readable public content that is signed, attributable, versioned and locally verified. A node can continue serving content already acquired when the original publisher, a peer or the wider Internet becomes unavailable.</w:t>
      </w:r>
    </w:p>
    <w:p>
      <w:r>
        <w:t>The first implementation is intentionally smaller: three explicitly configured Go nodes on one Docker host. It proves the mechanics of signed HearthPacks, peer replication, local access, tamper detection and repair from a healthy replica. It does not yet provide global discovery, permissionless enrollment, private-cell confidentiality, key revocation or production-grade transport security.</w:t>
      </w:r>
    </w:p>
    <w:p>
      <w:r>
        <w:t>The central architectural choice is accountability. The official design does not include onion routing, anonymous publication, payments, marketplaces or public encrypted blind storage. Runtime trust decisions use signatures, hashes and explicit operator policy; no AI model or inference service participates.</w:t>
      </w:r>
    </w:p>
    <w:p>
      <w:pPr>
        <w:pStyle w:val="Heading1"/>
        <w:keepNext/>
      </w:pPr>
      <w:r>
        <w:t>2 Scope and design principles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3168"/>
            <w:shd w:fill="111820"/>
            <w:tcMar>
              <w:top w:w="110" w:type="dxa"/>
              <w:start w:w="130" w:type="dxa"/>
              <w:bottom w:w="110" w:type="dxa"/>
              <w:end w:w="130" w:type="dxa"/>
            </w:tcMar>
            <w:vAlign w:val="center"/>
          </w:tcPr>
          <w:p>
            <w:pPr>
              <w:jc w:val="left"/>
            </w:pPr>
            <w:r>
              <w:rPr>
                <w:b/>
                <w:color w:val="FFFFFF"/>
                <w:sz w:val="19"/>
              </w:rPr>
              <w:t>Goal</w:t>
            </w:r>
          </w:p>
        </w:tc>
        <w:tc>
          <w:tcPr>
            <w:tcW w:type="dxa" w:w="6048"/>
            <w:shd w:fill="111820"/>
            <w:tcMar>
              <w:top w:w="110" w:type="dxa"/>
              <w:start w:w="130" w:type="dxa"/>
              <w:bottom w:w="110" w:type="dxa"/>
              <w:end w:w="130" w:type="dxa"/>
            </w:tcMar>
            <w:vAlign w:val="center"/>
          </w:tcPr>
          <w:p>
            <w:pPr>
              <w:jc w:val="left"/>
            </w:pPr>
            <w:r>
              <w:rPr>
                <w:b/>
                <w:color w:val="FFFFFF"/>
                <w:sz w:val="19"/>
              </w:rPr>
              <w:t>Architectural response</w:t>
            </w:r>
          </w:p>
        </w:tc>
      </w:tr>
      <w:tr>
        <w:trPr>
          <w:cantSplit/>
        </w:trPr>
        <w:tc>
          <w:tcPr>
            <w:tcW w:type="dxa" w:w="3168"/>
            <w:tcMar>
              <w:top w:w="110" w:type="dxa"/>
              <w:start w:w="130" w:type="dxa"/>
              <w:bottom w:w="110" w:type="dxa"/>
              <w:end w:w="130" w:type="dxa"/>
            </w:tcMar>
            <w:vAlign w:val="center"/>
          </w:tcPr>
          <w:p>
            <w:pPr>
              <w:spacing w:after="0"/>
            </w:pPr>
            <w:r>
              <w:rPr>
                <w:sz w:val="18"/>
              </w:rPr>
              <w:t>Continuity during disruption</w:t>
            </w:r>
          </w:p>
        </w:tc>
        <w:tc>
          <w:tcPr>
            <w:tcW w:type="dxa" w:w="6048"/>
            <w:tcMar>
              <w:top w:w="110" w:type="dxa"/>
              <w:start w:w="130" w:type="dxa"/>
              <w:bottom w:w="110" w:type="dxa"/>
              <w:end w:w="130" w:type="dxa"/>
            </w:tcMar>
            <w:vAlign w:val="center"/>
          </w:tcPr>
          <w:p>
            <w:pPr>
              <w:spacing w:after="0"/>
            </w:pPr>
            <w:r>
              <w:rPr>
                <w:sz w:val="18"/>
              </w:rPr>
              <w:t>Serve locally complete packs without a central cloud or reachable publisher.</w:t>
            </w:r>
          </w:p>
        </w:tc>
      </w:tr>
      <w:tr>
        <w:trPr>
          <w:cantSplit/>
        </w:trPr>
        <w:tc>
          <w:tcPr>
            <w:tcW w:type="dxa" w:w="3168"/>
            <w:shd w:fill="F4F8F8"/>
            <w:tcMar>
              <w:top w:w="110" w:type="dxa"/>
              <w:start w:w="130" w:type="dxa"/>
              <w:bottom w:w="110" w:type="dxa"/>
              <w:end w:w="130" w:type="dxa"/>
            </w:tcMar>
            <w:vAlign w:val="center"/>
          </w:tcPr>
          <w:p>
            <w:pPr>
              <w:spacing w:after="0"/>
            </w:pPr>
            <w:r>
              <w:rPr>
                <w:sz w:val="18"/>
              </w:rPr>
              <w:t>Attributable public publishing</w:t>
            </w:r>
          </w:p>
        </w:tc>
        <w:tc>
          <w:tcPr>
            <w:tcW w:type="dxa" w:w="6048"/>
            <w:shd w:fill="F4F8F8"/>
            <w:tcMar>
              <w:top w:w="110" w:type="dxa"/>
              <w:start w:w="130" w:type="dxa"/>
              <w:bottom w:w="110" w:type="dxa"/>
              <w:end w:w="130" w:type="dxa"/>
            </w:tcMar>
            <w:vAlign w:val="center"/>
          </w:tcPr>
          <w:p>
            <w:pPr>
              <w:spacing w:after="0"/>
            </w:pPr>
            <w:r>
              <w:rPr>
                <w:sz w:val="18"/>
              </w:rPr>
              <w:t>Bind each manifest to a persistent publisher key and visible operator record.</w:t>
            </w:r>
          </w:p>
        </w:tc>
      </w:tr>
      <w:tr>
        <w:trPr>
          <w:cantSplit/>
        </w:trPr>
        <w:tc>
          <w:tcPr>
            <w:tcW w:type="dxa" w:w="3168"/>
            <w:tcMar>
              <w:top w:w="110" w:type="dxa"/>
              <w:start w:w="130" w:type="dxa"/>
              <w:bottom w:w="110" w:type="dxa"/>
              <w:end w:w="130" w:type="dxa"/>
            </w:tcMar>
            <w:vAlign w:val="center"/>
          </w:tcPr>
          <w:p>
            <w:pPr>
              <w:spacing w:after="0"/>
            </w:pPr>
            <w:r>
              <w:rPr>
                <w:sz w:val="18"/>
              </w:rPr>
              <w:t>Integrity and provenance</w:t>
            </w:r>
          </w:p>
        </w:tc>
        <w:tc>
          <w:tcPr>
            <w:tcW w:type="dxa" w:w="6048"/>
            <w:tcMar>
              <w:top w:w="110" w:type="dxa"/>
              <w:start w:w="130" w:type="dxa"/>
              <w:bottom w:w="110" w:type="dxa"/>
              <w:end w:w="130" w:type="dxa"/>
            </w:tcMar>
            <w:vAlign w:val="center"/>
          </w:tcPr>
          <w:p>
            <w:pPr>
              <w:spacing w:after="0"/>
            </w:pPr>
            <w:r>
              <w:rPr>
                <w:sz w:val="18"/>
              </w:rPr>
              <w:t>Sign immutable manifests and verify each referenced blob by SHA-256.</w:t>
            </w:r>
          </w:p>
        </w:tc>
      </w:tr>
      <w:tr>
        <w:trPr>
          <w:cantSplit/>
        </w:trPr>
        <w:tc>
          <w:tcPr>
            <w:tcW w:type="dxa" w:w="3168"/>
            <w:shd w:fill="F4F8F8"/>
            <w:tcMar>
              <w:top w:w="110" w:type="dxa"/>
              <w:start w:w="130" w:type="dxa"/>
              <w:bottom w:w="110" w:type="dxa"/>
              <w:end w:w="130" w:type="dxa"/>
            </w:tcMar>
            <w:vAlign w:val="center"/>
          </w:tcPr>
          <w:p>
            <w:pPr>
              <w:spacing w:after="0"/>
            </w:pPr>
            <w:r>
              <w:rPr>
                <w:sz w:val="18"/>
              </w:rPr>
              <w:t>Failure recovery</w:t>
            </w:r>
          </w:p>
        </w:tc>
        <w:tc>
          <w:tcPr>
            <w:tcW w:type="dxa" w:w="6048"/>
            <w:shd w:fill="F4F8F8"/>
            <w:tcMar>
              <w:top w:w="110" w:type="dxa"/>
              <w:start w:w="130" w:type="dxa"/>
              <w:bottom w:w="110" w:type="dxa"/>
              <w:end w:w="130" w:type="dxa"/>
            </w:tcMar>
            <w:vAlign w:val="center"/>
          </w:tcPr>
          <w:p>
            <w:pPr>
              <w:spacing w:after="0"/>
            </w:pPr>
            <w:r>
              <w:rPr>
                <w:sz w:val="18"/>
              </w:rPr>
              <w:t>Pull a valid object from another approved peer after local corruption is detected.</w:t>
            </w:r>
          </w:p>
        </w:tc>
      </w:tr>
      <w:tr>
        <w:trPr>
          <w:cantSplit/>
        </w:trPr>
        <w:tc>
          <w:tcPr>
            <w:tcW w:type="dxa" w:w="3168"/>
            <w:tcMar>
              <w:top w:w="110" w:type="dxa"/>
              <w:start w:w="130" w:type="dxa"/>
              <w:bottom w:w="110" w:type="dxa"/>
              <w:end w:w="130" w:type="dxa"/>
            </w:tcMar>
            <w:vAlign w:val="center"/>
          </w:tcPr>
          <w:p>
            <w:pPr>
              <w:spacing w:after="0"/>
            </w:pPr>
            <w:r>
              <w:rPr>
                <w:sz w:val="18"/>
              </w:rPr>
              <w:t>Operator control</w:t>
            </w:r>
          </w:p>
        </w:tc>
        <w:tc>
          <w:tcPr>
            <w:tcW w:type="dxa" w:w="6048"/>
            <w:tcMar>
              <w:top w:w="110" w:type="dxa"/>
              <w:start w:w="130" w:type="dxa"/>
              <w:bottom w:w="110" w:type="dxa"/>
              <w:end w:w="130" w:type="dxa"/>
            </w:tcMar>
            <w:vAlign w:val="center"/>
          </w:tcPr>
          <w:p>
            <w:pPr>
              <w:spacing w:after="0"/>
            </w:pPr>
            <w:r>
              <w:rPr>
                <w:sz w:val="18"/>
              </w:rPr>
              <w:t>Apply local publisher, category, size, retention and replication policies.</w:t>
            </w:r>
          </w:p>
        </w:tc>
      </w:tr>
      <w:tr>
        <w:trPr>
          <w:cantSplit/>
        </w:trPr>
        <w:tc>
          <w:tcPr>
            <w:tcW w:type="dxa" w:w="3168"/>
            <w:shd w:fill="F4F8F8"/>
            <w:tcMar>
              <w:top w:w="110" w:type="dxa"/>
              <w:start w:w="130" w:type="dxa"/>
              <w:bottom w:w="110" w:type="dxa"/>
              <w:end w:w="130" w:type="dxa"/>
            </w:tcMar>
            <w:vAlign w:val="center"/>
          </w:tcPr>
          <w:p>
            <w:pPr>
              <w:spacing w:after="0"/>
            </w:pPr>
            <w:r>
              <w:rPr>
                <w:sz w:val="18"/>
              </w:rPr>
              <w:t>AI independence</w:t>
            </w:r>
          </w:p>
        </w:tc>
        <w:tc>
          <w:tcPr>
            <w:tcW w:type="dxa" w:w="6048"/>
            <w:shd w:fill="F4F8F8"/>
            <w:tcMar>
              <w:top w:w="110" w:type="dxa"/>
              <w:start w:w="130" w:type="dxa"/>
              <w:bottom w:w="110" w:type="dxa"/>
              <w:end w:w="130" w:type="dxa"/>
            </w:tcMar>
            <w:vAlign w:val="center"/>
          </w:tcPr>
          <w:p>
            <w:pPr>
              <w:spacing w:after="0"/>
            </w:pPr>
            <w:r>
              <w:rPr>
                <w:sz w:val="18"/>
              </w:rPr>
              <w:t>Use deterministic protocol rules with no model, agent or inference dependency.</w:t>
            </w:r>
          </w:p>
        </w:tc>
      </w:tr>
    </w:tbl>
    <w:p>
      <w:pPr>
        <w:spacing w:after="0"/>
      </w:pPr>
    </w:p>
    <w:p>
      <w:pPr>
        <w:pStyle w:val="Heading2"/>
        <w:keepNext/>
      </w:pPr>
      <w:r>
        <w:t>2.1 Explicit non-goals</w:t>
      </w:r>
    </w:p>
    <w:p>
      <w:pPr>
        <w:pStyle w:val="ListBullet"/>
      </w:pPr>
      <w:r>
        <w:t>Anonymous participation, hidden publishers, onion routing or traffic-obfuscation guarantees.</w:t>
      </w:r>
    </w:p>
    <w:p>
      <w:pPr>
        <w:pStyle w:val="ListBullet"/>
      </w:pPr>
      <w:r>
        <w:t>A global consensus protocol or universally authoritative latest version.</w:t>
      </w:r>
    </w:p>
    <w:p>
      <w:pPr>
        <w:pStyle w:val="ListBullet"/>
      </w:pPr>
      <w:r>
        <w:t>Guaranteed truth, legality, safety, completeness or availability of published information.</w:t>
      </w:r>
    </w:p>
    <w:p>
      <w:pPr>
        <w:pStyle w:val="ListBullet"/>
      </w:pPr>
      <w:r>
        <w:t>Real-time emergency dispatch or replacement of official emergency channels.</w:t>
      </w:r>
    </w:p>
    <w:p>
      <w:pPr>
        <w:pStyle w:val="ListBullet"/>
      </w:pPr>
      <w:r>
        <w:t>Arbitrary anonymous uploads, payments, marketplaces or public blind storage.</w:t>
      </w:r>
    </w:p>
    <w:p>
      <w:pPr>
        <w:pStyle w:val="ListBullet"/>
      </w:pPr>
      <w:r>
        <w:t>Production private cells, automated moderation or secure key recovery in the MVP.</w:t>
      </w:r>
    </w:p>
    <w:p>
      <w:pPr>
        <w:pStyle w:val="Heading1"/>
        <w:keepNext/>
      </w:pPr>
      <w:r>
        <w:t>3 Architecture overview</w:t>
      </w:r>
    </w:p>
    <w:p>
      <w:r>
        <w:drawing>
          <wp:inline xmlns:a="http://schemas.openxmlformats.org/drawingml/2006/main" xmlns:pic="http://schemas.openxmlformats.org/drawingml/2006/picture">
            <wp:extent cx="6263640" cy="361899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63640" cy="3618992"/>
                    </a:xfrm>
                    <a:prstGeom prst="rect"/>
                  </pic:spPr>
                </pic:pic>
              </a:graphicData>
            </a:graphic>
          </wp:inline>
        </w:drawing>
      </w:r>
    </w:p>
    <w:p>
      <w:pPr>
        <w:jc w:val="center"/>
      </w:pPr>
      <w:r>
        <w:rPr>
          <w:i/>
          <w:sz w:val="18"/>
        </w:rPr>
        <w:t>Figure 1. Target architecture and the private-cell isolation boundary.</w:t>
      </w:r>
    </w:p>
    <w:p>
      <w:r>
        <w:t>The target system uses the same core node software for the public mesh and future private cells, but the two spaces must not share discovery, indexes, membership or storage by default. For early private-cell work, separate processes and volumes are safer than unproven in-process multi-tenancy.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20"/>
            <w:shd w:fill="111820"/>
            <w:tcMar>
              <w:top w:w="110" w:type="dxa"/>
              <w:start w:w="130" w:type="dxa"/>
              <w:bottom w:w="110" w:type="dxa"/>
              <w:end w:w="130" w:type="dxa"/>
            </w:tcMar>
            <w:vAlign w:val="center"/>
          </w:tcPr>
          <w:p>
            <w:pPr>
              <w:jc w:val="left"/>
            </w:pPr>
            <w:r>
              <w:rPr>
                <w:b/>
                <w:color w:val="FFFFFF"/>
                <w:sz w:val="19"/>
              </w:rPr>
              <w:t>Component</w:t>
            </w:r>
          </w:p>
        </w:tc>
        <w:tc>
          <w:tcPr>
            <w:tcW w:type="dxa" w:w="6696"/>
            <w:shd w:fill="111820"/>
            <w:tcMar>
              <w:top w:w="110" w:type="dxa"/>
              <w:start w:w="130" w:type="dxa"/>
              <w:bottom w:w="110" w:type="dxa"/>
              <w:end w:w="130" w:type="dxa"/>
            </w:tcMar>
            <w:vAlign w:val="center"/>
          </w:tcPr>
          <w:p>
            <w:pPr>
              <w:jc w:val="left"/>
            </w:pPr>
            <w:r>
              <w:rPr>
                <w:b/>
                <w:color w:val="FFFFFF"/>
                <w:sz w:val="19"/>
              </w:rPr>
              <w:t>Primary responsibility</w:t>
            </w:r>
          </w:p>
        </w:tc>
      </w:tr>
      <w:tr>
        <w:trPr>
          <w:cantSplit/>
        </w:trPr>
        <w:tc>
          <w:tcPr>
            <w:tcW w:type="dxa" w:w="2520"/>
            <w:tcMar>
              <w:top w:w="110" w:type="dxa"/>
              <w:start w:w="130" w:type="dxa"/>
              <w:bottom w:w="110" w:type="dxa"/>
              <w:end w:w="130" w:type="dxa"/>
            </w:tcMar>
            <w:vAlign w:val="center"/>
          </w:tcPr>
          <w:p>
            <w:pPr>
              <w:spacing w:after="0"/>
            </w:pPr>
            <w:r>
              <w:rPr>
                <w:sz w:val="18"/>
              </w:rPr>
              <w:t>Identity manager</w:t>
            </w:r>
          </w:p>
        </w:tc>
        <w:tc>
          <w:tcPr>
            <w:tcW w:type="dxa" w:w="6696"/>
            <w:tcMar>
              <w:top w:w="110" w:type="dxa"/>
              <w:start w:w="130" w:type="dxa"/>
              <w:bottom w:w="110" w:type="dxa"/>
              <w:end w:w="130" w:type="dxa"/>
            </w:tcMar>
            <w:vAlign w:val="center"/>
          </w:tcPr>
          <w:p>
            <w:pPr>
              <w:spacing w:after="0"/>
            </w:pPr>
            <w:r>
              <w:rPr>
                <w:sz w:val="18"/>
              </w:rPr>
              <w:t>Loads node identity, publisher trust records and pinned peer identities.</w:t>
            </w:r>
          </w:p>
        </w:tc>
      </w:tr>
      <w:tr>
        <w:trPr>
          <w:cantSplit/>
        </w:trPr>
        <w:tc>
          <w:tcPr>
            <w:tcW w:type="dxa" w:w="2520"/>
            <w:shd w:fill="F4F8F8"/>
            <w:tcMar>
              <w:top w:w="110" w:type="dxa"/>
              <w:start w:w="130" w:type="dxa"/>
              <w:bottom w:w="110" w:type="dxa"/>
              <w:end w:w="130" w:type="dxa"/>
            </w:tcMar>
            <w:vAlign w:val="center"/>
          </w:tcPr>
          <w:p>
            <w:pPr>
              <w:spacing w:after="0"/>
            </w:pPr>
            <w:r>
              <w:rPr>
                <w:sz w:val="18"/>
              </w:rPr>
              <w:t>Peer transport</w:t>
            </w:r>
          </w:p>
        </w:tc>
        <w:tc>
          <w:tcPr>
            <w:tcW w:type="dxa" w:w="6696"/>
            <w:shd w:fill="F4F8F8"/>
            <w:tcMar>
              <w:top w:w="110" w:type="dxa"/>
              <w:start w:w="130" w:type="dxa"/>
              <w:bottom w:w="110" w:type="dxa"/>
              <w:end w:w="130" w:type="dxa"/>
            </w:tcMar>
            <w:vAlign w:val="center"/>
          </w:tcPr>
          <w:p>
            <w:pPr>
              <w:spacing w:after="0"/>
            </w:pPr>
            <w:r>
              <w:rPr>
                <w:sz w:val="18"/>
              </w:rPr>
              <w:t>Connects directly to configured peers and applies timeouts and transfer limits.</w:t>
            </w:r>
          </w:p>
        </w:tc>
      </w:tr>
      <w:tr>
        <w:trPr>
          <w:cantSplit/>
        </w:trPr>
        <w:tc>
          <w:tcPr>
            <w:tcW w:type="dxa" w:w="2520"/>
            <w:tcMar>
              <w:top w:w="110" w:type="dxa"/>
              <w:start w:w="130" w:type="dxa"/>
              <w:bottom w:w="110" w:type="dxa"/>
              <w:end w:w="130" w:type="dxa"/>
            </w:tcMar>
            <w:vAlign w:val="center"/>
          </w:tcPr>
          <w:p>
            <w:pPr>
              <w:spacing w:after="0"/>
            </w:pPr>
            <w:r>
              <w:rPr>
                <w:sz w:val="18"/>
              </w:rPr>
              <w:t>Pack verifier</w:t>
            </w:r>
          </w:p>
        </w:tc>
        <w:tc>
          <w:tcPr>
            <w:tcW w:type="dxa" w:w="6696"/>
            <w:tcMar>
              <w:top w:w="110" w:type="dxa"/>
              <w:start w:w="130" w:type="dxa"/>
              <w:bottom w:w="110" w:type="dxa"/>
              <w:end w:w="130" w:type="dxa"/>
            </w:tcMar>
            <w:vAlign w:val="center"/>
          </w:tcPr>
          <w:p>
            <w:pPr>
              <w:spacing w:after="0"/>
            </w:pPr>
            <w:r>
              <w:rPr>
                <w:sz w:val="18"/>
              </w:rPr>
              <w:t>Checks manifest structure, publisher signature, paths, media policy and blob hashes.</w:t>
            </w:r>
          </w:p>
        </w:tc>
      </w:tr>
      <w:tr>
        <w:trPr>
          <w:cantSplit/>
        </w:trPr>
        <w:tc>
          <w:tcPr>
            <w:tcW w:type="dxa" w:w="2520"/>
            <w:shd w:fill="F4F8F8"/>
            <w:tcMar>
              <w:top w:w="110" w:type="dxa"/>
              <w:start w:w="130" w:type="dxa"/>
              <w:bottom w:w="110" w:type="dxa"/>
              <w:end w:w="130" w:type="dxa"/>
            </w:tcMar>
            <w:vAlign w:val="center"/>
          </w:tcPr>
          <w:p>
            <w:pPr>
              <w:spacing w:after="0"/>
            </w:pPr>
            <w:r>
              <w:rPr>
                <w:sz w:val="18"/>
              </w:rPr>
              <w:t>Content store</w:t>
            </w:r>
          </w:p>
        </w:tc>
        <w:tc>
          <w:tcPr>
            <w:tcW w:type="dxa" w:w="6696"/>
            <w:shd w:fill="F4F8F8"/>
            <w:tcMar>
              <w:top w:w="110" w:type="dxa"/>
              <w:start w:w="130" w:type="dxa"/>
              <w:bottom w:w="110" w:type="dxa"/>
              <w:end w:w="130" w:type="dxa"/>
            </w:tcMar>
            <w:vAlign w:val="center"/>
          </w:tcPr>
          <w:p>
            <w:pPr>
              <w:spacing w:after="0"/>
            </w:pPr>
            <w:r>
              <w:rPr>
                <w:sz w:val="18"/>
              </w:rPr>
              <w:t>Stores immutable manifests and content-addressed blobs with atomic promotion.</w:t>
            </w:r>
          </w:p>
        </w:tc>
      </w:tr>
      <w:tr>
        <w:trPr>
          <w:cantSplit/>
        </w:trPr>
        <w:tc>
          <w:tcPr>
            <w:tcW w:type="dxa" w:w="2520"/>
            <w:tcMar>
              <w:top w:w="110" w:type="dxa"/>
              <w:start w:w="130" w:type="dxa"/>
              <w:bottom w:w="110" w:type="dxa"/>
              <w:end w:w="130" w:type="dxa"/>
            </w:tcMar>
            <w:vAlign w:val="center"/>
          </w:tcPr>
          <w:p>
            <w:pPr>
              <w:spacing w:after="0"/>
            </w:pPr>
            <w:r>
              <w:rPr>
                <w:sz w:val="18"/>
              </w:rPr>
              <w:t>Replication scheduler</w:t>
            </w:r>
          </w:p>
        </w:tc>
        <w:tc>
          <w:tcPr>
            <w:tcW w:type="dxa" w:w="6696"/>
            <w:tcMar>
              <w:top w:w="110" w:type="dxa"/>
              <w:start w:w="130" w:type="dxa"/>
              <w:bottom w:w="110" w:type="dxa"/>
              <w:end w:w="130" w:type="dxa"/>
            </w:tcMar>
            <w:vAlign w:val="center"/>
          </w:tcPr>
          <w:p>
            <w:pPr>
              <w:spacing w:after="0"/>
            </w:pPr>
            <w:r>
              <w:rPr>
                <w:sz w:val="18"/>
              </w:rPr>
              <w:t>Polls known peers and pulls locally eligible missing or damaged objects.</w:t>
            </w:r>
          </w:p>
        </w:tc>
      </w:tr>
      <w:tr>
        <w:trPr>
          <w:cantSplit/>
        </w:trPr>
        <w:tc>
          <w:tcPr>
            <w:tcW w:type="dxa" w:w="2520"/>
            <w:shd w:fill="F4F8F8"/>
            <w:tcMar>
              <w:top w:w="110" w:type="dxa"/>
              <w:start w:w="130" w:type="dxa"/>
              <w:bottom w:w="110" w:type="dxa"/>
              <w:end w:w="130" w:type="dxa"/>
            </w:tcMar>
            <w:vAlign w:val="center"/>
          </w:tcPr>
          <w:p>
            <w:pPr>
              <w:spacing w:after="0"/>
            </w:pPr>
            <w:r>
              <w:rPr>
                <w:sz w:val="18"/>
              </w:rPr>
              <w:t>Integrity scanner</w:t>
            </w:r>
          </w:p>
        </w:tc>
        <w:tc>
          <w:tcPr>
            <w:tcW w:type="dxa" w:w="6696"/>
            <w:shd w:fill="F4F8F8"/>
            <w:tcMar>
              <w:top w:w="110" w:type="dxa"/>
              <w:start w:w="130" w:type="dxa"/>
              <w:bottom w:w="110" w:type="dxa"/>
              <w:end w:w="130" w:type="dxa"/>
            </w:tcMar>
            <w:vAlign w:val="center"/>
          </w:tcPr>
          <w:p>
            <w:pPr>
              <w:spacing w:after="0"/>
            </w:pPr>
            <w:r>
              <w:rPr>
                <w:sz w:val="18"/>
              </w:rPr>
              <w:t>Recomputes hashes, quarantines corrupt objects and requests repair.</w:t>
            </w:r>
          </w:p>
        </w:tc>
      </w:tr>
      <w:tr>
        <w:trPr>
          <w:cantSplit/>
        </w:trPr>
        <w:tc>
          <w:tcPr>
            <w:tcW w:type="dxa" w:w="2520"/>
            <w:tcMar>
              <w:top w:w="110" w:type="dxa"/>
              <w:start w:w="130" w:type="dxa"/>
              <w:bottom w:w="110" w:type="dxa"/>
              <w:end w:w="130" w:type="dxa"/>
            </w:tcMar>
            <w:vAlign w:val="center"/>
          </w:tcPr>
          <w:p>
            <w:pPr>
              <w:spacing w:after="0"/>
            </w:pPr>
            <w:r>
              <w:rPr>
                <w:sz w:val="18"/>
              </w:rPr>
              <w:t>Local portal</w:t>
            </w:r>
          </w:p>
        </w:tc>
        <w:tc>
          <w:tcPr>
            <w:tcW w:type="dxa" w:w="6696"/>
            <w:tcMar>
              <w:top w:w="110" w:type="dxa"/>
              <w:start w:w="130" w:type="dxa"/>
              <w:bottom w:w="110" w:type="dxa"/>
              <w:end w:w="130" w:type="dxa"/>
            </w:tcMar>
            <w:vAlign w:val="center"/>
          </w:tcPr>
          <w:p>
            <w:pPr>
              <w:spacing w:after="0"/>
            </w:pPr>
            <w:r>
              <w:rPr>
                <w:sz w:val="18"/>
              </w:rPr>
              <w:t>Shows available packs, versions, provenance and node status without executing pack content.</w:t>
            </w:r>
          </w:p>
        </w:tc>
      </w:tr>
      <w:tr>
        <w:trPr>
          <w:cantSplit/>
        </w:trPr>
        <w:tc>
          <w:tcPr>
            <w:tcW w:type="dxa" w:w="2520"/>
            <w:shd w:fill="F4F8F8"/>
            <w:tcMar>
              <w:top w:w="110" w:type="dxa"/>
              <w:start w:w="130" w:type="dxa"/>
              <w:bottom w:w="110" w:type="dxa"/>
              <w:end w:w="130" w:type="dxa"/>
            </w:tcMar>
            <w:vAlign w:val="center"/>
          </w:tcPr>
          <w:p>
            <w:pPr>
              <w:spacing w:after="0"/>
            </w:pPr>
            <w:r>
              <w:rPr>
                <w:sz w:val="18"/>
              </w:rPr>
              <w:t>Publisher tools</w:t>
            </w:r>
          </w:p>
        </w:tc>
        <w:tc>
          <w:tcPr>
            <w:tcW w:type="dxa" w:w="6696"/>
            <w:shd w:fill="F4F8F8"/>
            <w:tcMar>
              <w:top w:w="110" w:type="dxa"/>
              <w:start w:w="130" w:type="dxa"/>
              <w:bottom w:w="110" w:type="dxa"/>
              <w:end w:w="130" w:type="dxa"/>
            </w:tcMar>
            <w:vAlign w:val="center"/>
          </w:tcPr>
          <w:p>
            <w:pPr>
              <w:spacing w:after="0"/>
            </w:pPr>
            <w:r>
              <w:rPr>
                <w:sz w:val="18"/>
              </w:rPr>
              <w:t>Builds and signs HearthPacks through a local administrative path.</w:t>
            </w:r>
          </w:p>
        </w:tc>
      </w:tr>
    </w:tbl>
    <w:p>
      <w:pPr>
        <w:spacing w:after="0"/>
      </w:pPr>
    </w:p>
    <w:p>
      <w:pPr>
        <w:pStyle w:val="Heading1"/>
        <w:keepNext/>
      </w:pPr>
      <w:r>
        <w:t>4 Trust model and boundaries</w:t>
      </w:r>
    </w:p>
    <w:p>
      <w:r>
        <w:t>A valid signature proves control of a publisher key; it does not prove that the material is correct. An authenticated peer is identifiable; it is not automatically honest. HearthMesh therefore keeps publisher trust, peer admission and content verification as separate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448"/>
            <w:shd w:fill="111820"/>
            <w:tcMar>
              <w:top w:w="110" w:type="dxa"/>
              <w:start w:w="130" w:type="dxa"/>
              <w:bottom w:w="110" w:type="dxa"/>
              <w:end w:w="130" w:type="dxa"/>
            </w:tcMar>
            <w:vAlign w:val="center"/>
          </w:tcPr>
          <w:p>
            <w:pPr>
              <w:jc w:val="left"/>
            </w:pPr>
            <w:r>
              <w:rPr>
                <w:b/>
                <w:color w:val="FFFFFF"/>
                <w:sz w:val="19"/>
              </w:rPr>
              <w:t>Boundary</w:t>
            </w:r>
          </w:p>
        </w:tc>
        <w:tc>
          <w:tcPr>
            <w:tcW w:type="dxa" w:w="3024"/>
            <w:shd w:fill="111820"/>
            <w:tcMar>
              <w:top w:w="110" w:type="dxa"/>
              <w:start w:w="130" w:type="dxa"/>
              <w:bottom w:w="110" w:type="dxa"/>
              <w:end w:w="130" w:type="dxa"/>
            </w:tcMar>
            <w:vAlign w:val="center"/>
          </w:tcPr>
          <w:p>
            <w:pPr>
              <w:jc w:val="left"/>
            </w:pPr>
            <w:r>
              <w:rPr>
                <w:b/>
                <w:color w:val="FFFFFF"/>
                <w:sz w:val="19"/>
              </w:rPr>
              <w:t>Risk</w:t>
            </w:r>
          </w:p>
        </w:tc>
        <w:tc>
          <w:tcPr>
            <w:tcW w:type="dxa" w:w="3744"/>
            <w:shd w:fill="111820"/>
            <w:tcMar>
              <w:top w:w="110" w:type="dxa"/>
              <w:start w:w="130" w:type="dxa"/>
              <w:bottom w:w="110" w:type="dxa"/>
              <w:end w:w="130" w:type="dxa"/>
            </w:tcMar>
            <w:vAlign w:val="center"/>
          </w:tcPr>
          <w:p>
            <w:pPr>
              <w:jc w:val="left"/>
            </w:pPr>
            <w:r>
              <w:rPr>
                <w:b/>
                <w:color w:val="FFFFFF"/>
                <w:sz w:val="19"/>
              </w:rPr>
              <w:t>Required control</w:t>
            </w:r>
          </w:p>
        </w:tc>
      </w:tr>
      <w:tr>
        <w:trPr>
          <w:cantSplit/>
        </w:trPr>
        <w:tc>
          <w:tcPr>
            <w:tcW w:type="dxa" w:w="2448"/>
            <w:tcMar>
              <w:top w:w="110" w:type="dxa"/>
              <w:start w:w="130" w:type="dxa"/>
              <w:bottom w:w="110" w:type="dxa"/>
              <w:end w:w="130" w:type="dxa"/>
            </w:tcMar>
            <w:vAlign w:val="center"/>
          </w:tcPr>
          <w:p>
            <w:pPr>
              <w:spacing w:after="0"/>
            </w:pPr>
            <w:r>
              <w:rPr>
                <w:sz w:val="18"/>
              </w:rPr>
              <w:t>Operator to local administration</w:t>
            </w:r>
          </w:p>
        </w:tc>
        <w:tc>
          <w:tcPr>
            <w:tcW w:type="dxa" w:w="3024"/>
            <w:tcMar>
              <w:top w:w="110" w:type="dxa"/>
              <w:start w:w="130" w:type="dxa"/>
              <w:bottom w:w="110" w:type="dxa"/>
              <w:end w:w="130" w:type="dxa"/>
            </w:tcMar>
            <w:vAlign w:val="center"/>
          </w:tcPr>
          <w:p>
            <w:pPr>
              <w:spacing w:after="0"/>
            </w:pPr>
            <w:r>
              <w:rPr>
                <w:sz w:val="18"/>
              </w:rPr>
              <w:t>Policy deletion or misuse of signing material</w:t>
            </w:r>
          </w:p>
        </w:tc>
        <w:tc>
          <w:tcPr>
            <w:tcW w:type="dxa" w:w="3744"/>
            <w:tcMar>
              <w:top w:w="110" w:type="dxa"/>
              <w:start w:w="130" w:type="dxa"/>
              <w:bottom w:w="110" w:type="dxa"/>
              <w:end w:w="130" w:type="dxa"/>
            </w:tcMar>
            <w:vAlign w:val="center"/>
          </w:tcPr>
          <w:p>
            <w:pPr>
              <w:spacing w:after="0"/>
            </w:pPr>
            <w:r>
              <w:rPr>
                <w:sz w:val="18"/>
              </w:rPr>
              <w:t>Local binding, restricted permissions and separated publisher keys.</w:t>
            </w:r>
          </w:p>
        </w:tc>
      </w:tr>
      <w:tr>
        <w:trPr>
          <w:cantSplit/>
        </w:trPr>
        <w:tc>
          <w:tcPr>
            <w:tcW w:type="dxa" w:w="2448"/>
            <w:shd w:fill="F4F8F8"/>
            <w:tcMar>
              <w:top w:w="110" w:type="dxa"/>
              <w:start w:w="130" w:type="dxa"/>
              <w:bottom w:w="110" w:type="dxa"/>
              <w:end w:w="130" w:type="dxa"/>
            </w:tcMar>
            <w:vAlign w:val="center"/>
          </w:tcPr>
          <w:p>
            <w:pPr>
              <w:spacing w:after="0"/>
            </w:pPr>
            <w:r>
              <w:rPr>
                <w:sz w:val="18"/>
              </w:rPr>
              <w:t>Peer to transport</w:t>
            </w:r>
          </w:p>
        </w:tc>
        <w:tc>
          <w:tcPr>
            <w:tcW w:type="dxa" w:w="3024"/>
            <w:shd w:fill="F4F8F8"/>
            <w:tcMar>
              <w:top w:w="110" w:type="dxa"/>
              <w:start w:w="130" w:type="dxa"/>
              <w:bottom w:w="110" w:type="dxa"/>
              <w:end w:w="130" w:type="dxa"/>
            </w:tcMar>
            <w:vAlign w:val="center"/>
          </w:tcPr>
          <w:p>
            <w:pPr>
              <w:spacing w:after="0"/>
            </w:pPr>
            <w:r>
              <w:rPr>
                <w:sz w:val="18"/>
              </w:rPr>
              <w:t>False inventory, resource exhaustion or stale content</w:t>
            </w:r>
          </w:p>
        </w:tc>
        <w:tc>
          <w:tcPr>
            <w:tcW w:type="dxa" w:w="3744"/>
            <w:shd w:fill="F4F8F8"/>
            <w:tcMar>
              <w:top w:w="110" w:type="dxa"/>
              <w:start w:w="130" w:type="dxa"/>
              <w:bottom w:w="110" w:type="dxa"/>
              <w:end w:w="130" w:type="dxa"/>
            </w:tcMar>
            <w:vAlign w:val="center"/>
          </w:tcPr>
          <w:p>
            <w:pPr>
              <w:spacing w:after="0"/>
            </w:pPr>
            <w:r>
              <w:rPr>
                <w:sz w:val="18"/>
              </w:rPr>
              <w:t>Pinned identities, limits, pull replication and backoff.</w:t>
            </w:r>
          </w:p>
        </w:tc>
      </w:tr>
      <w:tr>
        <w:trPr>
          <w:cantSplit/>
        </w:trPr>
        <w:tc>
          <w:tcPr>
            <w:tcW w:type="dxa" w:w="2448"/>
            <w:tcMar>
              <w:top w:w="110" w:type="dxa"/>
              <w:start w:w="130" w:type="dxa"/>
              <w:bottom w:w="110" w:type="dxa"/>
              <w:end w:w="130" w:type="dxa"/>
            </w:tcMar>
            <w:vAlign w:val="center"/>
          </w:tcPr>
          <w:p>
            <w:pPr>
              <w:spacing w:after="0"/>
            </w:pPr>
            <w:r>
              <w:rPr>
                <w:sz w:val="18"/>
              </w:rPr>
              <w:t>Received bytes to storage</w:t>
            </w:r>
          </w:p>
        </w:tc>
        <w:tc>
          <w:tcPr>
            <w:tcW w:type="dxa" w:w="3024"/>
            <w:tcMar>
              <w:top w:w="110" w:type="dxa"/>
              <w:start w:w="130" w:type="dxa"/>
              <w:bottom w:w="110" w:type="dxa"/>
              <w:end w:w="130" w:type="dxa"/>
            </w:tcMar>
            <w:vAlign w:val="center"/>
          </w:tcPr>
          <w:p>
            <w:pPr>
              <w:spacing w:after="0"/>
            </w:pPr>
            <w:r>
              <w:rPr>
                <w:sz w:val="18"/>
              </w:rPr>
              <w:t>Malformed, oversized or altered objects</w:t>
            </w:r>
          </w:p>
        </w:tc>
        <w:tc>
          <w:tcPr>
            <w:tcW w:type="dxa" w:w="3744"/>
            <w:tcMar>
              <w:top w:w="110" w:type="dxa"/>
              <w:start w:w="130" w:type="dxa"/>
              <w:bottom w:w="110" w:type="dxa"/>
              <w:end w:w="130" w:type="dxa"/>
            </w:tcMar>
            <w:vAlign w:val="center"/>
          </w:tcPr>
          <w:p>
            <w:pPr>
              <w:spacing w:after="0"/>
            </w:pPr>
            <w:r>
              <w:rPr>
                <w:sz w:val="18"/>
              </w:rPr>
              <w:t>Staging, schema checks, signature verification and digest verification.</w:t>
            </w:r>
          </w:p>
        </w:tc>
      </w:tr>
      <w:tr>
        <w:trPr>
          <w:cantSplit/>
        </w:trPr>
        <w:tc>
          <w:tcPr>
            <w:tcW w:type="dxa" w:w="2448"/>
            <w:shd w:fill="F4F8F8"/>
            <w:tcMar>
              <w:top w:w="110" w:type="dxa"/>
              <w:start w:w="130" w:type="dxa"/>
              <w:bottom w:w="110" w:type="dxa"/>
              <w:end w:w="130" w:type="dxa"/>
            </w:tcMar>
            <w:vAlign w:val="center"/>
          </w:tcPr>
          <w:p>
            <w:pPr>
              <w:spacing w:after="0"/>
            </w:pPr>
            <w:r>
              <w:rPr>
                <w:sz w:val="18"/>
              </w:rPr>
              <w:t>Publisher to reader</w:t>
            </w:r>
          </w:p>
        </w:tc>
        <w:tc>
          <w:tcPr>
            <w:tcW w:type="dxa" w:w="3024"/>
            <w:shd w:fill="F4F8F8"/>
            <w:tcMar>
              <w:top w:w="110" w:type="dxa"/>
              <w:start w:w="130" w:type="dxa"/>
              <w:bottom w:w="110" w:type="dxa"/>
              <w:end w:w="130" w:type="dxa"/>
            </w:tcMar>
            <w:vAlign w:val="center"/>
          </w:tcPr>
          <w:p>
            <w:pPr>
              <w:spacing w:after="0"/>
            </w:pPr>
            <w:r>
              <w:rPr>
                <w:sz w:val="18"/>
              </w:rPr>
              <w:t>Authentic but incorrect or harmful content</w:t>
            </w:r>
          </w:p>
        </w:tc>
        <w:tc>
          <w:tcPr>
            <w:tcW w:type="dxa" w:w="3744"/>
            <w:shd w:fill="F4F8F8"/>
            <w:tcMar>
              <w:top w:w="110" w:type="dxa"/>
              <w:start w:w="130" w:type="dxa"/>
              <w:bottom w:w="110" w:type="dxa"/>
              <w:end w:w="130" w:type="dxa"/>
            </w:tcMar>
            <w:vAlign w:val="center"/>
          </w:tcPr>
          <w:p>
            <w:pPr>
              <w:spacing w:after="0"/>
            </w:pPr>
            <w:r>
              <w:rPr>
                <w:sz w:val="18"/>
              </w:rPr>
              <w:t>Visible attribution, local trust tier and operator moderation.</w:t>
            </w:r>
          </w:p>
        </w:tc>
      </w:tr>
      <w:tr>
        <w:trPr>
          <w:cantSplit/>
        </w:trPr>
        <w:tc>
          <w:tcPr>
            <w:tcW w:type="dxa" w:w="2448"/>
            <w:tcMar>
              <w:top w:w="110" w:type="dxa"/>
              <w:start w:w="130" w:type="dxa"/>
              <w:bottom w:w="110" w:type="dxa"/>
              <w:end w:w="130" w:type="dxa"/>
            </w:tcMar>
            <w:vAlign w:val="center"/>
          </w:tcPr>
          <w:p>
            <w:pPr>
              <w:spacing w:after="0"/>
            </w:pPr>
            <w:r>
              <w:rPr>
                <w:sz w:val="18"/>
              </w:rPr>
              <w:t>Public mesh to private cell</w:t>
            </w:r>
          </w:p>
        </w:tc>
        <w:tc>
          <w:tcPr>
            <w:tcW w:type="dxa" w:w="3024"/>
            <w:tcMar>
              <w:top w:w="110" w:type="dxa"/>
              <w:start w:w="130" w:type="dxa"/>
              <w:bottom w:w="110" w:type="dxa"/>
              <w:end w:w="130" w:type="dxa"/>
            </w:tcMar>
            <w:vAlign w:val="center"/>
          </w:tcPr>
          <w:p>
            <w:pPr>
              <w:spacing w:after="0"/>
            </w:pPr>
            <w:r>
              <w:rPr>
                <w:sz w:val="18"/>
              </w:rPr>
              <w:t>Metadata or content leakage</w:t>
            </w:r>
          </w:p>
        </w:tc>
        <w:tc>
          <w:tcPr>
            <w:tcW w:type="dxa" w:w="3744"/>
            <w:tcMar>
              <w:top w:w="110" w:type="dxa"/>
              <w:start w:w="130" w:type="dxa"/>
              <w:bottom w:w="110" w:type="dxa"/>
              <w:end w:w="130" w:type="dxa"/>
            </w:tcMar>
            <w:vAlign w:val="center"/>
          </w:tcPr>
          <w:p>
            <w:pPr>
              <w:spacing w:after="0"/>
            </w:pPr>
            <w:r>
              <w:rPr>
                <w:sz w:val="18"/>
              </w:rPr>
              <w:t>Separate membership, namespace, storage, discovery and keys.</w:t>
            </w:r>
          </w:p>
        </w:tc>
      </w:tr>
      <w:tr>
        <w:trPr>
          <w:cantSplit/>
        </w:trPr>
        <w:tc>
          <w:tcPr>
            <w:tcW w:type="dxa" w:w="2448"/>
            <w:shd w:fill="F4F8F8"/>
            <w:tcMar>
              <w:top w:w="110" w:type="dxa"/>
              <w:start w:w="130" w:type="dxa"/>
              <w:bottom w:w="110" w:type="dxa"/>
              <w:end w:w="130" w:type="dxa"/>
            </w:tcMar>
            <w:vAlign w:val="center"/>
          </w:tcPr>
          <w:p>
            <w:pPr>
              <w:spacing w:after="0"/>
            </w:pPr>
            <w:r>
              <w:rPr>
                <w:sz w:val="18"/>
              </w:rPr>
              <w:t>Host to node</w:t>
            </w:r>
          </w:p>
        </w:tc>
        <w:tc>
          <w:tcPr>
            <w:tcW w:type="dxa" w:w="3024"/>
            <w:shd w:fill="F4F8F8"/>
            <w:tcMar>
              <w:top w:w="110" w:type="dxa"/>
              <w:start w:w="130" w:type="dxa"/>
              <w:bottom w:w="110" w:type="dxa"/>
              <w:end w:w="130" w:type="dxa"/>
            </w:tcMar>
            <w:vAlign w:val="center"/>
          </w:tcPr>
          <w:p>
            <w:pPr>
              <w:spacing w:after="0"/>
            </w:pPr>
            <w:r>
              <w:rPr>
                <w:sz w:val="18"/>
              </w:rPr>
              <w:t>Key and data compromise</w:t>
            </w:r>
          </w:p>
        </w:tc>
        <w:tc>
          <w:tcPr>
            <w:tcW w:type="dxa" w:w="3744"/>
            <w:shd w:fill="F4F8F8"/>
            <w:tcMar>
              <w:top w:w="110" w:type="dxa"/>
              <w:start w:w="130" w:type="dxa"/>
              <w:bottom w:w="110" w:type="dxa"/>
              <w:end w:w="130" w:type="dxa"/>
            </w:tcMar>
            <w:vAlign w:val="center"/>
          </w:tcPr>
          <w:p>
            <w:pPr>
              <w:spacing w:after="0"/>
            </w:pPr>
            <w:r>
              <w:rPr>
                <w:sz w:val="18"/>
              </w:rPr>
              <w:t>Host hardening; acknowledge that host compromise defeats local guarantees.</w:t>
            </w:r>
          </w:p>
        </w:tc>
      </w:tr>
    </w:tbl>
    <w:p>
      <w:pPr>
        <w:spacing w:after="0"/>
      </w:pPr>
    </w:p>
    <w:p>
      <w:pPr>
        <w:pStyle w:val="Heading2"/>
        <w:keepNext/>
      </w:pPr>
      <w:r>
        <w:t>4.1 Identity and trust tiers</w:t>
      </w:r>
    </w:p>
    <w:p>
      <w:r>
        <w:t>Node identity, publisher identity and accountable operator identity are distinct. An Ed25519 key alone creates a stable pseudonym, not verified real-world identity. Public enrollment must therefore attach an operator name or organization, contact route and explicit verification status to the cryptographic identity.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1800"/>
            <w:shd w:fill="111820"/>
            <w:tcMar>
              <w:top w:w="110" w:type="dxa"/>
              <w:start w:w="130" w:type="dxa"/>
              <w:bottom w:w="110" w:type="dxa"/>
              <w:end w:w="130" w:type="dxa"/>
            </w:tcMar>
            <w:vAlign w:val="center"/>
          </w:tcPr>
          <w:p>
            <w:pPr>
              <w:jc w:val="left"/>
            </w:pPr>
            <w:r>
              <w:rPr>
                <w:b/>
                <w:color w:val="FFFFFF"/>
                <w:sz w:val="19"/>
              </w:rPr>
              <w:t>Tier</w:t>
            </w:r>
          </w:p>
        </w:tc>
        <w:tc>
          <w:tcPr>
            <w:tcW w:type="dxa" w:w="3672"/>
            <w:shd w:fill="111820"/>
            <w:tcMar>
              <w:top w:w="110" w:type="dxa"/>
              <w:start w:w="130" w:type="dxa"/>
              <w:bottom w:w="110" w:type="dxa"/>
              <w:end w:w="130" w:type="dxa"/>
            </w:tcMar>
            <w:vAlign w:val="center"/>
          </w:tcPr>
          <w:p>
            <w:pPr>
              <w:jc w:val="left"/>
            </w:pPr>
            <w:r>
              <w:rPr>
                <w:b/>
                <w:color w:val="FFFFFF"/>
                <w:sz w:val="19"/>
              </w:rPr>
              <w:t>Meaning</w:t>
            </w:r>
          </w:p>
        </w:tc>
        <w:tc>
          <w:tcPr>
            <w:tcW w:type="dxa" w:w="3816"/>
            <w:shd w:fill="111820"/>
            <w:tcMar>
              <w:top w:w="110" w:type="dxa"/>
              <w:start w:w="130" w:type="dxa"/>
              <w:bottom w:w="110" w:type="dxa"/>
              <w:end w:w="130" w:type="dxa"/>
            </w:tcMar>
            <w:vAlign w:val="center"/>
          </w:tcPr>
          <w:p>
            <w:pPr>
              <w:jc w:val="left"/>
            </w:pPr>
            <w:r>
              <w:rPr>
                <w:b/>
                <w:color w:val="FFFFFF"/>
                <w:sz w:val="19"/>
              </w:rPr>
              <w:t>Default replication treatment</w:t>
            </w:r>
          </w:p>
        </w:tc>
      </w:tr>
      <w:tr>
        <w:trPr>
          <w:cantSplit/>
        </w:trPr>
        <w:tc>
          <w:tcPr>
            <w:tcW w:type="dxa" w:w="1800"/>
            <w:tcMar>
              <w:top w:w="110" w:type="dxa"/>
              <w:start w:w="130" w:type="dxa"/>
              <w:bottom w:w="110" w:type="dxa"/>
              <w:end w:w="130" w:type="dxa"/>
            </w:tcMar>
            <w:vAlign w:val="center"/>
          </w:tcPr>
          <w:p>
            <w:pPr>
              <w:spacing w:after="0"/>
            </w:pPr>
            <w:r>
              <w:rPr>
                <w:sz w:val="18"/>
              </w:rPr>
              <w:t>Blocked</w:t>
            </w:r>
          </w:p>
        </w:tc>
        <w:tc>
          <w:tcPr>
            <w:tcW w:type="dxa" w:w="3672"/>
            <w:tcMar>
              <w:top w:w="110" w:type="dxa"/>
              <w:start w:w="130" w:type="dxa"/>
              <w:bottom w:w="110" w:type="dxa"/>
              <w:end w:w="130" w:type="dxa"/>
            </w:tcMar>
            <w:vAlign w:val="center"/>
          </w:tcPr>
          <w:p>
            <w:pPr>
              <w:spacing w:after="0"/>
            </w:pPr>
            <w:r>
              <w:rPr>
                <w:sz w:val="18"/>
              </w:rPr>
              <w:t>Locally prohibited publisher</w:t>
            </w:r>
          </w:p>
        </w:tc>
        <w:tc>
          <w:tcPr>
            <w:tcW w:type="dxa" w:w="3816"/>
            <w:tcMar>
              <w:top w:w="110" w:type="dxa"/>
              <w:start w:w="130" w:type="dxa"/>
              <w:bottom w:w="110" w:type="dxa"/>
              <w:end w:w="130" w:type="dxa"/>
            </w:tcMar>
            <w:vAlign w:val="center"/>
          </w:tcPr>
          <w:p>
            <w:pPr>
              <w:spacing w:after="0"/>
            </w:pPr>
            <w:r>
              <w:rPr>
                <w:sz w:val="18"/>
              </w:rPr>
              <w:t>Reject and do not advertise.</w:t>
            </w:r>
          </w:p>
        </w:tc>
      </w:tr>
      <w:tr>
        <w:trPr>
          <w:cantSplit/>
        </w:trPr>
        <w:tc>
          <w:tcPr>
            <w:tcW w:type="dxa" w:w="1800"/>
            <w:shd w:fill="F4F8F8"/>
            <w:tcMar>
              <w:top w:w="110" w:type="dxa"/>
              <w:start w:w="130" w:type="dxa"/>
              <w:bottom w:w="110" w:type="dxa"/>
              <w:end w:w="130" w:type="dxa"/>
            </w:tcMar>
            <w:vAlign w:val="center"/>
          </w:tcPr>
          <w:p>
            <w:pPr>
              <w:spacing w:after="0"/>
            </w:pPr>
            <w:r>
              <w:rPr>
                <w:sz w:val="18"/>
              </w:rPr>
              <w:t>Unrecognized</w:t>
            </w:r>
          </w:p>
        </w:tc>
        <w:tc>
          <w:tcPr>
            <w:tcW w:type="dxa" w:w="3672"/>
            <w:shd w:fill="F4F8F8"/>
            <w:tcMar>
              <w:top w:w="110" w:type="dxa"/>
              <w:start w:w="130" w:type="dxa"/>
              <w:bottom w:w="110" w:type="dxa"/>
              <w:end w:w="130" w:type="dxa"/>
            </w:tcMar>
            <w:vAlign w:val="center"/>
          </w:tcPr>
          <w:p>
            <w:pPr>
              <w:spacing w:after="0"/>
            </w:pPr>
            <w:r>
              <w:rPr>
                <w:sz w:val="18"/>
              </w:rPr>
              <w:t>Valid signature without operator approval</w:t>
            </w:r>
          </w:p>
        </w:tc>
        <w:tc>
          <w:tcPr>
            <w:tcW w:type="dxa" w:w="3816"/>
            <w:shd w:fill="F4F8F8"/>
            <w:tcMar>
              <w:top w:w="110" w:type="dxa"/>
              <w:start w:w="130" w:type="dxa"/>
              <w:bottom w:w="110" w:type="dxa"/>
              <w:end w:w="130" w:type="dxa"/>
            </w:tcMar>
            <w:vAlign w:val="center"/>
          </w:tcPr>
          <w:p>
            <w:pPr>
              <w:spacing w:after="0"/>
            </w:pPr>
            <w:r>
              <w:rPr>
                <w:sz w:val="18"/>
              </w:rPr>
              <w:t>Do not replicate automatically.</w:t>
            </w:r>
          </w:p>
        </w:tc>
      </w:tr>
      <w:tr>
        <w:trPr>
          <w:cantSplit/>
        </w:trPr>
        <w:tc>
          <w:tcPr>
            <w:tcW w:type="dxa" w:w="1800"/>
            <w:tcMar>
              <w:top w:w="110" w:type="dxa"/>
              <w:start w:w="130" w:type="dxa"/>
              <w:bottom w:w="110" w:type="dxa"/>
              <w:end w:w="130" w:type="dxa"/>
            </w:tcMar>
            <w:vAlign w:val="center"/>
          </w:tcPr>
          <w:p>
            <w:pPr>
              <w:spacing w:after="0"/>
            </w:pPr>
            <w:r>
              <w:rPr>
                <w:sz w:val="18"/>
              </w:rPr>
              <w:t>Enrolled</w:t>
            </w:r>
          </w:p>
        </w:tc>
        <w:tc>
          <w:tcPr>
            <w:tcW w:type="dxa" w:w="3672"/>
            <w:tcMar>
              <w:top w:w="110" w:type="dxa"/>
              <w:start w:w="130" w:type="dxa"/>
              <w:bottom w:w="110" w:type="dxa"/>
              <w:end w:w="130" w:type="dxa"/>
            </w:tcMar>
            <w:vAlign w:val="center"/>
          </w:tcPr>
          <w:p>
            <w:pPr>
              <w:spacing w:after="0"/>
            </w:pPr>
            <w:r>
              <w:rPr>
                <w:sz w:val="18"/>
              </w:rPr>
              <w:t>Accountable publisher record approved locally</w:t>
            </w:r>
          </w:p>
        </w:tc>
        <w:tc>
          <w:tcPr>
            <w:tcW w:type="dxa" w:w="3816"/>
            <w:tcMar>
              <w:top w:w="110" w:type="dxa"/>
              <w:start w:w="130" w:type="dxa"/>
              <w:bottom w:w="110" w:type="dxa"/>
              <w:end w:w="130" w:type="dxa"/>
            </w:tcMar>
            <w:vAlign w:val="center"/>
          </w:tcPr>
          <w:p>
            <w:pPr>
              <w:spacing w:after="0"/>
            </w:pPr>
            <w:r>
              <w:rPr>
                <w:sz w:val="18"/>
              </w:rPr>
              <w:t>Eligible under local content policy.</w:t>
            </w:r>
          </w:p>
        </w:tc>
      </w:tr>
      <w:tr>
        <w:trPr>
          <w:cantSplit/>
        </w:trPr>
        <w:tc>
          <w:tcPr>
            <w:tcW w:type="dxa" w:w="1800"/>
            <w:shd w:fill="F4F8F8"/>
            <w:tcMar>
              <w:top w:w="110" w:type="dxa"/>
              <w:start w:w="130" w:type="dxa"/>
              <w:bottom w:w="110" w:type="dxa"/>
              <w:end w:w="130" w:type="dxa"/>
            </w:tcMar>
            <w:vAlign w:val="center"/>
          </w:tcPr>
          <w:p>
            <w:pPr>
              <w:spacing w:after="0"/>
            </w:pPr>
            <w:r>
              <w:rPr>
                <w:sz w:val="18"/>
              </w:rPr>
              <w:t>Endorsed</w:t>
            </w:r>
          </w:p>
        </w:tc>
        <w:tc>
          <w:tcPr>
            <w:tcW w:type="dxa" w:w="3672"/>
            <w:shd w:fill="F4F8F8"/>
            <w:tcMar>
              <w:top w:w="110" w:type="dxa"/>
              <w:start w:w="130" w:type="dxa"/>
              <w:bottom w:w="110" w:type="dxa"/>
              <w:end w:w="130" w:type="dxa"/>
            </w:tcMar>
            <w:vAlign w:val="center"/>
          </w:tcPr>
          <w:p>
            <w:pPr>
              <w:spacing w:after="0"/>
            </w:pPr>
            <w:r>
              <w:rPr>
                <w:sz w:val="18"/>
              </w:rPr>
              <w:t>Approved for a defined role or information domain</w:t>
            </w:r>
          </w:p>
        </w:tc>
        <w:tc>
          <w:tcPr>
            <w:tcW w:type="dxa" w:w="3816"/>
            <w:shd w:fill="F4F8F8"/>
            <w:tcMar>
              <w:top w:w="110" w:type="dxa"/>
              <w:start w:w="130" w:type="dxa"/>
              <w:bottom w:w="110" w:type="dxa"/>
              <w:end w:w="130" w:type="dxa"/>
            </w:tcMar>
            <w:vAlign w:val="center"/>
          </w:tcPr>
          <w:p>
            <w:pPr>
              <w:spacing w:after="0"/>
            </w:pPr>
            <w:r>
              <w:rPr>
                <w:sz w:val="18"/>
              </w:rPr>
              <w:t>Display endorsement and its exact scope.</w:t>
            </w:r>
          </w:p>
        </w:tc>
      </w:tr>
    </w:tbl>
    <w:p>
      <w:pPr>
        <w:spacing w:after="0"/>
      </w:pPr>
    </w:p>
    <w:p>
      <w:pPr>
        <w:pStyle w:val="Heading1"/>
        <w:keepNext/>
      </w:pPr>
      <w:r>
        <w:t>5 HearthPack data model</w:t>
      </w:r>
    </w:p>
    <w:p>
      <w:r>
        <w:t>A HearthPack is an immutable signed manifest plus the immutable blobs referenced by that manifest. The pack identifier is derived from canonical manifest bytes; a blob identifier is derived from the exact blob bytes.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520"/>
            <w:shd w:fill="111820"/>
            <w:tcMar>
              <w:top w:w="110" w:type="dxa"/>
              <w:start w:w="130" w:type="dxa"/>
              <w:bottom w:w="110" w:type="dxa"/>
              <w:end w:w="130" w:type="dxa"/>
            </w:tcMar>
            <w:vAlign w:val="center"/>
          </w:tcPr>
          <w:p>
            <w:pPr>
              <w:jc w:val="left"/>
            </w:pPr>
            <w:r>
              <w:rPr>
                <w:b/>
                <w:color w:val="FFFFFF"/>
                <w:sz w:val="19"/>
              </w:rPr>
              <w:t>Element</w:t>
            </w:r>
          </w:p>
        </w:tc>
        <w:tc>
          <w:tcPr>
            <w:tcW w:type="dxa" w:w="6696"/>
            <w:shd w:fill="111820"/>
            <w:tcMar>
              <w:top w:w="110" w:type="dxa"/>
              <w:start w:w="130" w:type="dxa"/>
              <w:bottom w:w="110" w:type="dxa"/>
              <w:end w:w="130" w:type="dxa"/>
            </w:tcMar>
            <w:vAlign w:val="center"/>
          </w:tcPr>
          <w:p>
            <w:pPr>
              <w:jc w:val="left"/>
            </w:pPr>
            <w:r>
              <w:rPr>
                <w:b/>
                <w:color w:val="FFFFFF"/>
                <w:sz w:val="19"/>
              </w:rPr>
              <w:t>Required content</w:t>
            </w:r>
          </w:p>
        </w:tc>
      </w:tr>
      <w:tr>
        <w:trPr>
          <w:cantSplit/>
        </w:trPr>
        <w:tc>
          <w:tcPr>
            <w:tcW w:type="dxa" w:w="2520"/>
            <w:tcMar>
              <w:top w:w="110" w:type="dxa"/>
              <w:start w:w="130" w:type="dxa"/>
              <w:bottom w:w="110" w:type="dxa"/>
              <w:end w:w="130" w:type="dxa"/>
            </w:tcMar>
            <w:vAlign w:val="center"/>
          </w:tcPr>
          <w:p>
            <w:pPr>
              <w:spacing w:after="0"/>
            </w:pPr>
            <w:r>
              <w:rPr>
                <w:sz w:val="18"/>
              </w:rPr>
              <w:t>Protocol metadata</w:t>
            </w:r>
          </w:p>
        </w:tc>
        <w:tc>
          <w:tcPr>
            <w:tcW w:type="dxa" w:w="6696"/>
            <w:tcMar>
              <w:top w:w="110" w:type="dxa"/>
              <w:start w:w="130" w:type="dxa"/>
              <w:bottom w:w="110" w:type="dxa"/>
              <w:end w:w="130" w:type="dxa"/>
            </w:tcMar>
            <w:vAlign w:val="center"/>
          </w:tcPr>
          <w:p>
            <w:pPr>
              <w:spacing w:after="0"/>
            </w:pPr>
            <w:r>
              <w:rPr>
                <w:sz w:val="18"/>
              </w:rPr>
              <w:t>Protocol version, manifest schema version and algorithm identifiers.</w:t>
            </w:r>
          </w:p>
        </w:tc>
      </w:tr>
      <w:tr>
        <w:trPr>
          <w:cantSplit/>
        </w:trPr>
        <w:tc>
          <w:tcPr>
            <w:tcW w:type="dxa" w:w="2520"/>
            <w:shd w:fill="F4F8F8"/>
            <w:tcMar>
              <w:top w:w="110" w:type="dxa"/>
              <w:start w:w="130" w:type="dxa"/>
              <w:bottom w:w="110" w:type="dxa"/>
              <w:end w:w="130" w:type="dxa"/>
            </w:tcMar>
            <w:vAlign w:val="center"/>
          </w:tcPr>
          <w:p>
            <w:pPr>
              <w:spacing w:after="0"/>
            </w:pPr>
            <w:r>
              <w:rPr>
                <w:sz w:val="18"/>
              </w:rPr>
              <w:t>Publisher</w:t>
            </w:r>
          </w:p>
        </w:tc>
        <w:tc>
          <w:tcPr>
            <w:tcW w:type="dxa" w:w="6696"/>
            <w:shd w:fill="F4F8F8"/>
            <w:tcMar>
              <w:top w:w="110" w:type="dxa"/>
              <w:start w:w="130" w:type="dxa"/>
              <w:bottom w:w="110" w:type="dxa"/>
              <w:end w:w="130" w:type="dxa"/>
            </w:tcMar>
            <w:vAlign w:val="center"/>
          </w:tcPr>
          <w:p>
            <w:pPr>
              <w:spacing w:after="0"/>
            </w:pPr>
            <w:r>
              <w:rPr>
                <w:sz w:val="18"/>
              </w:rPr>
              <w:t>Publisher identifier, public-key reference and signature envelope.</w:t>
            </w:r>
          </w:p>
        </w:tc>
      </w:tr>
      <w:tr>
        <w:trPr>
          <w:cantSplit/>
        </w:trPr>
        <w:tc>
          <w:tcPr>
            <w:tcW w:type="dxa" w:w="2520"/>
            <w:tcMar>
              <w:top w:w="110" w:type="dxa"/>
              <w:start w:w="130" w:type="dxa"/>
              <w:bottom w:w="110" w:type="dxa"/>
              <w:end w:w="130" w:type="dxa"/>
            </w:tcMar>
            <w:vAlign w:val="center"/>
          </w:tcPr>
          <w:p>
            <w:pPr>
              <w:spacing w:after="0"/>
            </w:pPr>
            <w:r>
              <w:rPr>
                <w:sz w:val="18"/>
              </w:rPr>
              <w:t>Publication identity</w:t>
            </w:r>
          </w:p>
        </w:tc>
        <w:tc>
          <w:tcPr>
            <w:tcW w:type="dxa" w:w="6696"/>
            <w:tcMar>
              <w:top w:w="110" w:type="dxa"/>
              <w:start w:w="130" w:type="dxa"/>
              <w:bottom w:w="110" w:type="dxa"/>
              <w:end w:w="130" w:type="dxa"/>
            </w:tcMar>
            <w:vAlign w:val="center"/>
          </w:tcPr>
          <w:p>
            <w:pPr>
              <w:spacing w:after="0"/>
            </w:pPr>
            <w:r>
              <w:rPr>
                <w:sz w:val="18"/>
              </w:rPr>
              <w:t>Logical publication ID, revision and optional predecessor manifest digest.</w:t>
            </w:r>
          </w:p>
        </w:tc>
      </w:tr>
      <w:tr>
        <w:trPr>
          <w:cantSplit/>
        </w:trPr>
        <w:tc>
          <w:tcPr>
            <w:tcW w:type="dxa" w:w="2520"/>
            <w:shd w:fill="F4F8F8"/>
            <w:tcMar>
              <w:top w:w="110" w:type="dxa"/>
              <w:start w:w="130" w:type="dxa"/>
              <w:bottom w:w="110" w:type="dxa"/>
              <w:end w:w="130" w:type="dxa"/>
            </w:tcMar>
            <w:vAlign w:val="center"/>
          </w:tcPr>
          <w:p>
            <w:pPr>
              <w:spacing w:after="0"/>
            </w:pPr>
            <w:r>
              <w:rPr>
                <w:sz w:val="18"/>
              </w:rPr>
              <w:t>Descriptive metadata</w:t>
            </w:r>
          </w:p>
        </w:tc>
        <w:tc>
          <w:tcPr>
            <w:tcW w:type="dxa" w:w="6696"/>
            <w:shd w:fill="F4F8F8"/>
            <w:tcMar>
              <w:top w:w="110" w:type="dxa"/>
              <w:start w:w="130" w:type="dxa"/>
              <w:bottom w:w="110" w:type="dxa"/>
              <w:end w:w="130" w:type="dxa"/>
            </w:tcMar>
            <w:vAlign w:val="center"/>
          </w:tcPr>
          <w:p>
            <w:pPr>
              <w:spacing w:after="0"/>
            </w:pPr>
            <w:r>
              <w:rPr>
                <w:sz w:val="18"/>
              </w:rPr>
              <w:t>Title, summary, language, topic tags, geography, license and review-by date.</w:t>
            </w:r>
          </w:p>
        </w:tc>
      </w:tr>
      <w:tr>
        <w:trPr>
          <w:cantSplit/>
        </w:trPr>
        <w:tc>
          <w:tcPr>
            <w:tcW w:type="dxa" w:w="2520"/>
            <w:tcMar>
              <w:top w:w="110" w:type="dxa"/>
              <w:start w:w="130" w:type="dxa"/>
              <w:bottom w:w="110" w:type="dxa"/>
              <w:end w:w="130" w:type="dxa"/>
            </w:tcMar>
            <w:vAlign w:val="center"/>
          </w:tcPr>
          <w:p>
            <w:pPr>
              <w:spacing w:after="0"/>
            </w:pPr>
            <w:r>
              <w:rPr>
                <w:sz w:val="18"/>
              </w:rPr>
              <w:t>Entries</w:t>
            </w:r>
          </w:p>
        </w:tc>
        <w:tc>
          <w:tcPr>
            <w:tcW w:type="dxa" w:w="6696"/>
            <w:tcMar>
              <w:top w:w="110" w:type="dxa"/>
              <w:start w:w="130" w:type="dxa"/>
              <w:bottom w:w="110" w:type="dxa"/>
              <w:end w:w="130" w:type="dxa"/>
            </w:tcMar>
            <w:vAlign w:val="center"/>
          </w:tcPr>
          <w:p>
            <w:pPr>
              <w:spacing w:after="0"/>
            </w:pPr>
            <w:r>
              <w:rPr>
                <w:sz w:val="18"/>
              </w:rPr>
              <w:t>Normalized path, media type, byte size and SHA-256 digest for every file.</w:t>
            </w:r>
          </w:p>
        </w:tc>
      </w:tr>
      <w:tr>
        <w:trPr>
          <w:cantSplit/>
        </w:trPr>
        <w:tc>
          <w:tcPr>
            <w:tcW w:type="dxa" w:w="2520"/>
            <w:shd w:fill="F4F8F8"/>
            <w:tcMar>
              <w:top w:w="110" w:type="dxa"/>
              <w:start w:w="130" w:type="dxa"/>
              <w:bottom w:w="110" w:type="dxa"/>
              <w:end w:w="130" w:type="dxa"/>
            </w:tcMar>
            <w:vAlign w:val="center"/>
          </w:tcPr>
          <w:p>
            <w:pPr>
              <w:spacing w:after="0"/>
            </w:pPr>
            <w:r>
              <w:rPr>
                <w:sz w:val="18"/>
              </w:rPr>
              <w:t>Classification</w:t>
            </w:r>
          </w:p>
        </w:tc>
        <w:tc>
          <w:tcPr>
            <w:tcW w:type="dxa" w:w="6696"/>
            <w:shd w:fill="F4F8F8"/>
            <w:tcMar>
              <w:top w:w="110" w:type="dxa"/>
              <w:start w:w="130" w:type="dxa"/>
              <w:bottom w:w="110" w:type="dxa"/>
              <w:end w:w="130" w:type="dxa"/>
            </w:tcMar>
            <w:vAlign w:val="center"/>
          </w:tcPr>
          <w:p>
            <w:pPr>
              <w:spacing w:after="0"/>
            </w:pPr>
            <w:r>
              <w:rPr>
                <w:sz w:val="18"/>
              </w:rPr>
              <w:t>Public in MVP; private classifications are rejected until private cells exist.</w:t>
            </w:r>
          </w:p>
        </w:tc>
      </w:tr>
    </w:tbl>
    <w:p>
      <w:pPr>
        <w:spacing w:after="0"/>
      </w:pPr>
    </w:p>
    <w:p>
      <w:r>
        <w:t>Protocol version 1 must freeze canonical encoding and signature inputs before interoperability is claimed. Ordinary JSON map serialization is not sufficient unless field ordering, whitespace, duplicate-field handling and numeric representations are specified and tested.</w:t>
      </w:r>
    </w:p>
    <w:p>
      <w:pPr/>
      <w:r>
        <w:rPr>
          <w:rFonts w:ascii="Courier New" w:hAnsi="Courier New"/>
          <w:sz w:val="20"/>
        </w:rPr>
        <w:t>blob_id = SHA-256(blob bytes)</w:t>
        <w:br/>
        <w:t>pack_id = SHA-256(canonical manifest bytes)</w:t>
      </w:r>
    </w:p>
    <w:p>
      <w:pPr>
        <w:pStyle w:val="Heading1"/>
        <w:keepNext/>
      </w:pPr>
      <w:r>
        <w:t>6 Networking and interfaces</w:t>
      </w:r>
    </w:p>
    <w:p>
      <w:r>
        <w:t>The MVP uses direct, explicitly configured peer addresses and periodic pull replication. The target design should use TLS 1.3 mutual authentication with peer identities pinned to expected node keys. Bootstrap peers provide initial addresses; they are not authorities.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592"/>
            <w:shd w:fill="111820"/>
            <w:tcMar>
              <w:top w:w="110" w:type="dxa"/>
              <w:start w:w="130" w:type="dxa"/>
              <w:bottom w:w="110" w:type="dxa"/>
              <w:end w:w="130" w:type="dxa"/>
            </w:tcMar>
            <w:vAlign w:val="center"/>
          </w:tcPr>
          <w:p>
            <w:pPr>
              <w:jc w:val="left"/>
            </w:pPr>
            <w:r>
              <w:rPr>
                <w:b/>
                <w:color w:val="FFFFFF"/>
                <w:sz w:val="19"/>
              </w:rPr>
              <w:t>Interface</w:t>
            </w:r>
          </w:p>
        </w:tc>
        <w:tc>
          <w:tcPr>
            <w:tcW w:type="dxa" w:w="4320"/>
            <w:shd w:fill="111820"/>
            <w:tcMar>
              <w:top w:w="110" w:type="dxa"/>
              <w:start w:w="130" w:type="dxa"/>
              <w:bottom w:w="110" w:type="dxa"/>
              <w:end w:w="130" w:type="dxa"/>
            </w:tcMar>
            <w:vAlign w:val="center"/>
          </w:tcPr>
          <w:p>
            <w:pPr>
              <w:jc w:val="left"/>
            </w:pPr>
            <w:r>
              <w:rPr>
                <w:b/>
                <w:color w:val="FFFFFF"/>
                <w:sz w:val="19"/>
              </w:rPr>
              <w:t>Purpose</w:t>
            </w:r>
          </w:p>
        </w:tc>
        <w:tc>
          <w:tcPr>
            <w:tcW w:type="dxa" w:w="2304"/>
            <w:shd w:fill="111820"/>
            <w:tcMar>
              <w:top w:w="110" w:type="dxa"/>
              <w:start w:w="130" w:type="dxa"/>
              <w:bottom w:w="110" w:type="dxa"/>
              <w:end w:w="130" w:type="dxa"/>
            </w:tcMar>
            <w:vAlign w:val="center"/>
          </w:tcPr>
          <w:p>
            <w:pPr>
              <w:jc w:val="left"/>
            </w:pPr>
            <w:r>
              <w:rPr>
                <w:b/>
                <w:color w:val="FFFFFF"/>
                <w:sz w:val="19"/>
              </w:rPr>
              <w:t>Exposure</w:t>
            </w:r>
          </w:p>
        </w:tc>
      </w:tr>
      <w:tr>
        <w:trPr>
          <w:cantSplit/>
        </w:trPr>
        <w:tc>
          <w:tcPr>
            <w:tcW w:type="dxa" w:w="2592"/>
            <w:tcMar>
              <w:top w:w="110" w:type="dxa"/>
              <w:start w:w="130" w:type="dxa"/>
              <w:bottom w:w="110" w:type="dxa"/>
              <w:end w:w="130" w:type="dxa"/>
            </w:tcMar>
            <w:vAlign w:val="center"/>
          </w:tcPr>
          <w:p>
            <w:pPr>
              <w:spacing w:after="0"/>
            </w:pPr>
            <w:r>
              <w:rPr>
                <w:sz w:val="18"/>
              </w:rPr>
              <w:t>GET /v1/node</w:t>
            </w:r>
          </w:p>
        </w:tc>
        <w:tc>
          <w:tcPr>
            <w:tcW w:type="dxa" w:w="4320"/>
            <w:tcMar>
              <w:top w:w="110" w:type="dxa"/>
              <w:start w:w="130" w:type="dxa"/>
              <w:bottom w:w="110" w:type="dxa"/>
              <w:end w:w="130" w:type="dxa"/>
            </w:tcMar>
            <w:vAlign w:val="center"/>
          </w:tcPr>
          <w:p>
            <w:pPr>
              <w:spacing w:after="0"/>
            </w:pPr>
            <w:r>
              <w:rPr>
                <w:sz w:val="18"/>
              </w:rPr>
              <w:t>Signed node descriptor and protocol capabilities</w:t>
            </w:r>
          </w:p>
        </w:tc>
        <w:tc>
          <w:tcPr>
            <w:tcW w:type="dxa" w:w="2304"/>
            <w:tcMar>
              <w:top w:w="110" w:type="dxa"/>
              <w:start w:w="130" w:type="dxa"/>
              <w:bottom w:w="110" w:type="dxa"/>
              <w:end w:w="130" w:type="dxa"/>
            </w:tcMar>
            <w:vAlign w:val="center"/>
          </w:tcPr>
          <w:p>
            <w:pPr>
              <w:spacing w:after="0"/>
            </w:pPr>
            <w:r>
              <w:rPr>
                <w:sz w:val="18"/>
              </w:rPr>
              <w:t>Approved peers</w:t>
            </w:r>
          </w:p>
        </w:tc>
      </w:tr>
      <w:tr>
        <w:trPr>
          <w:cantSplit/>
        </w:trPr>
        <w:tc>
          <w:tcPr>
            <w:tcW w:type="dxa" w:w="2592"/>
            <w:shd w:fill="F4F8F8"/>
            <w:tcMar>
              <w:top w:w="110" w:type="dxa"/>
              <w:start w:w="130" w:type="dxa"/>
              <w:bottom w:w="110" w:type="dxa"/>
              <w:end w:w="130" w:type="dxa"/>
            </w:tcMar>
            <w:vAlign w:val="center"/>
          </w:tcPr>
          <w:p>
            <w:pPr>
              <w:spacing w:after="0"/>
            </w:pPr>
            <w:r>
              <w:rPr>
                <w:sz w:val="18"/>
              </w:rPr>
              <w:t>GET /v1/inventory</w:t>
            </w:r>
          </w:p>
        </w:tc>
        <w:tc>
          <w:tcPr>
            <w:tcW w:type="dxa" w:w="4320"/>
            <w:shd w:fill="F4F8F8"/>
            <w:tcMar>
              <w:top w:w="110" w:type="dxa"/>
              <w:start w:w="130" w:type="dxa"/>
              <w:bottom w:w="110" w:type="dxa"/>
              <w:end w:w="130" w:type="dxa"/>
            </w:tcMar>
            <w:vAlign w:val="center"/>
          </w:tcPr>
          <w:p>
            <w:pPr>
              <w:spacing w:after="0"/>
            </w:pPr>
            <w:r>
              <w:rPr>
                <w:sz w:val="18"/>
              </w:rPr>
              <w:t>Bounded pages of complete shareable pack IDs</w:t>
            </w:r>
          </w:p>
        </w:tc>
        <w:tc>
          <w:tcPr>
            <w:tcW w:type="dxa" w:w="2304"/>
            <w:shd w:fill="F4F8F8"/>
            <w:tcMar>
              <w:top w:w="110" w:type="dxa"/>
              <w:start w:w="130" w:type="dxa"/>
              <w:bottom w:w="110" w:type="dxa"/>
              <w:end w:w="130" w:type="dxa"/>
            </w:tcMar>
            <w:vAlign w:val="center"/>
          </w:tcPr>
          <w:p>
            <w:pPr>
              <w:spacing w:after="0"/>
            </w:pPr>
            <w:r>
              <w:rPr>
                <w:sz w:val="18"/>
              </w:rPr>
              <w:t>Approved peers</w:t>
            </w:r>
          </w:p>
        </w:tc>
      </w:tr>
      <w:tr>
        <w:trPr>
          <w:cantSplit/>
        </w:trPr>
        <w:tc>
          <w:tcPr>
            <w:tcW w:type="dxa" w:w="2592"/>
            <w:tcMar>
              <w:top w:w="110" w:type="dxa"/>
              <w:start w:w="130" w:type="dxa"/>
              <w:bottom w:w="110" w:type="dxa"/>
              <w:end w:w="130" w:type="dxa"/>
            </w:tcMar>
            <w:vAlign w:val="center"/>
          </w:tcPr>
          <w:p>
            <w:pPr>
              <w:spacing w:after="0"/>
            </w:pPr>
            <w:r>
              <w:rPr>
                <w:sz w:val="18"/>
              </w:rPr>
              <w:t>GET /v1/manifests/{pack_id}</w:t>
            </w:r>
          </w:p>
        </w:tc>
        <w:tc>
          <w:tcPr>
            <w:tcW w:type="dxa" w:w="4320"/>
            <w:tcMar>
              <w:top w:w="110" w:type="dxa"/>
              <w:start w:w="130" w:type="dxa"/>
              <w:bottom w:w="110" w:type="dxa"/>
              <w:end w:w="130" w:type="dxa"/>
            </w:tcMar>
            <w:vAlign w:val="center"/>
          </w:tcPr>
          <w:p>
            <w:pPr>
              <w:spacing w:after="0"/>
            </w:pPr>
            <w:r>
              <w:rPr>
                <w:sz w:val="18"/>
              </w:rPr>
              <w:t>Signed manifest envelope</w:t>
            </w:r>
          </w:p>
        </w:tc>
        <w:tc>
          <w:tcPr>
            <w:tcW w:type="dxa" w:w="2304"/>
            <w:tcMar>
              <w:top w:w="110" w:type="dxa"/>
              <w:start w:w="130" w:type="dxa"/>
              <w:bottom w:w="110" w:type="dxa"/>
              <w:end w:w="130" w:type="dxa"/>
            </w:tcMar>
            <w:vAlign w:val="center"/>
          </w:tcPr>
          <w:p>
            <w:pPr>
              <w:spacing w:after="0"/>
            </w:pPr>
            <w:r>
              <w:rPr>
                <w:sz w:val="18"/>
              </w:rPr>
              <w:t>Approved peers</w:t>
            </w:r>
          </w:p>
        </w:tc>
      </w:tr>
      <w:tr>
        <w:trPr>
          <w:cantSplit/>
        </w:trPr>
        <w:tc>
          <w:tcPr>
            <w:tcW w:type="dxa" w:w="2592"/>
            <w:shd w:fill="F4F8F8"/>
            <w:tcMar>
              <w:top w:w="110" w:type="dxa"/>
              <w:start w:w="130" w:type="dxa"/>
              <w:bottom w:w="110" w:type="dxa"/>
              <w:end w:w="130" w:type="dxa"/>
            </w:tcMar>
            <w:vAlign w:val="center"/>
          </w:tcPr>
          <w:p>
            <w:pPr>
              <w:spacing w:after="0"/>
            </w:pPr>
            <w:r>
              <w:rPr>
                <w:sz w:val="18"/>
              </w:rPr>
              <w:t>GET /v1/blobs/{blob_id}</w:t>
            </w:r>
          </w:p>
        </w:tc>
        <w:tc>
          <w:tcPr>
            <w:tcW w:type="dxa" w:w="4320"/>
            <w:shd w:fill="F4F8F8"/>
            <w:tcMar>
              <w:top w:w="110" w:type="dxa"/>
              <w:start w:w="130" w:type="dxa"/>
              <w:bottom w:w="110" w:type="dxa"/>
              <w:end w:w="130" w:type="dxa"/>
            </w:tcMar>
            <w:vAlign w:val="center"/>
          </w:tcPr>
          <w:p>
            <w:pPr>
              <w:spacing w:after="0"/>
            </w:pPr>
            <w:r>
              <w:rPr>
                <w:sz w:val="18"/>
              </w:rPr>
              <w:t>Verified immutable blob bytes</w:t>
            </w:r>
          </w:p>
        </w:tc>
        <w:tc>
          <w:tcPr>
            <w:tcW w:type="dxa" w:w="2304"/>
            <w:shd w:fill="F4F8F8"/>
            <w:tcMar>
              <w:top w:w="110" w:type="dxa"/>
              <w:start w:w="130" w:type="dxa"/>
              <w:bottom w:w="110" w:type="dxa"/>
              <w:end w:w="130" w:type="dxa"/>
            </w:tcMar>
            <w:vAlign w:val="center"/>
          </w:tcPr>
          <w:p>
            <w:pPr>
              <w:spacing w:after="0"/>
            </w:pPr>
            <w:r>
              <w:rPr>
                <w:sz w:val="18"/>
              </w:rPr>
              <w:t>Approved peers</w:t>
            </w:r>
          </w:p>
        </w:tc>
      </w:tr>
      <w:tr>
        <w:trPr>
          <w:cantSplit/>
        </w:trPr>
        <w:tc>
          <w:tcPr>
            <w:tcW w:type="dxa" w:w="2592"/>
            <w:tcMar>
              <w:top w:w="110" w:type="dxa"/>
              <w:start w:w="130" w:type="dxa"/>
              <w:bottom w:w="110" w:type="dxa"/>
              <w:end w:w="130" w:type="dxa"/>
            </w:tcMar>
            <w:vAlign w:val="center"/>
          </w:tcPr>
          <w:p>
            <w:pPr>
              <w:spacing w:after="0"/>
            </w:pPr>
            <w:r>
              <w:rPr>
                <w:sz w:val="18"/>
              </w:rPr>
              <w:t>Local portal</w:t>
            </w:r>
          </w:p>
        </w:tc>
        <w:tc>
          <w:tcPr>
            <w:tcW w:type="dxa" w:w="4320"/>
            <w:tcMar>
              <w:top w:w="110" w:type="dxa"/>
              <w:start w:w="130" w:type="dxa"/>
              <w:bottom w:w="110" w:type="dxa"/>
              <w:end w:w="130" w:type="dxa"/>
            </w:tcMar>
            <w:vAlign w:val="center"/>
          </w:tcPr>
          <w:p>
            <w:pPr>
              <w:spacing w:after="0"/>
            </w:pPr>
            <w:r>
              <w:rPr>
                <w:sz w:val="18"/>
              </w:rPr>
              <w:t>Browse, verify and download installed public material</w:t>
            </w:r>
          </w:p>
        </w:tc>
        <w:tc>
          <w:tcPr>
            <w:tcW w:type="dxa" w:w="2304"/>
            <w:tcMar>
              <w:top w:w="110" w:type="dxa"/>
              <w:start w:w="130" w:type="dxa"/>
              <w:bottom w:w="110" w:type="dxa"/>
              <w:end w:w="130" w:type="dxa"/>
            </w:tcMar>
            <w:vAlign w:val="center"/>
          </w:tcPr>
          <w:p>
            <w:pPr>
              <w:spacing w:after="0"/>
            </w:pPr>
            <w:r>
              <w:rPr>
                <w:sz w:val="18"/>
              </w:rPr>
              <w:t>Local network by policy</w:t>
            </w:r>
          </w:p>
        </w:tc>
      </w:tr>
      <w:tr>
        <w:trPr>
          <w:cantSplit/>
        </w:trPr>
        <w:tc>
          <w:tcPr>
            <w:tcW w:type="dxa" w:w="2592"/>
            <w:shd w:fill="F4F8F8"/>
            <w:tcMar>
              <w:top w:w="110" w:type="dxa"/>
              <w:start w:w="130" w:type="dxa"/>
              <w:bottom w:w="110" w:type="dxa"/>
              <w:end w:w="130" w:type="dxa"/>
            </w:tcMar>
            <w:vAlign w:val="center"/>
          </w:tcPr>
          <w:p>
            <w:pPr>
              <w:spacing w:after="0"/>
            </w:pPr>
            <w:r>
              <w:rPr>
                <w:sz w:val="18"/>
              </w:rPr>
              <w:t>Administrative API</w:t>
            </w:r>
          </w:p>
        </w:tc>
        <w:tc>
          <w:tcPr>
            <w:tcW w:type="dxa" w:w="4320"/>
            <w:shd w:fill="F4F8F8"/>
            <w:tcMar>
              <w:top w:w="110" w:type="dxa"/>
              <w:start w:w="130" w:type="dxa"/>
              <w:bottom w:w="110" w:type="dxa"/>
              <w:end w:w="130" w:type="dxa"/>
            </w:tcMar>
            <w:vAlign w:val="center"/>
          </w:tcPr>
          <w:p>
            <w:pPr>
              <w:spacing w:after="0"/>
            </w:pPr>
            <w:r>
              <w:rPr>
                <w:sz w:val="18"/>
              </w:rPr>
              <w:t>Publish, trust, retention and maintenance actions</w:t>
            </w:r>
          </w:p>
        </w:tc>
        <w:tc>
          <w:tcPr>
            <w:tcW w:type="dxa" w:w="2304"/>
            <w:shd w:fill="F4F8F8"/>
            <w:tcMar>
              <w:top w:w="110" w:type="dxa"/>
              <w:start w:w="130" w:type="dxa"/>
              <w:bottom w:w="110" w:type="dxa"/>
              <w:end w:w="130" w:type="dxa"/>
            </w:tcMar>
            <w:vAlign w:val="center"/>
          </w:tcPr>
          <w:p>
            <w:pPr>
              <w:spacing w:after="0"/>
            </w:pPr>
            <w:r>
              <w:rPr>
                <w:sz w:val="18"/>
              </w:rPr>
              <w:t>Local host only</w:t>
            </w:r>
          </w:p>
        </w:tc>
      </w:tr>
    </w:tbl>
    <w:p>
      <w:pPr>
        <w:spacing w:after="0"/>
      </w:pPr>
    </w:p>
    <w:p>
      <w:r>
        <w:t>The target protocol requires bounded response sizes, timeouts, concurrency limits, retry backoff and jitter. Nodes must never dial arbitrary endpoints embedded in a manifest or automatically admit transitively advertised peers.</w:t>
      </w:r>
    </w:p>
    <w:p>
      <w:pPr>
        <w:pStyle w:val="Heading1"/>
        <w:keepNext/>
      </w:pPr>
      <w:r>
        <w:t>7 Core system flows</w:t>
      </w:r>
    </w:p>
    <w:p>
      <w:pPr>
        <w:pStyle w:val="Heading2"/>
        <w:keepNext/>
      </w:pPr>
      <w:r>
        <w:t>7.1 Publish</w:t>
      </w:r>
    </w:p>
    <w:p>
      <w:pPr>
        <w:ind w:left="403" w:hanging="403"/>
      </w:pPr>
      <w:r>
        <w:rPr>
          <w:b/>
        </w:rPr>
        <w:t>1.</w:t>
      </w:r>
      <w:r>
        <w:t xml:space="preserve">  The local operator selects files and publication metadata.</w:t>
      </w:r>
    </w:p>
    <w:p>
      <w:pPr>
        <w:ind w:left="403" w:hanging="403"/>
      </w:pPr>
      <w:r>
        <w:rPr>
          <w:b/>
        </w:rPr>
        <w:t>2.</w:t>
      </w:r>
      <w:r>
        <w:t xml:space="preserve">  Publisher tooling validates paths, sizes and allowed media types.</w:t>
      </w:r>
    </w:p>
    <w:p>
      <w:pPr>
        <w:ind w:left="403" w:hanging="403"/>
      </w:pPr>
      <w:r>
        <w:rPr>
          <w:b/>
        </w:rPr>
        <w:t>3.</w:t>
      </w:r>
      <w:r>
        <w:t xml:space="preserve">  Files are hashed and a canonical manifest is signed.</w:t>
      </w:r>
    </w:p>
    <w:p>
      <w:pPr>
        <w:ind w:left="403" w:hanging="403"/>
      </w:pPr>
      <w:r>
        <w:rPr>
          <w:b/>
        </w:rPr>
        <w:t>4.</w:t>
      </w:r>
      <w:r>
        <w:t xml:space="preserve">  The local node independently verifies the pack and publisher policy.</w:t>
      </w:r>
    </w:p>
    <w:p>
      <w:pPr>
        <w:ind w:left="403" w:hanging="403"/>
      </w:pPr>
      <w:r>
        <w:rPr>
          <w:b/>
        </w:rPr>
        <w:t>5.</w:t>
      </w:r>
      <w:r>
        <w:t xml:space="preserve">  Objects move from staging into immutable storage only after verification.</w:t>
      </w:r>
    </w:p>
    <w:p>
      <w:pPr>
        <w:ind w:left="403" w:hanging="403"/>
      </w:pPr>
      <w:r>
        <w:rPr>
          <w:b/>
        </w:rPr>
        <w:t>6.</w:t>
      </w:r>
      <w:r>
        <w:t xml:space="preserve">  A complete pack becomes visible locally and eligible for peer inventory.</w:t>
      </w:r>
    </w:p>
    <w:p>
      <w:pPr>
        <w:pStyle w:val="Heading2"/>
        <w:keepNext/>
      </w:pPr>
      <w:r>
        <w:t>7.2 Replicate</w:t>
      </w:r>
    </w:p>
    <w:p>
      <w:pPr>
        <w:ind w:left="403" w:hanging="403"/>
      </w:pPr>
      <w:r>
        <w:rPr>
          <w:b/>
        </w:rPr>
        <w:t>1.</w:t>
      </w:r>
      <w:r>
        <w:t xml:space="preserve">  A node polls an approved peer inventory.</w:t>
      </w:r>
    </w:p>
    <w:p>
      <w:pPr>
        <w:ind w:left="403" w:hanging="403"/>
      </w:pPr>
      <w:r>
        <w:rPr>
          <w:b/>
        </w:rPr>
        <w:t>2.</w:t>
      </w:r>
      <w:r>
        <w:t xml:space="preserve">  It fetches an unfamiliar signed manifest and evaluates local admission policy.</w:t>
      </w:r>
    </w:p>
    <w:p>
      <w:pPr>
        <w:ind w:left="403" w:hanging="403"/>
      </w:pPr>
      <w:r>
        <w:rPr>
          <w:b/>
        </w:rPr>
        <w:t>3.</w:t>
      </w:r>
      <w:r>
        <w:t xml:space="preserve">  Missing blobs are pulled into bounded staging storage.</w:t>
      </w:r>
    </w:p>
    <w:p>
      <w:pPr>
        <w:ind w:left="403" w:hanging="403"/>
      </w:pPr>
      <w:r>
        <w:rPr>
          <w:b/>
        </w:rPr>
        <w:t>4.</w:t>
      </w:r>
      <w:r>
        <w:t xml:space="preserve">  Every size and digest is verified before the pack is committed.</w:t>
      </w:r>
    </w:p>
    <w:p>
      <w:pPr>
        <w:ind w:left="403" w:hanging="403"/>
      </w:pPr>
      <w:r>
        <w:rPr>
          <w:b/>
        </w:rPr>
        <w:t>5.</w:t>
      </w:r>
      <w:r>
        <w:t xml:space="preserve">  Only complete packs appear in the local portal or outgoing inventory.</w:t>
      </w:r>
    </w:p>
    <w:p>
      <w:pPr>
        <w:pStyle w:val="Heading2"/>
        <w:keepNext/>
      </w:pPr>
      <w:r>
        <w:t>7.3 Detect and repair corruption</w:t>
      </w:r>
    </w:p>
    <w:p>
      <w:r>
        <w:drawing>
          <wp:inline xmlns:a="http://schemas.openxmlformats.org/drawingml/2006/main" xmlns:pic="http://schemas.openxmlformats.org/drawingml/2006/picture">
            <wp:extent cx="6263640" cy="2644648"/>
            <wp:docPr id="3" name="Picture 3"/>
            <wp:cNvGraphicFramePr>
              <a:graphicFrameLocks noChangeAspect="1"/>
            </wp:cNvGraphicFramePr>
            <a:graphic>
              <a:graphicData uri="http://schemas.openxmlformats.org/drawingml/2006/picture">
                <pic:pic>
                  <pic:nvPicPr>
                    <pic:cNvPr id="0" name="recovery.png"/>
                    <pic:cNvPicPr/>
                  </pic:nvPicPr>
                  <pic:blipFill>
                    <a:blip r:embed="rId13"/>
                    <a:stretch>
                      <a:fillRect/>
                    </a:stretch>
                  </pic:blipFill>
                  <pic:spPr>
                    <a:xfrm>
                      <a:off x="0" y="0"/>
                      <a:ext cx="6263640" cy="2644648"/>
                    </a:xfrm>
                    <a:prstGeom prst="rect"/>
                  </pic:spPr>
                </pic:pic>
              </a:graphicData>
            </a:graphic>
          </wp:inline>
        </w:drawing>
      </w:r>
    </w:p>
    <w:p>
      <w:pPr>
        <w:jc w:val="center"/>
      </w:pPr>
      <w:r>
        <w:rPr>
          <w:i/>
          <w:sz w:val="18"/>
        </w:rPr>
        <w:t>Figure 2. The MVP recovery case: publisher loss, damaged replica and verified repair.</w:t>
      </w:r>
    </w:p>
    <w:p>
      <w:r>
        <w:t>On a digest mismatch, the object is quarantined and dependent packs become unavailable. The scheduler asks other configured peers for the expected digest, verifies replacement bytes and installs them atomically. Hashes detect damage but cannot reconstruct data; recovery fails if every correct replica has been lost.</w:t>
      </w:r>
    </w:p>
    <w:p>
      <w:pPr>
        <w:pStyle w:val="Heading1"/>
        <w:keepNext/>
      </w:pPr>
      <w:r>
        <w:t>8 Public mesh and private continuity cells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88"/>
            <w:shd w:fill="111820"/>
            <w:tcMar>
              <w:top w:w="110" w:type="dxa"/>
              <w:start w:w="130" w:type="dxa"/>
              <w:bottom w:w="110" w:type="dxa"/>
              <w:end w:w="130" w:type="dxa"/>
            </w:tcMar>
            <w:vAlign w:val="center"/>
          </w:tcPr>
          <w:p>
            <w:pPr>
              <w:jc w:val="left"/>
            </w:pPr>
            <w:r>
              <w:rPr>
                <w:b/>
                <w:color w:val="FFFFFF"/>
                <w:sz w:val="19"/>
              </w:rPr>
              <w:t>Property</w:t>
            </w:r>
          </w:p>
        </w:tc>
        <w:tc>
          <w:tcPr>
            <w:tcW w:type="dxa" w:w="3528"/>
            <w:shd w:fill="111820"/>
            <w:tcMar>
              <w:top w:w="110" w:type="dxa"/>
              <w:start w:w="130" w:type="dxa"/>
              <w:bottom w:w="110" w:type="dxa"/>
              <w:end w:w="130" w:type="dxa"/>
            </w:tcMar>
            <w:vAlign w:val="center"/>
          </w:tcPr>
          <w:p>
            <w:pPr>
              <w:jc w:val="left"/>
            </w:pPr>
            <w:r>
              <w:rPr>
                <w:b/>
                <w:color w:val="FFFFFF"/>
                <w:sz w:val="19"/>
              </w:rPr>
              <w:t>Global public mesh</w:t>
            </w:r>
          </w:p>
        </w:tc>
        <w:tc>
          <w:tcPr>
            <w:tcW w:type="dxa" w:w="3528"/>
            <w:shd w:fill="111820"/>
            <w:tcMar>
              <w:top w:w="110" w:type="dxa"/>
              <w:start w:w="130" w:type="dxa"/>
              <w:bottom w:w="110" w:type="dxa"/>
              <w:end w:w="130" w:type="dxa"/>
            </w:tcMar>
            <w:vAlign w:val="center"/>
          </w:tcPr>
          <w:p>
            <w:pPr>
              <w:jc w:val="left"/>
            </w:pPr>
            <w:r>
              <w:rPr>
                <w:b/>
                <w:color w:val="FFFFFF"/>
                <w:sz w:val="19"/>
              </w:rPr>
              <w:t>Private continuity cell</w:t>
            </w:r>
          </w:p>
        </w:tc>
      </w:tr>
      <w:tr>
        <w:trPr>
          <w:cantSplit/>
        </w:trPr>
        <w:tc>
          <w:tcPr>
            <w:tcW w:type="dxa" w:w="2088"/>
            <w:tcMar>
              <w:top w:w="110" w:type="dxa"/>
              <w:start w:w="130" w:type="dxa"/>
              <w:bottom w:w="110" w:type="dxa"/>
              <w:end w:w="130" w:type="dxa"/>
            </w:tcMar>
            <w:vAlign w:val="center"/>
          </w:tcPr>
          <w:p>
            <w:pPr>
              <w:spacing w:after="0"/>
            </w:pPr>
            <w:r>
              <w:rPr>
                <w:sz w:val="18"/>
              </w:rPr>
              <w:t>Purpose</w:t>
            </w:r>
          </w:p>
        </w:tc>
        <w:tc>
          <w:tcPr>
            <w:tcW w:type="dxa" w:w="3528"/>
            <w:tcMar>
              <w:top w:w="110" w:type="dxa"/>
              <w:start w:w="130" w:type="dxa"/>
              <w:bottom w:w="110" w:type="dxa"/>
              <w:end w:w="130" w:type="dxa"/>
            </w:tcMar>
            <w:vAlign w:val="center"/>
          </w:tcPr>
          <w:p>
            <w:pPr>
              <w:spacing w:after="0"/>
            </w:pPr>
            <w:r>
              <w:rPr>
                <w:sz w:val="18"/>
              </w:rPr>
              <w:t>Broadly distributable emergency and continuity knowledge</w:t>
            </w:r>
          </w:p>
        </w:tc>
        <w:tc>
          <w:tcPr>
            <w:tcW w:type="dxa" w:w="3528"/>
            <w:tcMar>
              <w:top w:w="110" w:type="dxa"/>
              <w:start w:w="130" w:type="dxa"/>
              <w:bottom w:w="110" w:type="dxa"/>
              <w:end w:w="130" w:type="dxa"/>
            </w:tcMar>
            <w:vAlign w:val="center"/>
          </w:tcPr>
          <w:p>
            <w:pPr>
              <w:spacing w:after="0"/>
            </w:pPr>
            <w:r>
              <w:rPr>
                <w:sz w:val="18"/>
              </w:rPr>
              <w:t>Restricted operational or personal material</w:t>
            </w:r>
          </w:p>
        </w:tc>
      </w:tr>
      <w:tr>
        <w:trPr>
          <w:cantSplit/>
        </w:trPr>
        <w:tc>
          <w:tcPr>
            <w:tcW w:type="dxa" w:w="2088"/>
            <w:shd w:fill="F4F8F8"/>
            <w:tcMar>
              <w:top w:w="110" w:type="dxa"/>
              <w:start w:w="130" w:type="dxa"/>
              <w:bottom w:w="110" w:type="dxa"/>
              <w:end w:w="130" w:type="dxa"/>
            </w:tcMar>
            <w:vAlign w:val="center"/>
          </w:tcPr>
          <w:p>
            <w:pPr>
              <w:spacing w:after="0"/>
            </w:pPr>
            <w:r>
              <w:rPr>
                <w:sz w:val="18"/>
              </w:rPr>
              <w:t>Content visibility</w:t>
            </w:r>
          </w:p>
        </w:tc>
        <w:tc>
          <w:tcPr>
            <w:tcW w:type="dxa" w:w="3528"/>
            <w:shd w:fill="F4F8F8"/>
            <w:tcMar>
              <w:top w:w="110" w:type="dxa"/>
              <w:start w:w="130" w:type="dxa"/>
              <w:bottom w:w="110" w:type="dxa"/>
              <w:end w:w="130" w:type="dxa"/>
            </w:tcMar>
            <w:vAlign w:val="center"/>
          </w:tcPr>
          <w:p>
            <w:pPr>
              <w:spacing w:after="0"/>
            </w:pPr>
            <w:r>
              <w:rPr>
                <w:sz w:val="18"/>
              </w:rPr>
              <w:t>Readable public content</w:t>
            </w:r>
          </w:p>
        </w:tc>
        <w:tc>
          <w:tcPr>
            <w:tcW w:type="dxa" w:w="3528"/>
            <w:shd w:fill="F4F8F8"/>
            <w:tcMar>
              <w:top w:w="110" w:type="dxa"/>
              <w:start w:w="130" w:type="dxa"/>
              <w:bottom w:w="110" w:type="dxa"/>
              <w:end w:w="130" w:type="dxa"/>
            </w:tcMar>
            <w:vAlign w:val="center"/>
          </w:tcPr>
          <w:p>
            <w:pPr>
              <w:spacing w:after="0"/>
            </w:pPr>
            <w:r>
              <w:rPr>
                <w:sz w:val="18"/>
              </w:rPr>
              <w:t>Authorized members only</w:t>
            </w:r>
          </w:p>
        </w:tc>
      </w:tr>
      <w:tr>
        <w:trPr>
          <w:cantSplit/>
        </w:trPr>
        <w:tc>
          <w:tcPr>
            <w:tcW w:type="dxa" w:w="2088"/>
            <w:tcMar>
              <w:top w:w="110" w:type="dxa"/>
              <w:start w:w="130" w:type="dxa"/>
              <w:bottom w:w="110" w:type="dxa"/>
              <w:end w:w="130" w:type="dxa"/>
            </w:tcMar>
            <w:vAlign w:val="center"/>
          </w:tcPr>
          <w:p>
            <w:pPr>
              <w:spacing w:after="0"/>
            </w:pPr>
            <w:r>
              <w:rPr>
                <w:sz w:val="18"/>
              </w:rPr>
              <w:t>Publisher model</w:t>
            </w:r>
          </w:p>
        </w:tc>
        <w:tc>
          <w:tcPr>
            <w:tcW w:type="dxa" w:w="3528"/>
            <w:tcMar>
              <w:top w:w="110" w:type="dxa"/>
              <w:start w:w="130" w:type="dxa"/>
              <w:bottom w:w="110" w:type="dxa"/>
              <w:end w:w="130" w:type="dxa"/>
            </w:tcMar>
            <w:vAlign w:val="center"/>
          </w:tcPr>
          <w:p>
            <w:pPr>
              <w:spacing w:after="0"/>
            </w:pPr>
            <w:r>
              <w:rPr>
                <w:sz w:val="18"/>
              </w:rPr>
              <w:t>Attributable publisher with local trust status</w:t>
            </w:r>
          </w:p>
        </w:tc>
        <w:tc>
          <w:tcPr>
            <w:tcW w:type="dxa" w:w="3528"/>
            <w:tcMar>
              <w:top w:w="110" w:type="dxa"/>
              <w:start w:w="130" w:type="dxa"/>
              <w:bottom w:w="110" w:type="dxa"/>
              <w:end w:w="130" w:type="dxa"/>
            </w:tcMar>
            <w:vAlign w:val="center"/>
          </w:tcPr>
          <w:p>
            <w:pPr>
              <w:spacing w:after="0"/>
            </w:pPr>
            <w:r>
              <w:rPr>
                <w:sz w:val="18"/>
              </w:rPr>
              <w:t>Known membership and cell-scoped authorization</w:t>
            </w:r>
          </w:p>
        </w:tc>
      </w:tr>
      <w:tr>
        <w:trPr>
          <w:cantSplit/>
        </w:trPr>
        <w:tc>
          <w:tcPr>
            <w:tcW w:type="dxa" w:w="2088"/>
            <w:shd w:fill="F4F8F8"/>
            <w:tcMar>
              <w:top w:w="110" w:type="dxa"/>
              <w:start w:w="130" w:type="dxa"/>
              <w:bottom w:w="110" w:type="dxa"/>
              <w:end w:w="130" w:type="dxa"/>
            </w:tcMar>
            <w:vAlign w:val="center"/>
          </w:tcPr>
          <w:p>
            <w:pPr>
              <w:spacing w:after="0"/>
            </w:pPr>
            <w:r>
              <w:rPr>
                <w:sz w:val="18"/>
              </w:rPr>
              <w:t>Discovery</w:t>
            </w:r>
          </w:p>
        </w:tc>
        <w:tc>
          <w:tcPr>
            <w:tcW w:type="dxa" w:w="3528"/>
            <w:shd w:fill="F4F8F8"/>
            <w:tcMar>
              <w:top w:w="110" w:type="dxa"/>
              <w:start w:w="130" w:type="dxa"/>
              <w:bottom w:w="110" w:type="dxa"/>
              <w:end w:w="130" w:type="dxa"/>
            </w:tcMar>
            <w:vAlign w:val="center"/>
          </w:tcPr>
          <w:p>
            <w:pPr>
              <w:spacing w:after="0"/>
            </w:pPr>
            <w:r>
              <w:rPr>
                <w:sz w:val="18"/>
              </w:rPr>
              <w:t>Future global federation; allowlisted in MVP</w:t>
            </w:r>
          </w:p>
        </w:tc>
        <w:tc>
          <w:tcPr>
            <w:tcW w:type="dxa" w:w="3528"/>
            <w:shd w:fill="F4F8F8"/>
            <w:tcMar>
              <w:top w:w="110" w:type="dxa"/>
              <w:start w:w="130" w:type="dxa"/>
              <w:bottom w:w="110" w:type="dxa"/>
              <w:end w:w="130" w:type="dxa"/>
            </w:tcMar>
            <w:vAlign w:val="center"/>
          </w:tcPr>
          <w:p>
            <w:pPr>
              <w:spacing w:after="0"/>
            </w:pPr>
            <w:r>
              <w:rPr>
                <w:sz w:val="18"/>
              </w:rPr>
              <w:t>Isolated and not publicly advertised</w:t>
            </w:r>
          </w:p>
        </w:tc>
      </w:tr>
      <w:tr>
        <w:trPr>
          <w:cantSplit/>
        </w:trPr>
        <w:tc>
          <w:tcPr>
            <w:tcW w:type="dxa" w:w="2088"/>
            <w:tcMar>
              <w:top w:w="110" w:type="dxa"/>
              <w:start w:w="130" w:type="dxa"/>
              <w:bottom w:w="110" w:type="dxa"/>
              <w:end w:w="130" w:type="dxa"/>
            </w:tcMar>
            <w:vAlign w:val="center"/>
          </w:tcPr>
          <w:p>
            <w:pPr>
              <w:spacing w:after="0"/>
            </w:pPr>
            <w:r>
              <w:rPr>
                <w:sz w:val="18"/>
              </w:rPr>
              <w:t>Storage</w:t>
            </w:r>
          </w:p>
        </w:tc>
        <w:tc>
          <w:tcPr>
            <w:tcW w:type="dxa" w:w="3528"/>
            <w:tcMar>
              <w:top w:w="110" w:type="dxa"/>
              <w:start w:w="130" w:type="dxa"/>
              <w:bottom w:w="110" w:type="dxa"/>
              <w:end w:w="130" w:type="dxa"/>
            </w:tcMar>
            <w:vAlign w:val="center"/>
          </w:tcPr>
          <w:p>
            <w:pPr>
              <w:spacing w:after="0"/>
            </w:pPr>
            <w:r>
              <w:rPr>
                <w:sz w:val="18"/>
              </w:rPr>
              <w:t>Public immutable objects</w:t>
            </w:r>
          </w:p>
        </w:tc>
        <w:tc>
          <w:tcPr>
            <w:tcW w:type="dxa" w:w="3528"/>
            <w:tcMar>
              <w:top w:w="110" w:type="dxa"/>
              <w:start w:w="130" w:type="dxa"/>
              <w:bottom w:w="110" w:type="dxa"/>
              <w:end w:w="130" w:type="dxa"/>
            </w:tcMar>
            <w:vAlign w:val="center"/>
          </w:tcPr>
          <w:p>
            <w:pPr>
              <w:spacing w:after="0"/>
            </w:pPr>
            <w:r>
              <w:rPr>
                <w:sz w:val="18"/>
              </w:rPr>
              <w:t>Separate encrypted store and index</w:t>
            </w:r>
          </w:p>
        </w:tc>
      </w:tr>
      <w:tr>
        <w:trPr>
          <w:cantSplit/>
        </w:trPr>
        <w:tc>
          <w:tcPr>
            <w:tcW w:type="dxa" w:w="2088"/>
            <w:shd w:fill="F4F8F8"/>
            <w:tcMar>
              <w:top w:w="110" w:type="dxa"/>
              <w:start w:w="130" w:type="dxa"/>
              <w:bottom w:w="110" w:type="dxa"/>
              <w:end w:w="130" w:type="dxa"/>
            </w:tcMar>
            <w:vAlign w:val="center"/>
          </w:tcPr>
          <w:p>
            <w:pPr>
              <w:spacing w:after="0"/>
            </w:pPr>
            <w:r>
              <w:rPr>
                <w:sz w:val="18"/>
              </w:rPr>
              <w:t>MVP status</w:t>
            </w:r>
          </w:p>
        </w:tc>
        <w:tc>
          <w:tcPr>
            <w:tcW w:type="dxa" w:w="3528"/>
            <w:shd w:fill="F4F8F8"/>
            <w:tcMar>
              <w:top w:w="110" w:type="dxa"/>
              <w:start w:w="130" w:type="dxa"/>
              <w:bottom w:w="110" w:type="dxa"/>
              <w:end w:w="130" w:type="dxa"/>
            </w:tcMar>
            <w:vAlign w:val="center"/>
          </w:tcPr>
          <w:p>
            <w:pPr>
              <w:spacing w:after="0"/>
            </w:pPr>
            <w:r>
              <w:rPr>
                <w:sz w:val="18"/>
              </w:rPr>
              <w:t>Partially demonstrated</w:t>
            </w:r>
          </w:p>
        </w:tc>
        <w:tc>
          <w:tcPr>
            <w:tcW w:type="dxa" w:w="3528"/>
            <w:shd w:fill="F4F8F8"/>
            <w:tcMar>
              <w:top w:w="110" w:type="dxa"/>
              <w:start w:w="130" w:type="dxa"/>
              <w:bottom w:w="110" w:type="dxa"/>
              <w:end w:w="130" w:type="dxa"/>
            </w:tcMar>
            <w:vAlign w:val="center"/>
          </w:tcPr>
          <w:p>
            <w:pPr>
              <w:spacing w:after="0"/>
            </w:pPr>
            <w:r>
              <w:rPr>
                <w:sz w:val="18"/>
              </w:rPr>
              <w:t>Architecture placeholder only</w:t>
            </w:r>
          </w:p>
        </w:tc>
      </w:tr>
    </w:tbl>
    <w:p>
      <w:pPr>
        <w:spacing w:after="0"/>
      </w:pPr>
    </w:p>
    <w:p>
      <w:r>
        <w:t>A private cell is not a hidden anonymous channel. It requires explicit membership, isolated peer lists, authenticated encrypted transport, data-at-rest policy and tested key management. Revoking membership cannot erase copies already obtained.</w:t>
      </w:r>
    </w:p>
    <w:p>
      <w:pPr>
        <w:pStyle w:val="Heading1"/>
        <w:keepNext/>
      </w:pPr>
      <w:r>
        <w:t>9 Security and misuse resistance</w:t>
      </w:r>
    </w:p>
    <w:p>
      <w:r>
        <w:t>The MVP should demonstrate cryptographic integrity, not broad security. It must reject malformed manifests, unsafe paths, altered blobs and unsupported algorithms. Publisher-supplied code must never execute in the portal, and the node must not automatically extract archives or fetch embedded external resources.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232"/>
            <w:shd w:fill="111820"/>
            <w:tcMar>
              <w:top w:w="110" w:type="dxa"/>
              <w:start w:w="130" w:type="dxa"/>
              <w:bottom w:w="110" w:type="dxa"/>
              <w:end w:w="130" w:type="dxa"/>
            </w:tcMar>
            <w:vAlign w:val="center"/>
          </w:tcPr>
          <w:p>
            <w:pPr>
              <w:jc w:val="left"/>
            </w:pPr>
            <w:r>
              <w:rPr>
                <w:b/>
                <w:color w:val="FFFFFF"/>
                <w:sz w:val="19"/>
              </w:rPr>
              <w:t>Threat</w:t>
            </w:r>
          </w:p>
        </w:tc>
        <w:tc>
          <w:tcPr>
            <w:tcW w:type="dxa" w:w="3384"/>
            <w:shd w:fill="111820"/>
            <w:tcMar>
              <w:top w:w="110" w:type="dxa"/>
              <w:start w:w="130" w:type="dxa"/>
              <w:bottom w:w="110" w:type="dxa"/>
              <w:end w:w="130" w:type="dxa"/>
            </w:tcMar>
            <w:vAlign w:val="center"/>
          </w:tcPr>
          <w:p>
            <w:pPr>
              <w:jc w:val="left"/>
            </w:pPr>
            <w:r>
              <w:rPr>
                <w:b/>
                <w:color w:val="FFFFFF"/>
                <w:sz w:val="19"/>
              </w:rPr>
              <w:t>MVP response</w:t>
            </w:r>
          </w:p>
        </w:tc>
        <w:tc>
          <w:tcPr>
            <w:tcW w:type="dxa" w:w="3528"/>
            <w:shd w:fill="111820"/>
            <w:tcMar>
              <w:top w:w="110" w:type="dxa"/>
              <w:start w:w="130" w:type="dxa"/>
              <w:bottom w:w="110" w:type="dxa"/>
              <w:end w:w="130" w:type="dxa"/>
            </w:tcMar>
            <w:vAlign w:val="center"/>
          </w:tcPr>
          <w:p>
            <w:pPr>
              <w:jc w:val="left"/>
            </w:pPr>
            <w:r>
              <w:rPr>
                <w:b/>
                <w:color w:val="FFFFFF"/>
                <w:sz w:val="19"/>
              </w:rPr>
              <w:t>Remaining exposure</w:t>
            </w:r>
          </w:p>
        </w:tc>
      </w:tr>
      <w:tr>
        <w:trPr>
          <w:cantSplit/>
        </w:trPr>
        <w:tc>
          <w:tcPr>
            <w:tcW w:type="dxa" w:w="2232"/>
            <w:tcMar>
              <w:top w:w="110" w:type="dxa"/>
              <w:start w:w="130" w:type="dxa"/>
              <w:bottom w:w="110" w:type="dxa"/>
              <w:end w:w="130" w:type="dxa"/>
            </w:tcMar>
            <w:vAlign w:val="center"/>
          </w:tcPr>
          <w:p>
            <w:pPr>
              <w:spacing w:after="0"/>
            </w:pPr>
            <w:r>
              <w:rPr>
                <w:sz w:val="18"/>
              </w:rPr>
              <w:t>Dishonest publisher</w:t>
            </w:r>
          </w:p>
        </w:tc>
        <w:tc>
          <w:tcPr>
            <w:tcW w:type="dxa" w:w="3384"/>
            <w:tcMar>
              <w:top w:w="110" w:type="dxa"/>
              <w:start w:w="130" w:type="dxa"/>
              <w:bottom w:w="110" w:type="dxa"/>
              <w:end w:w="130" w:type="dxa"/>
            </w:tcMar>
            <w:vAlign w:val="center"/>
          </w:tcPr>
          <w:p>
            <w:pPr>
              <w:spacing w:after="0"/>
            </w:pPr>
            <w:r>
              <w:rPr>
                <w:sz w:val="18"/>
              </w:rPr>
              <w:t>Visible signature and local trust policy</w:t>
            </w:r>
          </w:p>
        </w:tc>
        <w:tc>
          <w:tcPr>
            <w:tcW w:type="dxa" w:w="3528"/>
            <w:tcMar>
              <w:top w:w="110" w:type="dxa"/>
              <w:start w:w="130" w:type="dxa"/>
              <w:bottom w:w="110" w:type="dxa"/>
              <w:end w:w="130" w:type="dxa"/>
            </w:tcMar>
            <w:vAlign w:val="center"/>
          </w:tcPr>
          <w:p>
            <w:pPr>
              <w:spacing w:after="0"/>
            </w:pPr>
            <w:r>
              <w:rPr>
                <w:sz w:val="18"/>
              </w:rPr>
              <w:t>Signature cannot establish truth.</w:t>
            </w:r>
          </w:p>
        </w:tc>
      </w:tr>
      <w:tr>
        <w:trPr>
          <w:cantSplit/>
        </w:trPr>
        <w:tc>
          <w:tcPr>
            <w:tcW w:type="dxa" w:w="2232"/>
            <w:shd w:fill="F4F8F8"/>
            <w:tcMar>
              <w:top w:w="110" w:type="dxa"/>
              <w:start w:w="130" w:type="dxa"/>
              <w:bottom w:w="110" w:type="dxa"/>
              <w:end w:w="130" w:type="dxa"/>
            </w:tcMar>
            <w:vAlign w:val="center"/>
          </w:tcPr>
          <w:p>
            <w:pPr>
              <w:spacing w:after="0"/>
            </w:pPr>
            <w:r>
              <w:rPr>
                <w:sz w:val="18"/>
              </w:rPr>
              <w:t>Compromised publisher key</w:t>
            </w:r>
          </w:p>
        </w:tc>
        <w:tc>
          <w:tcPr>
            <w:tcW w:type="dxa" w:w="3384"/>
            <w:shd w:fill="F4F8F8"/>
            <w:tcMar>
              <w:top w:w="110" w:type="dxa"/>
              <w:start w:w="130" w:type="dxa"/>
              <w:bottom w:w="110" w:type="dxa"/>
              <w:end w:w="130" w:type="dxa"/>
            </w:tcMar>
            <w:vAlign w:val="center"/>
          </w:tcPr>
          <w:p>
            <w:pPr>
              <w:spacing w:after="0"/>
            </w:pPr>
            <w:r>
              <w:rPr>
                <w:sz w:val="18"/>
              </w:rPr>
              <w:t>Manual block configuration</w:t>
            </w:r>
          </w:p>
        </w:tc>
        <w:tc>
          <w:tcPr>
            <w:tcW w:type="dxa" w:w="3528"/>
            <w:shd w:fill="F4F8F8"/>
            <w:tcMar>
              <w:top w:w="110" w:type="dxa"/>
              <w:start w:w="130" w:type="dxa"/>
              <w:bottom w:w="110" w:type="dxa"/>
              <w:end w:w="130" w:type="dxa"/>
            </w:tcMar>
            <w:vAlign w:val="center"/>
          </w:tcPr>
          <w:p>
            <w:pPr>
              <w:spacing w:after="0"/>
            </w:pPr>
            <w:r>
              <w:rPr>
                <w:sz w:val="18"/>
              </w:rPr>
              <w:t>Disconnected nodes may not learn the revocation.</w:t>
            </w:r>
          </w:p>
        </w:tc>
      </w:tr>
      <w:tr>
        <w:trPr>
          <w:cantSplit/>
        </w:trPr>
        <w:tc>
          <w:tcPr>
            <w:tcW w:type="dxa" w:w="2232"/>
            <w:tcMar>
              <w:top w:w="110" w:type="dxa"/>
              <w:start w:w="130" w:type="dxa"/>
              <w:bottom w:w="110" w:type="dxa"/>
              <w:end w:w="130" w:type="dxa"/>
            </w:tcMar>
            <w:vAlign w:val="center"/>
          </w:tcPr>
          <w:p>
            <w:pPr>
              <w:spacing w:after="0"/>
            </w:pPr>
            <w:r>
              <w:rPr>
                <w:sz w:val="18"/>
              </w:rPr>
              <w:t>Malicious peer</w:t>
            </w:r>
          </w:p>
        </w:tc>
        <w:tc>
          <w:tcPr>
            <w:tcW w:type="dxa" w:w="3384"/>
            <w:tcMar>
              <w:top w:w="110" w:type="dxa"/>
              <w:start w:w="130" w:type="dxa"/>
              <w:bottom w:w="110" w:type="dxa"/>
              <w:end w:w="130" w:type="dxa"/>
            </w:tcMar>
            <w:vAlign w:val="center"/>
          </w:tcPr>
          <w:p>
            <w:pPr>
              <w:spacing w:after="0"/>
            </w:pPr>
            <w:r>
              <w:rPr>
                <w:sz w:val="18"/>
              </w:rPr>
              <w:t>Allowlist, pull transfer and limits</w:t>
            </w:r>
          </w:p>
        </w:tc>
        <w:tc>
          <w:tcPr>
            <w:tcW w:type="dxa" w:w="3528"/>
            <w:tcMar>
              <w:top w:w="110" w:type="dxa"/>
              <w:start w:w="130" w:type="dxa"/>
              <w:bottom w:w="110" w:type="dxa"/>
              <w:end w:w="130" w:type="dxa"/>
            </w:tcMar>
            <w:vAlign w:val="center"/>
          </w:tcPr>
          <w:p>
            <w:pPr>
              <w:spacing w:after="0"/>
            </w:pPr>
            <w:r>
              <w:rPr>
                <w:sz w:val="18"/>
              </w:rPr>
              <w:t>Approved peer can suppress or waste resources.</w:t>
            </w:r>
          </w:p>
        </w:tc>
      </w:tr>
      <w:tr>
        <w:trPr>
          <w:cantSplit/>
        </w:trPr>
        <w:tc>
          <w:tcPr>
            <w:tcW w:type="dxa" w:w="2232"/>
            <w:shd w:fill="F4F8F8"/>
            <w:tcMar>
              <w:top w:w="110" w:type="dxa"/>
              <w:start w:w="130" w:type="dxa"/>
              <w:bottom w:w="110" w:type="dxa"/>
              <w:end w:w="130" w:type="dxa"/>
            </w:tcMar>
            <w:vAlign w:val="center"/>
          </w:tcPr>
          <w:p>
            <w:pPr>
              <w:spacing w:after="0"/>
            </w:pPr>
            <w:r>
              <w:rPr>
                <w:sz w:val="18"/>
              </w:rPr>
              <w:t>Corrupt local object</w:t>
            </w:r>
          </w:p>
        </w:tc>
        <w:tc>
          <w:tcPr>
            <w:tcW w:type="dxa" w:w="3384"/>
            <w:shd w:fill="F4F8F8"/>
            <w:tcMar>
              <w:top w:w="110" w:type="dxa"/>
              <w:start w:w="130" w:type="dxa"/>
              <w:bottom w:w="110" w:type="dxa"/>
              <w:end w:w="130" w:type="dxa"/>
            </w:tcMar>
            <w:vAlign w:val="center"/>
          </w:tcPr>
          <w:p>
            <w:pPr>
              <w:spacing w:after="0"/>
            </w:pPr>
            <w:r>
              <w:rPr>
                <w:sz w:val="18"/>
              </w:rPr>
              <w:t>Digest scan, quarantine and peer repair</w:t>
            </w:r>
          </w:p>
        </w:tc>
        <w:tc>
          <w:tcPr>
            <w:tcW w:type="dxa" w:w="3528"/>
            <w:shd w:fill="F4F8F8"/>
            <w:tcMar>
              <w:top w:w="110" w:type="dxa"/>
              <w:start w:w="130" w:type="dxa"/>
              <w:bottom w:w="110" w:type="dxa"/>
              <w:end w:w="130" w:type="dxa"/>
            </w:tcMar>
            <w:vAlign w:val="center"/>
          </w:tcPr>
          <w:p>
            <w:pPr>
              <w:spacing w:after="0"/>
            </w:pPr>
            <w:r>
              <w:rPr>
                <w:sz w:val="18"/>
              </w:rPr>
              <w:t>No repair if all valid copies are lost.</w:t>
            </w:r>
          </w:p>
        </w:tc>
      </w:tr>
      <w:tr>
        <w:trPr>
          <w:cantSplit/>
        </w:trPr>
        <w:tc>
          <w:tcPr>
            <w:tcW w:type="dxa" w:w="2232"/>
            <w:tcMar>
              <w:top w:w="110" w:type="dxa"/>
              <w:start w:w="130" w:type="dxa"/>
              <w:bottom w:w="110" w:type="dxa"/>
              <w:end w:w="130" w:type="dxa"/>
            </w:tcMar>
            <w:vAlign w:val="center"/>
          </w:tcPr>
          <w:p>
            <w:pPr>
              <w:spacing w:after="0"/>
            </w:pPr>
            <w:r>
              <w:rPr>
                <w:sz w:val="18"/>
              </w:rPr>
              <w:t>Path traversal</w:t>
            </w:r>
          </w:p>
        </w:tc>
        <w:tc>
          <w:tcPr>
            <w:tcW w:type="dxa" w:w="3384"/>
            <w:tcMar>
              <w:top w:w="110" w:type="dxa"/>
              <w:start w:w="130" w:type="dxa"/>
              <w:bottom w:w="110" w:type="dxa"/>
              <w:end w:w="130" w:type="dxa"/>
            </w:tcMar>
            <w:vAlign w:val="center"/>
          </w:tcPr>
          <w:p>
            <w:pPr>
              <w:spacing w:after="0"/>
            </w:pPr>
            <w:r>
              <w:rPr>
                <w:sz w:val="18"/>
              </w:rPr>
              <w:t>Normalize and reject unsafe entry paths</w:t>
            </w:r>
          </w:p>
        </w:tc>
        <w:tc>
          <w:tcPr>
            <w:tcW w:type="dxa" w:w="3528"/>
            <w:tcMar>
              <w:top w:w="110" w:type="dxa"/>
              <w:start w:w="130" w:type="dxa"/>
              <w:bottom w:w="110" w:type="dxa"/>
              <w:end w:w="130" w:type="dxa"/>
            </w:tcMar>
            <w:vAlign w:val="center"/>
          </w:tcPr>
          <w:p>
            <w:pPr>
              <w:spacing w:after="0"/>
            </w:pPr>
            <w:r>
              <w:rPr>
                <w:sz w:val="18"/>
              </w:rPr>
              <w:t>Parser defects still require testing and fuzzing.</w:t>
            </w:r>
          </w:p>
        </w:tc>
      </w:tr>
      <w:tr>
        <w:trPr>
          <w:cantSplit/>
        </w:trPr>
        <w:tc>
          <w:tcPr>
            <w:tcW w:type="dxa" w:w="2232"/>
            <w:shd w:fill="F4F8F8"/>
            <w:tcMar>
              <w:top w:w="110" w:type="dxa"/>
              <w:start w:w="130" w:type="dxa"/>
              <w:bottom w:w="110" w:type="dxa"/>
              <w:end w:w="130" w:type="dxa"/>
            </w:tcMar>
            <w:vAlign w:val="center"/>
          </w:tcPr>
          <w:p>
            <w:pPr>
              <w:spacing w:after="0"/>
            </w:pPr>
            <w:r>
              <w:rPr>
                <w:sz w:val="18"/>
              </w:rPr>
              <w:t>Active file content</w:t>
            </w:r>
          </w:p>
        </w:tc>
        <w:tc>
          <w:tcPr>
            <w:tcW w:type="dxa" w:w="3384"/>
            <w:shd w:fill="F4F8F8"/>
            <w:tcMar>
              <w:top w:w="110" w:type="dxa"/>
              <w:start w:w="130" w:type="dxa"/>
              <w:bottom w:w="110" w:type="dxa"/>
              <w:end w:w="130" w:type="dxa"/>
            </w:tcMar>
            <w:vAlign w:val="center"/>
          </w:tcPr>
          <w:p>
            <w:pPr>
              <w:spacing w:after="0"/>
            </w:pPr>
            <w:r>
              <w:rPr>
                <w:sz w:val="18"/>
              </w:rPr>
              <w:t>MVP allows a small passive format set</w:t>
            </w:r>
          </w:p>
        </w:tc>
        <w:tc>
          <w:tcPr>
            <w:tcW w:type="dxa" w:w="3528"/>
            <w:shd w:fill="F4F8F8"/>
            <w:tcMar>
              <w:top w:w="110" w:type="dxa"/>
              <w:start w:w="130" w:type="dxa"/>
              <w:bottom w:w="110" w:type="dxa"/>
              <w:end w:w="130" w:type="dxa"/>
            </w:tcMar>
            <w:vAlign w:val="center"/>
          </w:tcPr>
          <w:p>
            <w:pPr>
              <w:spacing w:after="0"/>
            </w:pPr>
            <w:r>
              <w:rPr>
                <w:sz w:val="18"/>
              </w:rPr>
              <w:t>A valid file may still exploit an external viewer.</w:t>
            </w:r>
          </w:p>
        </w:tc>
      </w:tr>
      <w:tr>
        <w:trPr>
          <w:cantSplit/>
        </w:trPr>
        <w:tc>
          <w:tcPr>
            <w:tcW w:type="dxa" w:w="2232"/>
            <w:tcMar>
              <w:top w:w="110" w:type="dxa"/>
              <w:start w:w="130" w:type="dxa"/>
              <w:bottom w:w="110" w:type="dxa"/>
              <w:end w:w="130" w:type="dxa"/>
            </w:tcMar>
            <w:vAlign w:val="center"/>
          </w:tcPr>
          <w:p>
            <w:pPr>
              <w:spacing w:after="0"/>
            </w:pPr>
            <w:r>
              <w:rPr>
                <w:sz w:val="18"/>
              </w:rPr>
              <w:t>Sybil enrollment</w:t>
            </w:r>
          </w:p>
        </w:tc>
        <w:tc>
          <w:tcPr>
            <w:tcW w:type="dxa" w:w="3384"/>
            <w:tcMar>
              <w:top w:w="110" w:type="dxa"/>
              <w:start w:w="130" w:type="dxa"/>
              <w:bottom w:w="110" w:type="dxa"/>
              <w:end w:w="130" w:type="dxa"/>
            </w:tcMar>
            <w:vAlign w:val="center"/>
          </w:tcPr>
          <w:p>
            <w:pPr>
              <w:spacing w:after="0"/>
            </w:pPr>
            <w:r>
              <w:rPr>
                <w:sz w:val="18"/>
              </w:rPr>
              <w:t>Manual enrollment in MVP</w:t>
            </w:r>
          </w:p>
        </w:tc>
        <w:tc>
          <w:tcPr>
            <w:tcW w:type="dxa" w:w="3528"/>
            <w:tcMar>
              <w:top w:w="110" w:type="dxa"/>
              <w:start w:w="130" w:type="dxa"/>
              <w:bottom w:w="110" w:type="dxa"/>
              <w:end w:w="130" w:type="dxa"/>
            </w:tcMar>
            <w:vAlign w:val="center"/>
          </w:tcPr>
          <w:p>
            <w:pPr>
              <w:spacing w:after="0"/>
            </w:pPr>
            <w:r>
              <w:rPr>
                <w:sz w:val="18"/>
              </w:rPr>
              <w:t>Global admission remains unsolved.</w:t>
            </w:r>
          </w:p>
        </w:tc>
      </w:tr>
      <w:tr>
        <w:trPr>
          <w:cantSplit/>
        </w:trPr>
        <w:tc>
          <w:tcPr>
            <w:tcW w:type="dxa" w:w="2232"/>
            <w:shd w:fill="F4F8F8"/>
            <w:tcMar>
              <w:top w:w="110" w:type="dxa"/>
              <w:start w:w="130" w:type="dxa"/>
              <w:bottom w:w="110" w:type="dxa"/>
              <w:end w:w="130" w:type="dxa"/>
            </w:tcMar>
            <w:vAlign w:val="center"/>
          </w:tcPr>
          <w:p>
            <w:pPr>
              <w:spacing w:after="0"/>
            </w:pPr>
            <w:r>
              <w:rPr>
                <w:sz w:val="18"/>
              </w:rPr>
              <w:t>Traffic analysis</w:t>
            </w:r>
          </w:p>
        </w:tc>
        <w:tc>
          <w:tcPr>
            <w:tcW w:type="dxa" w:w="3384"/>
            <w:shd w:fill="F4F8F8"/>
            <w:tcMar>
              <w:top w:w="110" w:type="dxa"/>
              <w:start w:w="130" w:type="dxa"/>
              <w:bottom w:w="110" w:type="dxa"/>
              <w:end w:w="130" w:type="dxa"/>
            </w:tcMar>
            <w:vAlign w:val="center"/>
          </w:tcPr>
          <w:p>
            <w:pPr>
              <w:spacing w:after="0"/>
            </w:pPr>
            <w:r>
              <w:rPr>
                <w:sz w:val="18"/>
              </w:rPr>
              <w:t>No concealment is attempted</w:t>
            </w:r>
          </w:p>
        </w:tc>
        <w:tc>
          <w:tcPr>
            <w:tcW w:type="dxa" w:w="3528"/>
            <w:shd w:fill="F4F8F8"/>
            <w:tcMar>
              <w:top w:w="110" w:type="dxa"/>
              <w:start w:w="130" w:type="dxa"/>
              <w:bottom w:w="110" w:type="dxa"/>
              <w:end w:w="130" w:type="dxa"/>
            </w:tcMar>
            <w:vAlign w:val="center"/>
          </w:tcPr>
          <w:p>
            <w:pPr>
              <w:spacing w:after="0"/>
            </w:pPr>
            <w:r>
              <w:rPr>
                <w:sz w:val="18"/>
              </w:rPr>
              <w:t>Peer relationships and timing remain visible.</w:t>
            </w:r>
          </w:p>
        </w:tc>
      </w:tr>
    </w:tbl>
    <w:p>
      <w:pPr>
        <w:spacing w:after="0"/>
      </w:pPr>
    </w:p>
    <w:p>
      <w:pPr>
        <w:pStyle w:val="Heading2"/>
        <w:keepNext/>
      </w:pPr>
      <w:r>
        <w:t>9.1 Misuse constraints</w:t>
      </w:r>
    </w:p>
    <w:p>
      <w:pPr>
        <w:pStyle w:val="ListBullet"/>
      </w:pPr>
      <w:r>
        <w:t>No onion routing, hidden services, anonymous publisher mode or traffic-obfuscation claim.</w:t>
      </w:r>
    </w:p>
    <w:p>
      <w:pPr>
        <w:pStyle w:val="ListBullet"/>
      </w:pPr>
      <w:r>
        <w:t>No public encrypted blind-storage service in the official network.</w:t>
      </w:r>
    </w:p>
    <w:p>
      <w:pPr>
        <w:pStyle w:val="ListBullet"/>
      </w:pPr>
      <w:r>
        <w:t>No payments, marketplace, anonymous messaging or arbitrary unauthenticated upload endpoint.</w:t>
      </w:r>
    </w:p>
    <w:p>
      <w:pPr>
        <w:pStyle w:val="ListBullet"/>
      </w:pPr>
      <w:r>
        <w:t>Public packs remain readable and attributable; node operators choose what they replicate.</w:t>
      </w:r>
    </w:p>
    <w:p>
      <w:pPr>
        <w:pStyle w:val="ListBullet"/>
      </w:pPr>
      <w:r>
        <w:t>Moderation and deletion are local. Global recall of replicated material cannot be guaranteed.</w:t>
      </w:r>
    </w:p>
    <w:p>
      <w:r>
        <w:t>These choices reduce darknet-like utility but cannot prevent modification or misuse of open-source code. The project should describe enforceable protocol behavior precisely and avoid claiming that file-extension checks can prove the absence of hidden or encrypted data.</w:t>
      </w:r>
    </w:p>
    <w:p>
      <w:pPr>
        <w:pStyle w:val="Heading1"/>
        <w:keepNext/>
      </w:pPr>
      <w:r>
        <w:t>10 Failure behavior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952"/>
            <w:shd w:fill="111820"/>
            <w:tcMar>
              <w:top w:w="110" w:type="dxa"/>
              <w:start w:w="130" w:type="dxa"/>
              <w:bottom w:w="110" w:type="dxa"/>
              <w:end w:w="130" w:type="dxa"/>
            </w:tcMar>
            <w:vAlign w:val="center"/>
          </w:tcPr>
          <w:p>
            <w:pPr>
              <w:jc w:val="left"/>
            </w:pPr>
            <w:r>
              <w:rPr>
                <w:b/>
                <w:color w:val="FFFFFF"/>
                <w:sz w:val="19"/>
              </w:rPr>
              <w:t>Failure</w:t>
            </w:r>
          </w:p>
        </w:tc>
        <w:tc>
          <w:tcPr>
            <w:tcW w:type="dxa" w:w="6264"/>
            <w:shd w:fill="111820"/>
            <w:tcMar>
              <w:top w:w="110" w:type="dxa"/>
              <w:start w:w="130" w:type="dxa"/>
              <w:bottom w:w="110" w:type="dxa"/>
              <w:end w:w="130" w:type="dxa"/>
            </w:tcMar>
            <w:vAlign w:val="center"/>
          </w:tcPr>
          <w:p>
            <w:pPr>
              <w:jc w:val="left"/>
            </w:pPr>
            <w:r>
              <w:rPr>
                <w:b/>
                <w:color w:val="FFFFFF"/>
                <w:sz w:val="19"/>
              </w:rPr>
              <w:t>Required behavior</w:t>
            </w:r>
          </w:p>
        </w:tc>
      </w:tr>
      <w:tr>
        <w:trPr>
          <w:cantSplit/>
        </w:trPr>
        <w:tc>
          <w:tcPr>
            <w:tcW w:type="dxa" w:w="2952"/>
            <w:tcMar>
              <w:top w:w="110" w:type="dxa"/>
              <w:start w:w="130" w:type="dxa"/>
              <w:bottom w:w="110" w:type="dxa"/>
              <w:end w:w="130" w:type="dxa"/>
            </w:tcMar>
            <w:vAlign w:val="center"/>
          </w:tcPr>
          <w:p>
            <w:pPr>
              <w:spacing w:after="0"/>
            </w:pPr>
            <w:r>
              <w:rPr>
                <w:sz w:val="18"/>
              </w:rPr>
              <w:t>One peer unavailable</w:t>
            </w:r>
          </w:p>
        </w:tc>
        <w:tc>
          <w:tcPr>
            <w:tcW w:type="dxa" w:w="6264"/>
            <w:tcMar>
              <w:top w:w="110" w:type="dxa"/>
              <w:start w:w="130" w:type="dxa"/>
              <w:bottom w:w="110" w:type="dxa"/>
              <w:end w:w="130" w:type="dxa"/>
            </w:tcMar>
            <w:vAlign w:val="center"/>
          </w:tcPr>
          <w:p>
            <w:pPr>
              <w:spacing w:after="0"/>
            </w:pPr>
            <w:r>
              <w:rPr>
                <w:sz w:val="18"/>
              </w:rPr>
              <w:t>Continue local service and retry another approved peer.</w:t>
            </w:r>
          </w:p>
        </w:tc>
      </w:tr>
      <w:tr>
        <w:trPr>
          <w:cantSplit/>
        </w:trPr>
        <w:tc>
          <w:tcPr>
            <w:tcW w:type="dxa" w:w="2952"/>
            <w:shd w:fill="F4F8F8"/>
            <w:tcMar>
              <w:top w:w="110" w:type="dxa"/>
              <w:start w:w="130" w:type="dxa"/>
              <w:bottom w:w="110" w:type="dxa"/>
              <w:end w:w="130" w:type="dxa"/>
            </w:tcMar>
            <w:vAlign w:val="center"/>
          </w:tcPr>
          <w:p>
            <w:pPr>
              <w:spacing w:after="0"/>
            </w:pPr>
            <w:r>
              <w:rPr>
                <w:sz w:val="18"/>
              </w:rPr>
              <w:t>All peers unavailable</w:t>
            </w:r>
          </w:p>
        </w:tc>
        <w:tc>
          <w:tcPr>
            <w:tcW w:type="dxa" w:w="6264"/>
            <w:shd w:fill="F4F8F8"/>
            <w:tcMar>
              <w:top w:w="110" w:type="dxa"/>
              <w:start w:w="130" w:type="dxa"/>
              <w:bottom w:w="110" w:type="dxa"/>
              <w:end w:w="130" w:type="dxa"/>
            </w:tcMar>
            <w:vAlign w:val="center"/>
          </w:tcPr>
          <w:p>
            <w:pPr>
              <w:spacing w:after="0"/>
            </w:pPr>
            <w:r>
              <w:rPr>
                <w:sz w:val="18"/>
              </w:rPr>
              <w:t>Serve complete local packs and show disconnected status.</w:t>
            </w:r>
          </w:p>
        </w:tc>
      </w:tr>
      <w:tr>
        <w:trPr>
          <w:cantSplit/>
        </w:trPr>
        <w:tc>
          <w:tcPr>
            <w:tcW w:type="dxa" w:w="2952"/>
            <w:tcMar>
              <w:top w:w="110" w:type="dxa"/>
              <w:start w:w="130" w:type="dxa"/>
              <w:bottom w:w="110" w:type="dxa"/>
              <w:end w:w="130" w:type="dxa"/>
            </w:tcMar>
            <w:vAlign w:val="center"/>
          </w:tcPr>
          <w:p>
            <w:pPr>
              <w:spacing w:after="0"/>
            </w:pPr>
            <w:r>
              <w:rPr>
                <w:sz w:val="18"/>
              </w:rPr>
              <w:t>Interrupted transfer</w:t>
            </w:r>
          </w:p>
        </w:tc>
        <w:tc>
          <w:tcPr>
            <w:tcW w:type="dxa" w:w="6264"/>
            <w:tcMar>
              <w:top w:w="110" w:type="dxa"/>
              <w:start w:w="130" w:type="dxa"/>
              <w:bottom w:w="110" w:type="dxa"/>
              <w:end w:w="130" w:type="dxa"/>
            </w:tcMar>
            <w:vAlign w:val="center"/>
          </w:tcPr>
          <w:p>
            <w:pPr>
              <w:spacing w:after="0"/>
            </w:pPr>
            <w:r>
              <w:rPr>
                <w:sz w:val="18"/>
              </w:rPr>
              <w:t>Keep bounded staging state; never expose an incomplete pack.</w:t>
            </w:r>
          </w:p>
        </w:tc>
      </w:tr>
      <w:tr>
        <w:trPr>
          <w:cantSplit/>
        </w:trPr>
        <w:tc>
          <w:tcPr>
            <w:tcW w:type="dxa" w:w="2952"/>
            <w:shd w:fill="F4F8F8"/>
            <w:tcMar>
              <w:top w:w="110" w:type="dxa"/>
              <w:start w:w="130" w:type="dxa"/>
              <w:bottom w:w="110" w:type="dxa"/>
              <w:end w:w="130" w:type="dxa"/>
            </w:tcMar>
            <w:vAlign w:val="center"/>
          </w:tcPr>
          <w:p>
            <w:pPr>
              <w:spacing w:after="0"/>
            </w:pPr>
            <w:r>
              <w:rPr>
                <w:sz w:val="18"/>
              </w:rPr>
              <w:t>Digest mismatch</w:t>
            </w:r>
          </w:p>
        </w:tc>
        <w:tc>
          <w:tcPr>
            <w:tcW w:type="dxa" w:w="6264"/>
            <w:shd w:fill="F4F8F8"/>
            <w:tcMar>
              <w:top w:w="110" w:type="dxa"/>
              <w:start w:w="130" w:type="dxa"/>
              <w:bottom w:w="110" w:type="dxa"/>
              <w:end w:w="130" w:type="dxa"/>
            </w:tcMar>
            <w:vAlign w:val="center"/>
          </w:tcPr>
          <w:p>
            <w:pPr>
              <w:spacing w:after="0"/>
            </w:pPr>
            <w:r>
              <w:rPr>
                <w:sz w:val="18"/>
              </w:rPr>
              <w:t>Quarantine the object, record the event and request another source.</w:t>
            </w:r>
          </w:p>
        </w:tc>
      </w:tr>
      <w:tr>
        <w:trPr>
          <w:cantSplit/>
        </w:trPr>
        <w:tc>
          <w:tcPr>
            <w:tcW w:type="dxa" w:w="2952"/>
            <w:tcMar>
              <w:top w:w="110" w:type="dxa"/>
              <w:start w:w="130" w:type="dxa"/>
              <w:bottom w:w="110" w:type="dxa"/>
              <w:end w:w="130" w:type="dxa"/>
            </w:tcMar>
            <w:vAlign w:val="center"/>
          </w:tcPr>
          <w:p>
            <w:pPr>
              <w:spacing w:after="0"/>
            </w:pPr>
            <w:r>
              <w:rPr>
                <w:sz w:val="18"/>
              </w:rPr>
              <w:t>Invalid signature</w:t>
            </w:r>
          </w:p>
        </w:tc>
        <w:tc>
          <w:tcPr>
            <w:tcW w:type="dxa" w:w="6264"/>
            <w:tcMar>
              <w:top w:w="110" w:type="dxa"/>
              <w:start w:w="130" w:type="dxa"/>
              <w:bottom w:w="110" w:type="dxa"/>
              <w:end w:w="130" w:type="dxa"/>
            </w:tcMar>
            <w:vAlign w:val="center"/>
          </w:tcPr>
          <w:p>
            <w:pPr>
              <w:spacing w:after="0"/>
            </w:pPr>
            <w:r>
              <w:rPr>
                <w:sz w:val="18"/>
              </w:rPr>
              <w:t>Reject the manifest with a visible reason.</w:t>
            </w:r>
          </w:p>
        </w:tc>
      </w:tr>
      <w:tr>
        <w:trPr>
          <w:cantSplit/>
        </w:trPr>
        <w:tc>
          <w:tcPr>
            <w:tcW w:type="dxa" w:w="2952"/>
            <w:shd w:fill="F4F8F8"/>
            <w:tcMar>
              <w:top w:w="110" w:type="dxa"/>
              <w:start w:w="130" w:type="dxa"/>
              <w:bottom w:w="110" w:type="dxa"/>
              <w:end w:w="130" w:type="dxa"/>
            </w:tcMar>
            <w:vAlign w:val="center"/>
          </w:tcPr>
          <w:p>
            <w:pPr>
              <w:spacing w:after="0"/>
            </w:pPr>
            <w:r>
              <w:rPr>
                <w:sz w:val="18"/>
              </w:rPr>
              <w:t>Disk full</w:t>
            </w:r>
          </w:p>
        </w:tc>
        <w:tc>
          <w:tcPr>
            <w:tcW w:type="dxa" w:w="6264"/>
            <w:shd w:fill="F4F8F8"/>
            <w:tcMar>
              <w:top w:w="110" w:type="dxa"/>
              <w:start w:w="130" w:type="dxa"/>
              <w:bottom w:w="110" w:type="dxa"/>
              <w:end w:w="130" w:type="dxa"/>
            </w:tcMar>
            <w:vAlign w:val="center"/>
          </w:tcPr>
          <w:p>
            <w:pPr>
              <w:spacing w:after="0"/>
            </w:pPr>
            <w:r>
              <w:rPr>
                <w:sz w:val="18"/>
              </w:rPr>
              <w:t>Stop acquisition safely and preserve installed content where possible.</w:t>
            </w:r>
          </w:p>
        </w:tc>
      </w:tr>
      <w:tr>
        <w:trPr>
          <w:cantSplit/>
        </w:trPr>
        <w:tc>
          <w:tcPr>
            <w:tcW w:type="dxa" w:w="2952"/>
            <w:tcMar>
              <w:top w:w="110" w:type="dxa"/>
              <w:start w:w="130" w:type="dxa"/>
              <w:bottom w:w="110" w:type="dxa"/>
              <w:end w:w="130" w:type="dxa"/>
            </w:tcMar>
            <w:vAlign w:val="center"/>
          </w:tcPr>
          <w:p>
            <w:pPr>
              <w:spacing w:after="0"/>
            </w:pPr>
            <w:r>
              <w:rPr>
                <w:sz w:val="18"/>
              </w:rPr>
              <w:t>Conflicting revisions</w:t>
            </w:r>
          </w:p>
        </w:tc>
        <w:tc>
          <w:tcPr>
            <w:tcW w:type="dxa" w:w="6264"/>
            <w:tcMar>
              <w:top w:w="110" w:type="dxa"/>
              <w:start w:w="130" w:type="dxa"/>
              <w:bottom w:w="110" w:type="dxa"/>
              <w:end w:w="130" w:type="dxa"/>
            </w:tcMar>
            <w:vAlign w:val="center"/>
          </w:tcPr>
          <w:p>
            <w:pPr>
              <w:spacing w:after="0"/>
            </w:pPr>
            <w:r>
              <w:rPr>
                <w:sz w:val="18"/>
              </w:rPr>
              <w:t>Retain and show both branches; do not resolve silently by timestamp.</w:t>
            </w:r>
          </w:p>
        </w:tc>
      </w:tr>
      <w:tr>
        <w:trPr>
          <w:cantSplit/>
        </w:trPr>
        <w:tc>
          <w:tcPr>
            <w:tcW w:type="dxa" w:w="2952"/>
            <w:shd w:fill="F4F8F8"/>
            <w:tcMar>
              <w:top w:w="110" w:type="dxa"/>
              <w:start w:w="130" w:type="dxa"/>
              <w:bottom w:w="110" w:type="dxa"/>
              <w:end w:w="130" w:type="dxa"/>
            </w:tcMar>
            <w:vAlign w:val="center"/>
          </w:tcPr>
          <w:p>
            <w:pPr>
              <w:spacing w:after="0"/>
            </w:pPr>
            <w:r>
              <w:rPr>
                <w:sz w:val="18"/>
              </w:rPr>
              <w:t>Lost node key</w:t>
            </w:r>
          </w:p>
        </w:tc>
        <w:tc>
          <w:tcPr>
            <w:tcW w:type="dxa" w:w="6264"/>
            <w:shd w:fill="F4F8F8"/>
            <w:tcMar>
              <w:top w:w="110" w:type="dxa"/>
              <w:start w:w="130" w:type="dxa"/>
              <w:bottom w:w="110" w:type="dxa"/>
              <w:end w:w="130" w:type="dxa"/>
            </w:tcMar>
            <w:vAlign w:val="center"/>
          </w:tcPr>
          <w:p>
            <w:pPr>
              <w:spacing w:after="0"/>
            </w:pPr>
            <w:r>
              <w:rPr>
                <w:sz w:val="18"/>
              </w:rPr>
              <w:t>Require explicit reenrollment under a new identity.</w:t>
            </w:r>
          </w:p>
        </w:tc>
      </w:tr>
      <w:tr>
        <w:trPr>
          <w:cantSplit/>
        </w:trPr>
        <w:tc>
          <w:tcPr>
            <w:tcW w:type="dxa" w:w="2952"/>
            <w:tcMar>
              <w:top w:w="110" w:type="dxa"/>
              <w:start w:w="130" w:type="dxa"/>
              <w:bottom w:w="110" w:type="dxa"/>
              <w:end w:w="130" w:type="dxa"/>
            </w:tcMar>
            <w:vAlign w:val="center"/>
          </w:tcPr>
          <w:p>
            <w:pPr>
              <w:spacing w:after="0"/>
            </w:pPr>
            <w:r>
              <w:rPr>
                <w:sz w:val="18"/>
              </w:rPr>
              <w:t>All correct copies lost</w:t>
            </w:r>
          </w:p>
        </w:tc>
        <w:tc>
          <w:tcPr>
            <w:tcW w:type="dxa" w:w="6264"/>
            <w:tcMar>
              <w:top w:w="110" w:type="dxa"/>
              <w:start w:w="130" w:type="dxa"/>
              <w:bottom w:w="110" w:type="dxa"/>
              <w:end w:w="130" w:type="dxa"/>
            </w:tcMar>
            <w:vAlign w:val="center"/>
          </w:tcPr>
          <w:p>
            <w:pPr>
              <w:spacing w:after="0"/>
            </w:pPr>
            <w:r>
              <w:rPr>
                <w:sz w:val="18"/>
              </w:rPr>
              <w:t>Declare content unavailable; do not imply recoverability.</w:t>
            </w:r>
          </w:p>
        </w:tc>
      </w:tr>
      <w:tr>
        <w:trPr>
          <w:cantSplit/>
        </w:trPr>
        <w:tc>
          <w:tcPr>
            <w:tcW w:type="dxa" w:w="2952"/>
            <w:shd w:fill="F4F8F8"/>
            <w:tcMar>
              <w:top w:w="110" w:type="dxa"/>
              <w:start w:w="130" w:type="dxa"/>
              <w:bottom w:w="110" w:type="dxa"/>
              <w:end w:w="130" w:type="dxa"/>
            </w:tcMar>
            <w:vAlign w:val="center"/>
          </w:tcPr>
          <w:p>
            <w:pPr>
              <w:spacing w:after="0"/>
            </w:pPr>
            <w:r>
              <w:rPr>
                <w:sz w:val="18"/>
              </w:rPr>
              <w:t>MVP Docker host lost</w:t>
            </w:r>
          </w:p>
        </w:tc>
        <w:tc>
          <w:tcPr>
            <w:tcW w:type="dxa" w:w="6264"/>
            <w:shd w:fill="F4F8F8"/>
            <w:tcMar>
              <w:top w:w="110" w:type="dxa"/>
              <w:start w:w="130" w:type="dxa"/>
              <w:bottom w:w="110" w:type="dxa"/>
              <w:end w:w="130" w:type="dxa"/>
            </w:tcMar>
            <w:vAlign w:val="center"/>
          </w:tcPr>
          <w:p>
            <w:pPr>
              <w:spacing w:after="0"/>
            </w:pPr>
            <w:r>
              <w:rPr>
                <w:sz w:val="18"/>
              </w:rPr>
              <w:t>All three logical nodes may fail because they share one physical host.</w:t>
            </w:r>
          </w:p>
        </w:tc>
      </w:tr>
    </w:tbl>
    <w:p>
      <w:pPr>
        <w:spacing w:after="0"/>
      </w:pPr>
    </w:p>
    <w:p>
      <w:pPr>
        <w:pStyle w:val="Heading1"/>
        <w:keepNext/>
      </w:pPr>
      <w:r>
        <w:t>11 Deployment and operations</w:t>
      </w:r>
    </w:p>
    <w:p>
      <w:r>
        <w:t>Docker Compose starts three logical Go nodes with distinct identities, ports, configurations and persistent volumes. This is reproducible and sufficient for behavior testing, but all nodes share one host, disk, power source and network path. A meaningful resilience pilot requires independent machines and failure domains.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880"/>
            <w:shd w:fill="111820"/>
            <w:tcMar>
              <w:top w:w="110" w:type="dxa"/>
              <w:start w:w="130" w:type="dxa"/>
              <w:bottom w:w="110" w:type="dxa"/>
              <w:end w:w="130" w:type="dxa"/>
            </w:tcMar>
            <w:vAlign w:val="center"/>
          </w:tcPr>
          <w:p>
            <w:pPr>
              <w:jc w:val="left"/>
            </w:pPr>
            <w:r>
              <w:rPr>
                <w:b/>
                <w:color w:val="FFFFFF"/>
                <w:sz w:val="19"/>
              </w:rPr>
              <w:t>Operational signal</w:t>
            </w:r>
          </w:p>
        </w:tc>
        <w:tc>
          <w:tcPr>
            <w:tcW w:type="dxa" w:w="6336"/>
            <w:shd w:fill="111820"/>
            <w:tcMar>
              <w:top w:w="110" w:type="dxa"/>
              <w:start w:w="130" w:type="dxa"/>
              <w:bottom w:w="110" w:type="dxa"/>
              <w:end w:w="130" w:type="dxa"/>
            </w:tcMar>
            <w:vAlign w:val="center"/>
          </w:tcPr>
          <w:p>
            <w:pPr>
              <w:jc w:val="left"/>
            </w:pPr>
            <w:r>
              <w:rPr>
                <w:b/>
                <w:color w:val="FFFFFF"/>
                <w:sz w:val="19"/>
              </w:rPr>
              <w:t>Interpretation</w:t>
            </w:r>
          </w:p>
        </w:tc>
      </w:tr>
      <w:tr>
        <w:trPr>
          <w:cantSplit/>
        </w:trPr>
        <w:tc>
          <w:tcPr>
            <w:tcW w:type="dxa" w:w="2880"/>
            <w:tcMar>
              <w:top w:w="110" w:type="dxa"/>
              <w:start w:w="130" w:type="dxa"/>
              <w:bottom w:w="110" w:type="dxa"/>
              <w:end w:w="130" w:type="dxa"/>
            </w:tcMar>
            <w:vAlign w:val="center"/>
          </w:tcPr>
          <w:p>
            <w:pPr>
              <w:spacing w:after="0"/>
            </w:pPr>
            <w:r>
              <w:rPr>
                <w:sz w:val="18"/>
              </w:rPr>
              <w:t>Process healthy</w:t>
            </w:r>
          </w:p>
        </w:tc>
        <w:tc>
          <w:tcPr>
            <w:tcW w:type="dxa" w:w="6336"/>
            <w:tcMar>
              <w:top w:w="110" w:type="dxa"/>
              <w:start w:w="130" w:type="dxa"/>
              <w:bottom w:w="110" w:type="dxa"/>
              <w:end w:w="130" w:type="dxa"/>
            </w:tcMar>
            <w:vAlign w:val="center"/>
          </w:tcPr>
          <w:p>
            <w:pPr>
              <w:spacing w:after="0"/>
            </w:pPr>
            <w:r>
              <w:rPr>
                <w:sz w:val="18"/>
              </w:rPr>
              <w:t>The node process is running and local checks pass.</w:t>
            </w:r>
          </w:p>
        </w:tc>
      </w:tr>
      <w:tr>
        <w:trPr>
          <w:cantSplit/>
        </w:trPr>
        <w:tc>
          <w:tcPr>
            <w:tcW w:type="dxa" w:w="2880"/>
            <w:shd w:fill="F4F8F8"/>
            <w:tcMar>
              <w:top w:w="110" w:type="dxa"/>
              <w:start w:w="130" w:type="dxa"/>
              <w:bottom w:w="110" w:type="dxa"/>
              <w:end w:w="130" w:type="dxa"/>
            </w:tcMar>
            <w:vAlign w:val="center"/>
          </w:tcPr>
          <w:p>
            <w:pPr>
              <w:spacing w:after="0"/>
            </w:pPr>
            <w:r>
              <w:rPr>
                <w:sz w:val="18"/>
              </w:rPr>
              <w:t>Content ready</w:t>
            </w:r>
          </w:p>
        </w:tc>
        <w:tc>
          <w:tcPr>
            <w:tcW w:type="dxa" w:w="6336"/>
            <w:shd w:fill="F4F8F8"/>
            <w:tcMar>
              <w:top w:w="110" w:type="dxa"/>
              <w:start w:w="130" w:type="dxa"/>
              <w:bottom w:w="110" w:type="dxa"/>
              <w:end w:w="130" w:type="dxa"/>
            </w:tcMar>
            <w:vAlign w:val="center"/>
          </w:tcPr>
          <w:p>
            <w:pPr>
              <w:spacing w:after="0"/>
            </w:pPr>
            <w:r>
              <w:rPr>
                <w:sz w:val="18"/>
              </w:rPr>
              <w:t>At least the required locally pinned packs are complete and verified.</w:t>
            </w:r>
          </w:p>
        </w:tc>
      </w:tr>
      <w:tr>
        <w:trPr>
          <w:cantSplit/>
        </w:trPr>
        <w:tc>
          <w:tcPr>
            <w:tcW w:type="dxa" w:w="2880"/>
            <w:tcMar>
              <w:top w:w="110" w:type="dxa"/>
              <w:start w:w="130" w:type="dxa"/>
              <w:bottom w:w="110" w:type="dxa"/>
              <w:end w:w="130" w:type="dxa"/>
            </w:tcMar>
            <w:vAlign w:val="center"/>
          </w:tcPr>
          <w:p>
            <w:pPr>
              <w:spacing w:after="0"/>
            </w:pPr>
            <w:r>
              <w:rPr>
                <w:sz w:val="18"/>
              </w:rPr>
              <w:t>Mesh degraded</w:t>
            </w:r>
          </w:p>
        </w:tc>
        <w:tc>
          <w:tcPr>
            <w:tcW w:type="dxa" w:w="6336"/>
            <w:tcMar>
              <w:top w:w="110" w:type="dxa"/>
              <w:start w:w="130" w:type="dxa"/>
              <w:bottom w:w="110" w:type="dxa"/>
              <w:end w:w="130" w:type="dxa"/>
            </w:tcMar>
            <w:vAlign w:val="center"/>
          </w:tcPr>
          <w:p>
            <w:pPr>
              <w:spacing w:after="0"/>
            </w:pPr>
            <w:r>
              <w:rPr>
                <w:sz w:val="18"/>
              </w:rPr>
              <w:t>One or more peers are unavailable; local continuity may still be intact.</w:t>
            </w:r>
          </w:p>
        </w:tc>
      </w:tr>
      <w:tr>
        <w:trPr>
          <w:cantSplit/>
        </w:trPr>
        <w:tc>
          <w:tcPr>
            <w:tcW w:type="dxa" w:w="2880"/>
            <w:shd w:fill="F4F8F8"/>
            <w:tcMar>
              <w:top w:w="110" w:type="dxa"/>
              <w:start w:w="130" w:type="dxa"/>
              <w:bottom w:w="110" w:type="dxa"/>
              <w:end w:w="130" w:type="dxa"/>
            </w:tcMar>
            <w:vAlign w:val="center"/>
          </w:tcPr>
          <w:p>
            <w:pPr>
              <w:spacing w:after="0"/>
            </w:pPr>
            <w:r>
              <w:rPr>
                <w:sz w:val="18"/>
              </w:rPr>
              <w:t>Pack quarantined</w:t>
            </w:r>
          </w:p>
        </w:tc>
        <w:tc>
          <w:tcPr>
            <w:tcW w:type="dxa" w:w="6336"/>
            <w:shd w:fill="F4F8F8"/>
            <w:tcMar>
              <w:top w:w="110" w:type="dxa"/>
              <w:start w:w="130" w:type="dxa"/>
              <w:bottom w:w="110" w:type="dxa"/>
              <w:end w:w="130" w:type="dxa"/>
            </w:tcMar>
            <w:vAlign w:val="center"/>
          </w:tcPr>
          <w:p>
            <w:pPr>
              <w:spacing w:after="0"/>
            </w:pPr>
            <w:r>
              <w:rPr>
                <w:sz w:val="18"/>
              </w:rPr>
              <w:t>A signature, schema or digest verification failed.</w:t>
            </w:r>
          </w:p>
        </w:tc>
      </w:tr>
      <w:tr>
        <w:trPr>
          <w:cantSplit/>
        </w:trPr>
        <w:tc>
          <w:tcPr>
            <w:tcW w:type="dxa" w:w="2880"/>
            <w:tcMar>
              <w:top w:w="110" w:type="dxa"/>
              <w:start w:w="130" w:type="dxa"/>
              <w:bottom w:w="110" w:type="dxa"/>
              <w:end w:w="130" w:type="dxa"/>
            </w:tcMar>
            <w:vAlign w:val="center"/>
          </w:tcPr>
          <w:p>
            <w:pPr>
              <w:spacing w:after="0"/>
            </w:pPr>
            <w:r>
              <w:rPr>
                <w:sz w:val="18"/>
              </w:rPr>
              <w:t>Storage pressure</w:t>
            </w:r>
          </w:p>
        </w:tc>
        <w:tc>
          <w:tcPr>
            <w:tcW w:type="dxa" w:w="6336"/>
            <w:tcMar>
              <w:top w:w="110" w:type="dxa"/>
              <w:start w:w="130" w:type="dxa"/>
              <w:bottom w:w="110" w:type="dxa"/>
              <w:end w:w="130" w:type="dxa"/>
            </w:tcMar>
            <w:vAlign w:val="center"/>
          </w:tcPr>
          <w:p>
            <w:pPr>
              <w:spacing w:after="0"/>
            </w:pPr>
            <w:r>
              <w:rPr>
                <w:sz w:val="18"/>
              </w:rPr>
              <w:t>Acquisition may stop before installed pinned content is affected.</w:t>
            </w:r>
          </w:p>
        </w:tc>
      </w:tr>
    </w:tbl>
    <w:p>
      <w:pPr>
        <w:spacing w:after="0"/>
      </w:pPr>
    </w:p>
    <w:p>
      <w:r>
        <w:t>Logs and metrics should cover peer reachability, pack states, replication retries, bytes transferred, verification failures, integrity-scan coverage, disk quotas and protocol versions. Private content and unnecessary reader identifiers must not be logged.</w:t>
      </w:r>
    </w:p>
    <w:p>
      <w:pPr>
        <w:pStyle w:val="Heading1"/>
        <w:keepNext/>
      </w:pPr>
      <w:r>
        <w:t>12 MVP implementation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2880"/>
            <w:shd w:fill="111820"/>
            <w:tcMar>
              <w:top w:w="110" w:type="dxa"/>
              <w:start w:w="130" w:type="dxa"/>
              <w:bottom w:w="110" w:type="dxa"/>
              <w:end w:w="130" w:type="dxa"/>
            </w:tcMar>
            <w:vAlign w:val="center"/>
          </w:tcPr>
          <w:p>
            <w:pPr>
              <w:jc w:val="left"/>
            </w:pPr>
            <w:r>
              <w:rPr>
                <w:b/>
                <w:color w:val="FFFFFF"/>
                <w:sz w:val="19"/>
              </w:rPr>
              <w:t>Capability</w:t>
            </w:r>
          </w:p>
        </w:tc>
        <w:tc>
          <w:tcPr>
            <w:tcW w:type="dxa" w:w="6336"/>
            <w:shd w:fill="111820"/>
            <w:tcMar>
              <w:top w:w="110" w:type="dxa"/>
              <w:start w:w="130" w:type="dxa"/>
              <w:bottom w:w="110" w:type="dxa"/>
              <w:end w:w="130" w:type="dxa"/>
            </w:tcMar>
            <w:vAlign w:val="center"/>
          </w:tcPr>
          <w:p>
            <w:pPr>
              <w:jc w:val="left"/>
            </w:pPr>
            <w:r>
              <w:rPr>
                <w:b/>
                <w:color w:val="FFFFFF"/>
                <w:sz w:val="19"/>
              </w:rPr>
              <w:t>MVP position</w:t>
            </w:r>
          </w:p>
        </w:tc>
      </w:tr>
      <w:tr>
        <w:trPr>
          <w:cantSplit/>
        </w:trPr>
        <w:tc>
          <w:tcPr>
            <w:tcW w:type="dxa" w:w="2880"/>
            <w:tcMar>
              <w:top w:w="110" w:type="dxa"/>
              <w:start w:w="130" w:type="dxa"/>
              <w:bottom w:w="110" w:type="dxa"/>
              <w:end w:w="130" w:type="dxa"/>
            </w:tcMar>
            <w:vAlign w:val="center"/>
          </w:tcPr>
          <w:p>
            <w:pPr>
              <w:spacing w:after="0"/>
            </w:pPr>
            <w:r>
              <w:rPr>
                <w:sz w:val="18"/>
              </w:rPr>
              <w:t>Runtime</w:t>
            </w:r>
          </w:p>
        </w:tc>
        <w:tc>
          <w:tcPr>
            <w:tcW w:type="dxa" w:w="6336"/>
            <w:tcMar>
              <w:top w:w="110" w:type="dxa"/>
              <w:start w:w="130" w:type="dxa"/>
              <w:bottom w:w="110" w:type="dxa"/>
              <w:end w:w="130" w:type="dxa"/>
            </w:tcMar>
            <w:vAlign w:val="center"/>
          </w:tcPr>
          <w:p>
            <w:pPr>
              <w:spacing w:after="0"/>
            </w:pPr>
            <w:r>
              <w:rPr>
                <w:sz w:val="18"/>
              </w:rPr>
              <w:t>Single Go binary per node</w:t>
            </w:r>
          </w:p>
        </w:tc>
      </w:tr>
      <w:tr>
        <w:trPr>
          <w:cantSplit/>
        </w:trPr>
        <w:tc>
          <w:tcPr>
            <w:tcW w:type="dxa" w:w="2880"/>
            <w:shd w:fill="F4F8F8"/>
            <w:tcMar>
              <w:top w:w="110" w:type="dxa"/>
              <w:start w:w="130" w:type="dxa"/>
              <w:bottom w:w="110" w:type="dxa"/>
              <w:end w:w="130" w:type="dxa"/>
            </w:tcMar>
            <w:vAlign w:val="center"/>
          </w:tcPr>
          <w:p>
            <w:pPr>
              <w:spacing w:after="0"/>
            </w:pPr>
            <w:r>
              <w:rPr>
                <w:sz w:val="18"/>
              </w:rPr>
              <w:t>Topology</w:t>
            </w:r>
          </w:p>
        </w:tc>
        <w:tc>
          <w:tcPr>
            <w:tcW w:type="dxa" w:w="6336"/>
            <w:shd w:fill="F4F8F8"/>
            <w:tcMar>
              <w:top w:w="110" w:type="dxa"/>
              <w:start w:w="130" w:type="dxa"/>
              <w:bottom w:w="110" w:type="dxa"/>
              <w:end w:w="130" w:type="dxa"/>
            </w:tcMar>
            <w:vAlign w:val="center"/>
          </w:tcPr>
          <w:p>
            <w:pPr>
              <w:spacing w:after="0"/>
            </w:pPr>
            <w:r>
              <w:rPr>
                <w:sz w:val="18"/>
              </w:rPr>
              <w:t>Three allowlisted nodes with explicit bootstrap peers</w:t>
            </w:r>
          </w:p>
        </w:tc>
      </w:tr>
      <w:tr>
        <w:trPr>
          <w:cantSplit/>
        </w:trPr>
        <w:tc>
          <w:tcPr>
            <w:tcW w:type="dxa" w:w="2880"/>
            <w:tcMar>
              <w:top w:w="110" w:type="dxa"/>
              <w:start w:w="130" w:type="dxa"/>
              <w:bottom w:w="110" w:type="dxa"/>
              <w:end w:w="130" w:type="dxa"/>
            </w:tcMar>
            <w:vAlign w:val="center"/>
          </w:tcPr>
          <w:p>
            <w:pPr>
              <w:spacing w:after="0"/>
            </w:pPr>
            <w:r>
              <w:rPr>
                <w:sz w:val="18"/>
              </w:rPr>
              <w:t>Identity</w:t>
            </w:r>
          </w:p>
        </w:tc>
        <w:tc>
          <w:tcPr>
            <w:tcW w:type="dxa" w:w="6336"/>
            <w:tcMar>
              <w:top w:w="110" w:type="dxa"/>
              <w:start w:w="130" w:type="dxa"/>
              <w:bottom w:w="110" w:type="dxa"/>
              <w:end w:w="130" w:type="dxa"/>
            </w:tcMar>
            <w:vAlign w:val="center"/>
          </w:tcPr>
          <w:p>
            <w:pPr>
              <w:spacing w:after="0"/>
            </w:pPr>
            <w:r>
              <w:rPr>
                <w:sz w:val="18"/>
              </w:rPr>
              <w:t>Persistent Ed25519 node and publisher material</w:t>
            </w:r>
          </w:p>
        </w:tc>
      </w:tr>
      <w:tr>
        <w:trPr>
          <w:cantSplit/>
        </w:trPr>
        <w:tc>
          <w:tcPr>
            <w:tcW w:type="dxa" w:w="2880"/>
            <w:shd w:fill="F4F8F8"/>
            <w:tcMar>
              <w:top w:w="110" w:type="dxa"/>
              <w:start w:w="130" w:type="dxa"/>
              <w:bottom w:w="110" w:type="dxa"/>
              <w:end w:w="130" w:type="dxa"/>
            </w:tcMar>
            <w:vAlign w:val="center"/>
          </w:tcPr>
          <w:p>
            <w:pPr>
              <w:spacing w:after="0"/>
            </w:pPr>
            <w:r>
              <w:rPr>
                <w:sz w:val="18"/>
              </w:rPr>
              <w:t>Integrity</w:t>
            </w:r>
          </w:p>
        </w:tc>
        <w:tc>
          <w:tcPr>
            <w:tcW w:type="dxa" w:w="6336"/>
            <w:shd w:fill="F4F8F8"/>
            <w:tcMar>
              <w:top w:w="110" w:type="dxa"/>
              <w:start w:w="130" w:type="dxa"/>
              <w:bottom w:w="110" w:type="dxa"/>
              <w:end w:w="130" w:type="dxa"/>
            </w:tcMar>
            <w:vAlign w:val="center"/>
          </w:tcPr>
          <w:p>
            <w:pPr>
              <w:spacing w:after="0"/>
            </w:pPr>
            <w:r>
              <w:rPr>
                <w:sz w:val="18"/>
              </w:rPr>
              <w:t>Signed manifest plus SHA-256 file verification</w:t>
            </w:r>
          </w:p>
        </w:tc>
      </w:tr>
      <w:tr>
        <w:trPr>
          <w:cantSplit/>
        </w:trPr>
        <w:tc>
          <w:tcPr>
            <w:tcW w:type="dxa" w:w="2880"/>
            <w:tcMar>
              <w:top w:w="110" w:type="dxa"/>
              <w:start w:w="130" w:type="dxa"/>
              <w:bottom w:w="110" w:type="dxa"/>
              <w:end w:w="130" w:type="dxa"/>
            </w:tcMar>
            <w:vAlign w:val="center"/>
          </w:tcPr>
          <w:p>
            <w:pPr>
              <w:spacing w:after="0"/>
            </w:pPr>
            <w:r>
              <w:rPr>
                <w:sz w:val="18"/>
              </w:rPr>
              <w:t>Replication</w:t>
            </w:r>
          </w:p>
        </w:tc>
        <w:tc>
          <w:tcPr>
            <w:tcW w:type="dxa" w:w="6336"/>
            <w:tcMar>
              <w:top w:w="110" w:type="dxa"/>
              <w:start w:w="130" w:type="dxa"/>
              <w:bottom w:w="110" w:type="dxa"/>
              <w:end w:w="130" w:type="dxa"/>
            </w:tcMar>
            <w:vAlign w:val="center"/>
          </w:tcPr>
          <w:p>
            <w:pPr>
              <w:spacing w:after="0"/>
            </w:pPr>
            <w:r>
              <w:rPr>
                <w:sz w:val="18"/>
              </w:rPr>
              <w:t>Direct peer polling and pull transfer</w:t>
            </w:r>
          </w:p>
        </w:tc>
      </w:tr>
      <w:tr>
        <w:trPr>
          <w:cantSplit/>
        </w:trPr>
        <w:tc>
          <w:tcPr>
            <w:tcW w:type="dxa" w:w="2880"/>
            <w:shd w:fill="F4F8F8"/>
            <w:tcMar>
              <w:top w:w="110" w:type="dxa"/>
              <w:start w:w="130" w:type="dxa"/>
              <w:bottom w:w="110" w:type="dxa"/>
              <w:end w:w="130" w:type="dxa"/>
            </w:tcMar>
            <w:vAlign w:val="center"/>
          </w:tcPr>
          <w:p>
            <w:pPr>
              <w:spacing w:after="0"/>
            </w:pPr>
            <w:r>
              <w:rPr>
                <w:sz w:val="18"/>
              </w:rPr>
              <w:t>Recovery</w:t>
            </w:r>
          </w:p>
        </w:tc>
        <w:tc>
          <w:tcPr>
            <w:tcW w:type="dxa" w:w="6336"/>
            <w:shd w:fill="F4F8F8"/>
            <w:tcMar>
              <w:top w:w="110" w:type="dxa"/>
              <w:start w:w="130" w:type="dxa"/>
              <w:bottom w:w="110" w:type="dxa"/>
              <w:end w:w="130" w:type="dxa"/>
            </w:tcMar>
            <w:vAlign w:val="center"/>
          </w:tcPr>
          <w:p>
            <w:pPr>
              <w:spacing w:after="0"/>
            </w:pPr>
            <w:r>
              <w:rPr>
                <w:sz w:val="18"/>
              </w:rPr>
              <w:t>Detect modified bytes and obtain a valid peer copy</w:t>
            </w:r>
          </w:p>
        </w:tc>
      </w:tr>
      <w:tr>
        <w:trPr>
          <w:cantSplit/>
        </w:trPr>
        <w:tc>
          <w:tcPr>
            <w:tcW w:type="dxa" w:w="2880"/>
            <w:tcMar>
              <w:top w:w="110" w:type="dxa"/>
              <w:start w:w="130" w:type="dxa"/>
              <w:bottom w:w="110" w:type="dxa"/>
              <w:end w:w="130" w:type="dxa"/>
            </w:tcMar>
            <w:vAlign w:val="center"/>
          </w:tcPr>
          <w:p>
            <w:pPr>
              <w:spacing w:after="0"/>
            </w:pPr>
            <w:r>
              <w:rPr>
                <w:sz w:val="18"/>
              </w:rPr>
              <w:t>Access</w:t>
            </w:r>
          </w:p>
        </w:tc>
        <w:tc>
          <w:tcPr>
            <w:tcW w:type="dxa" w:w="6336"/>
            <w:tcMar>
              <w:top w:w="110" w:type="dxa"/>
              <w:start w:w="130" w:type="dxa"/>
              <w:bottom w:w="110" w:type="dxa"/>
              <w:end w:w="130" w:type="dxa"/>
            </w:tcMar>
            <w:vAlign w:val="center"/>
          </w:tcPr>
          <w:p>
            <w:pPr>
              <w:spacing w:after="0"/>
            </w:pPr>
            <w:r>
              <w:rPr>
                <w:sz w:val="18"/>
              </w:rPr>
              <w:t>Local read-only web view and status endpoints</w:t>
            </w:r>
          </w:p>
        </w:tc>
      </w:tr>
      <w:tr>
        <w:trPr>
          <w:cantSplit/>
        </w:trPr>
        <w:tc>
          <w:tcPr>
            <w:tcW w:type="dxa" w:w="2880"/>
            <w:shd w:fill="F4F8F8"/>
            <w:tcMar>
              <w:top w:w="110" w:type="dxa"/>
              <w:start w:w="130" w:type="dxa"/>
              <w:bottom w:w="110" w:type="dxa"/>
              <w:end w:w="130" w:type="dxa"/>
            </w:tcMar>
            <w:vAlign w:val="center"/>
          </w:tcPr>
          <w:p>
            <w:pPr>
              <w:spacing w:after="0"/>
            </w:pPr>
            <w:r>
              <w:rPr>
                <w:sz w:val="18"/>
              </w:rPr>
              <w:t>Packaging</w:t>
            </w:r>
          </w:p>
        </w:tc>
        <w:tc>
          <w:tcPr>
            <w:tcW w:type="dxa" w:w="6336"/>
            <w:shd w:fill="F4F8F8"/>
            <w:tcMar>
              <w:top w:w="110" w:type="dxa"/>
              <w:start w:w="130" w:type="dxa"/>
              <w:bottom w:w="110" w:type="dxa"/>
              <w:end w:w="130" w:type="dxa"/>
            </w:tcMar>
            <w:vAlign w:val="center"/>
          </w:tcPr>
          <w:p>
            <w:pPr>
              <w:spacing w:after="0"/>
            </w:pPr>
            <w:r>
              <w:rPr>
                <w:sz w:val="18"/>
              </w:rPr>
              <w:t>Docker Compose and scripted demonstration</w:t>
            </w:r>
          </w:p>
        </w:tc>
      </w:tr>
      <w:tr>
        <w:trPr>
          <w:cantSplit/>
        </w:trPr>
        <w:tc>
          <w:tcPr>
            <w:tcW w:type="dxa" w:w="2880"/>
            <w:tcMar>
              <w:top w:w="110" w:type="dxa"/>
              <w:start w:w="130" w:type="dxa"/>
              <w:bottom w:w="110" w:type="dxa"/>
              <w:end w:w="130" w:type="dxa"/>
            </w:tcMar>
            <w:vAlign w:val="center"/>
          </w:tcPr>
          <w:p>
            <w:pPr>
              <w:spacing w:after="0"/>
            </w:pPr>
            <w:r>
              <w:rPr>
                <w:sz w:val="18"/>
              </w:rPr>
              <w:t>Status</w:t>
            </w:r>
          </w:p>
        </w:tc>
        <w:tc>
          <w:tcPr>
            <w:tcW w:type="dxa" w:w="6336"/>
            <w:tcMar>
              <w:top w:w="110" w:type="dxa"/>
              <w:start w:w="130" w:type="dxa"/>
              <w:bottom w:w="110" w:type="dxa"/>
              <w:end w:w="130" w:type="dxa"/>
            </w:tcMar>
            <w:vAlign w:val="center"/>
          </w:tcPr>
          <w:p>
            <w:pPr>
              <w:spacing w:after="0"/>
            </w:pPr>
            <w:r>
              <w:rPr>
                <w:sz w:val="18"/>
              </w:rPr>
              <w:t>Experimental pre-alpha; not production-secure</w:t>
            </w:r>
          </w:p>
        </w:tc>
      </w:tr>
    </w:tbl>
    <w:p>
      <w:pPr>
        <w:spacing w:after="0"/>
      </w:pPr>
    </w:p>
    <w:p>
      <w:pPr>
        <w:pStyle w:val="Heading2"/>
        <w:keepNext/>
      </w:pPr>
      <w:r>
        <w:t>12.1 Demonstration acceptance</w:t>
      </w:r>
    </w:p>
    <w:p>
      <w:pPr>
        <w:ind w:left="403" w:hanging="403"/>
      </w:pPr>
      <w:r>
        <w:rPr>
          <w:b/>
        </w:rPr>
        <w:t>1.</w:t>
      </w:r>
      <w:r>
        <w:t xml:space="preserve">  Node A publishes a signed sample HearthPack.</w:t>
      </w:r>
    </w:p>
    <w:p>
      <w:pPr>
        <w:ind w:left="403" w:hanging="403"/>
      </w:pPr>
      <w:r>
        <w:rPr>
          <w:b/>
        </w:rPr>
        <w:t>2.</w:t>
      </w:r>
      <w:r>
        <w:t xml:space="preserve">  Nodes B and C replicate and verify the same pack.</w:t>
      </w:r>
    </w:p>
    <w:p>
      <w:pPr>
        <w:ind w:left="403" w:hanging="403"/>
      </w:pPr>
      <w:r>
        <w:rPr>
          <w:b/>
        </w:rPr>
        <w:t>3.</w:t>
      </w:r>
      <w:r>
        <w:t xml:space="preserve">  Node A is stopped and no longer serves as publisher.</w:t>
      </w:r>
    </w:p>
    <w:p>
      <w:pPr>
        <w:ind w:left="403" w:hanging="403"/>
      </w:pPr>
      <w:r>
        <w:rPr>
          <w:b/>
        </w:rPr>
        <w:t>4.</w:t>
      </w:r>
      <w:r>
        <w:t xml:space="preserve">  A stored file on node B is deliberately modified.</w:t>
      </w:r>
    </w:p>
    <w:p>
      <w:pPr>
        <w:ind w:left="403" w:hanging="403"/>
      </w:pPr>
      <w:r>
        <w:rPr>
          <w:b/>
        </w:rPr>
        <w:t>5.</w:t>
      </w:r>
      <w:r>
        <w:t xml:space="preserve">  Node B detects that the file digest does not match the signed manifest.</w:t>
      </w:r>
    </w:p>
    <w:p>
      <w:pPr>
        <w:ind w:left="403" w:hanging="403"/>
      </w:pPr>
      <w:r>
        <w:rPr>
          <w:b/>
        </w:rPr>
        <w:t>6.</w:t>
      </w:r>
      <w:r>
        <w:t xml:space="preserve">  Node B retrieves the expected bytes from node C and verifies them before restoration.</w:t>
      </w:r>
    </w:p>
    <w:p>
      <w:pPr>
        <w:ind w:left="403" w:hanging="403"/>
      </w:pPr>
      <w:r>
        <w:rPr>
          <w:b/>
        </w:rPr>
        <w:t>7.</w:t>
      </w:r>
      <w:r>
        <w:t xml:space="preserve">  The recovered pack remains available through the local portal.</w:t>
      </w:r>
    </w:p>
    <w:p>
      <w:r>
        <w:t>Acceptance was completed on 24 September 2026 on a Windows x86-64 host. All four Go tests passed, the Windows binary built successfully, and the three-node Docker drill demonstrated publication, replication, continued availability after node A stopped, corruption detection on node B and repair from node C. This is single-host functional evidence, not an independent security audit or a multi-host resilience test. Continuous integration must repeat tests and builds for ongoing changes.</w:t>
      </w:r>
    </w:p>
    <w:p>
      <w:pPr>
        <w:pStyle w:val="Heading1"/>
        <w:keepNext/>
      </w:pPr>
      <w:r>
        <w:t>13 Architecture decisions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trPr>
        <w:tc>
          <w:tcPr>
            <w:tcW w:type="dxa" w:w="3024"/>
            <w:shd w:fill="111820"/>
            <w:tcMar>
              <w:top w:w="110" w:type="dxa"/>
              <w:start w:w="130" w:type="dxa"/>
              <w:bottom w:w="110" w:type="dxa"/>
              <w:end w:w="130" w:type="dxa"/>
            </w:tcMar>
            <w:vAlign w:val="center"/>
          </w:tcPr>
          <w:p>
            <w:pPr>
              <w:jc w:val="left"/>
            </w:pPr>
            <w:r>
              <w:rPr>
                <w:b/>
                <w:color w:val="FFFFFF"/>
                <w:sz w:val="19"/>
              </w:rPr>
              <w:t>Decision</w:t>
            </w:r>
          </w:p>
        </w:tc>
        <w:tc>
          <w:tcPr>
            <w:tcW w:type="dxa" w:w="6192"/>
            <w:shd w:fill="111820"/>
            <w:tcMar>
              <w:top w:w="110" w:type="dxa"/>
              <w:start w:w="130" w:type="dxa"/>
              <w:bottom w:w="110" w:type="dxa"/>
              <w:end w:w="130" w:type="dxa"/>
            </w:tcMar>
            <w:vAlign w:val="center"/>
          </w:tcPr>
          <w:p>
            <w:pPr>
              <w:jc w:val="left"/>
            </w:pPr>
            <w:r>
              <w:rPr>
                <w:b/>
                <w:color w:val="FFFFFF"/>
                <w:sz w:val="19"/>
              </w:rPr>
              <w:t>Rationale</w:t>
            </w:r>
          </w:p>
        </w:tc>
      </w:tr>
      <w:tr>
        <w:trPr>
          <w:cantSplit/>
        </w:trPr>
        <w:tc>
          <w:tcPr>
            <w:tcW w:type="dxa" w:w="3024"/>
            <w:tcMar>
              <w:top w:w="110" w:type="dxa"/>
              <w:start w:w="130" w:type="dxa"/>
              <w:bottom w:w="110" w:type="dxa"/>
              <w:end w:w="130" w:type="dxa"/>
            </w:tcMar>
            <w:vAlign w:val="center"/>
          </w:tcPr>
          <w:p>
            <w:pPr>
              <w:spacing w:after="0"/>
            </w:pPr>
            <w:r>
              <w:rPr>
                <w:sz w:val="18"/>
              </w:rPr>
              <w:t>Immutable content addressing</w:t>
            </w:r>
          </w:p>
        </w:tc>
        <w:tc>
          <w:tcPr>
            <w:tcW w:type="dxa" w:w="6192"/>
            <w:tcMar>
              <w:top w:w="110" w:type="dxa"/>
              <w:start w:w="130" w:type="dxa"/>
              <w:bottom w:w="110" w:type="dxa"/>
              <w:end w:w="130" w:type="dxa"/>
            </w:tcMar>
            <w:vAlign w:val="center"/>
          </w:tcPr>
          <w:p>
            <w:pPr>
              <w:spacing w:after="0"/>
            </w:pPr>
            <w:r>
              <w:rPr>
                <w:sz w:val="18"/>
              </w:rPr>
              <w:t>Makes stored objects independently verifiable and avoids silent mutation.</w:t>
            </w:r>
          </w:p>
        </w:tc>
      </w:tr>
      <w:tr>
        <w:trPr>
          <w:cantSplit/>
        </w:trPr>
        <w:tc>
          <w:tcPr>
            <w:tcW w:type="dxa" w:w="3024"/>
            <w:shd w:fill="F4F8F8"/>
            <w:tcMar>
              <w:top w:w="110" w:type="dxa"/>
              <w:start w:w="130" w:type="dxa"/>
              <w:bottom w:w="110" w:type="dxa"/>
              <w:end w:w="130" w:type="dxa"/>
            </w:tcMar>
            <w:vAlign w:val="center"/>
          </w:tcPr>
          <w:p>
            <w:pPr>
              <w:spacing w:after="0"/>
            </w:pPr>
            <w:r>
              <w:rPr>
                <w:sz w:val="18"/>
              </w:rPr>
              <w:t>Separate publisher and node identities</w:t>
            </w:r>
          </w:p>
        </w:tc>
        <w:tc>
          <w:tcPr>
            <w:tcW w:type="dxa" w:w="6192"/>
            <w:shd w:fill="F4F8F8"/>
            <w:tcMar>
              <w:top w:w="110" w:type="dxa"/>
              <w:start w:w="130" w:type="dxa"/>
              <w:bottom w:w="110" w:type="dxa"/>
              <w:end w:w="130" w:type="dxa"/>
            </w:tcMar>
            <w:vAlign w:val="center"/>
          </w:tcPr>
          <w:p>
            <w:pPr>
              <w:spacing w:after="0"/>
            </w:pPr>
            <w:r>
              <w:rPr>
                <w:sz w:val="18"/>
              </w:rPr>
              <w:t>Publishing authority should not be implied by transport participation.</w:t>
            </w:r>
          </w:p>
        </w:tc>
      </w:tr>
      <w:tr>
        <w:trPr>
          <w:cantSplit/>
        </w:trPr>
        <w:tc>
          <w:tcPr>
            <w:tcW w:type="dxa" w:w="3024"/>
            <w:tcMar>
              <w:top w:w="110" w:type="dxa"/>
              <w:start w:w="130" w:type="dxa"/>
              <w:bottom w:w="110" w:type="dxa"/>
              <w:end w:w="130" w:type="dxa"/>
            </w:tcMar>
            <w:vAlign w:val="center"/>
          </w:tcPr>
          <w:p>
            <w:pPr>
              <w:spacing w:after="0"/>
            </w:pPr>
            <w:r>
              <w:rPr>
                <w:sz w:val="18"/>
              </w:rPr>
              <w:t>Direct identifiable peers</w:t>
            </w:r>
          </w:p>
        </w:tc>
        <w:tc>
          <w:tcPr>
            <w:tcW w:type="dxa" w:w="6192"/>
            <w:tcMar>
              <w:top w:w="110" w:type="dxa"/>
              <w:start w:w="130" w:type="dxa"/>
              <w:bottom w:w="110" w:type="dxa"/>
              <w:end w:w="130" w:type="dxa"/>
            </w:tcMar>
            <w:vAlign w:val="center"/>
          </w:tcPr>
          <w:p>
            <w:pPr>
              <w:spacing w:after="0"/>
            </w:pPr>
            <w:r>
              <w:rPr>
                <w:sz w:val="18"/>
              </w:rPr>
              <w:t>Supports accountability and intentionally rejects anonymity infrastructure.</w:t>
            </w:r>
          </w:p>
        </w:tc>
      </w:tr>
      <w:tr>
        <w:trPr>
          <w:cantSplit/>
        </w:trPr>
        <w:tc>
          <w:tcPr>
            <w:tcW w:type="dxa" w:w="3024"/>
            <w:shd w:fill="F4F8F8"/>
            <w:tcMar>
              <w:top w:w="110" w:type="dxa"/>
              <w:start w:w="130" w:type="dxa"/>
              <w:bottom w:w="110" w:type="dxa"/>
              <w:end w:w="130" w:type="dxa"/>
            </w:tcMar>
            <w:vAlign w:val="center"/>
          </w:tcPr>
          <w:p>
            <w:pPr>
              <w:spacing w:after="0"/>
            </w:pPr>
            <w:r>
              <w:rPr>
                <w:sz w:val="18"/>
              </w:rPr>
              <w:t>Pull replication</w:t>
            </w:r>
          </w:p>
        </w:tc>
        <w:tc>
          <w:tcPr>
            <w:tcW w:type="dxa" w:w="6192"/>
            <w:shd w:fill="F4F8F8"/>
            <w:tcMar>
              <w:top w:w="110" w:type="dxa"/>
              <w:start w:w="130" w:type="dxa"/>
              <w:bottom w:w="110" w:type="dxa"/>
              <w:end w:w="130" w:type="dxa"/>
            </w:tcMar>
            <w:vAlign w:val="center"/>
          </w:tcPr>
          <w:p>
            <w:pPr>
              <w:spacing w:after="0"/>
            </w:pPr>
            <w:r>
              <w:rPr>
                <w:sz w:val="18"/>
              </w:rPr>
              <w:t>Prevents unsolicited peers from pushing arbitrary content into storage.</w:t>
            </w:r>
          </w:p>
        </w:tc>
      </w:tr>
      <w:tr>
        <w:trPr>
          <w:cantSplit/>
        </w:trPr>
        <w:tc>
          <w:tcPr>
            <w:tcW w:type="dxa" w:w="3024"/>
            <w:tcMar>
              <w:top w:w="110" w:type="dxa"/>
              <w:start w:w="130" w:type="dxa"/>
              <w:bottom w:w="110" w:type="dxa"/>
              <w:end w:w="130" w:type="dxa"/>
            </w:tcMar>
            <w:vAlign w:val="center"/>
          </w:tcPr>
          <w:p>
            <w:pPr>
              <w:spacing w:after="0"/>
            </w:pPr>
            <w:r>
              <w:rPr>
                <w:sz w:val="18"/>
              </w:rPr>
              <w:t>Local policy</w:t>
            </w:r>
          </w:p>
        </w:tc>
        <w:tc>
          <w:tcPr>
            <w:tcW w:type="dxa" w:w="6192"/>
            <w:tcMar>
              <w:top w:w="110" w:type="dxa"/>
              <w:start w:w="130" w:type="dxa"/>
              <w:bottom w:w="110" w:type="dxa"/>
              <w:end w:w="130" w:type="dxa"/>
            </w:tcMar>
            <w:vAlign w:val="center"/>
          </w:tcPr>
          <w:p>
            <w:pPr>
              <w:spacing w:after="0"/>
            </w:pPr>
            <w:r>
              <w:rPr>
                <w:sz w:val="18"/>
              </w:rPr>
              <w:t>Signing does not create a storage obligation for every node.</w:t>
            </w:r>
          </w:p>
        </w:tc>
      </w:tr>
      <w:tr>
        <w:trPr>
          <w:cantSplit/>
        </w:trPr>
        <w:tc>
          <w:tcPr>
            <w:tcW w:type="dxa" w:w="3024"/>
            <w:shd w:fill="F4F8F8"/>
            <w:tcMar>
              <w:top w:w="110" w:type="dxa"/>
              <w:start w:w="130" w:type="dxa"/>
              <w:bottom w:w="110" w:type="dxa"/>
              <w:end w:w="130" w:type="dxa"/>
            </w:tcMar>
            <w:vAlign w:val="center"/>
          </w:tcPr>
          <w:p>
            <w:pPr>
              <w:spacing w:after="0"/>
            </w:pPr>
            <w:r>
              <w:rPr>
                <w:sz w:val="18"/>
              </w:rPr>
              <w:t>No global consensus</w:t>
            </w:r>
          </w:p>
        </w:tc>
        <w:tc>
          <w:tcPr>
            <w:tcW w:type="dxa" w:w="6192"/>
            <w:shd w:fill="F4F8F8"/>
            <w:tcMar>
              <w:top w:w="110" w:type="dxa"/>
              <w:start w:w="130" w:type="dxa"/>
              <w:bottom w:w="110" w:type="dxa"/>
              <w:end w:w="130" w:type="dxa"/>
            </w:tcMar>
            <w:vAlign w:val="center"/>
          </w:tcPr>
          <w:p>
            <w:pPr>
              <w:spacing w:after="0"/>
            </w:pPr>
            <w:r>
              <w:rPr>
                <w:sz w:val="18"/>
              </w:rPr>
              <w:t>The system can preserve conflicting branches without pretending to select truth.</w:t>
            </w:r>
          </w:p>
        </w:tc>
      </w:tr>
      <w:tr>
        <w:trPr>
          <w:cantSplit/>
        </w:trPr>
        <w:tc>
          <w:tcPr>
            <w:tcW w:type="dxa" w:w="3024"/>
            <w:tcMar>
              <w:top w:w="110" w:type="dxa"/>
              <w:start w:w="130" w:type="dxa"/>
              <w:bottom w:w="110" w:type="dxa"/>
              <w:end w:w="130" w:type="dxa"/>
            </w:tcMar>
            <w:vAlign w:val="center"/>
          </w:tcPr>
          <w:p>
            <w:pPr>
              <w:spacing w:after="0"/>
            </w:pPr>
            <w:r>
              <w:rPr>
                <w:sz w:val="18"/>
              </w:rPr>
              <w:t>No AI at runtime</w:t>
            </w:r>
          </w:p>
        </w:tc>
        <w:tc>
          <w:tcPr>
            <w:tcW w:type="dxa" w:w="6192"/>
            <w:tcMar>
              <w:top w:w="110" w:type="dxa"/>
              <w:start w:w="130" w:type="dxa"/>
              <w:bottom w:w="110" w:type="dxa"/>
              <w:end w:w="130" w:type="dxa"/>
            </w:tcMar>
            <w:vAlign w:val="center"/>
          </w:tcPr>
          <w:p>
            <w:pPr>
              <w:spacing w:after="0"/>
            </w:pPr>
            <w:r>
              <w:rPr>
                <w:sz w:val="18"/>
              </w:rPr>
              <w:t>Trust decisions remain deterministic, inspectable and service-independent.</w:t>
            </w:r>
          </w:p>
        </w:tc>
      </w:tr>
      <w:tr>
        <w:trPr>
          <w:cantSplit/>
        </w:trPr>
        <w:tc>
          <w:tcPr>
            <w:tcW w:type="dxa" w:w="3024"/>
            <w:shd w:fill="F4F8F8"/>
            <w:tcMar>
              <w:top w:w="110" w:type="dxa"/>
              <w:start w:w="130" w:type="dxa"/>
              <w:bottom w:w="110" w:type="dxa"/>
              <w:end w:w="130" w:type="dxa"/>
            </w:tcMar>
            <w:vAlign w:val="center"/>
          </w:tcPr>
          <w:p>
            <w:pPr>
              <w:spacing w:after="0"/>
            </w:pPr>
            <w:r>
              <w:rPr>
                <w:sz w:val="18"/>
              </w:rPr>
              <w:t>Separate private-cell process</w:t>
            </w:r>
          </w:p>
        </w:tc>
        <w:tc>
          <w:tcPr>
            <w:tcW w:type="dxa" w:w="6192"/>
            <w:shd w:fill="F4F8F8"/>
            <w:tcMar>
              <w:top w:w="110" w:type="dxa"/>
              <w:start w:w="130" w:type="dxa"/>
              <w:bottom w:w="110" w:type="dxa"/>
              <w:end w:w="130" w:type="dxa"/>
            </w:tcMar>
            <w:vAlign w:val="center"/>
          </w:tcPr>
          <w:p>
            <w:pPr>
              <w:spacing w:after="0"/>
            </w:pPr>
            <w:r>
              <w:rPr>
                <w:sz w:val="18"/>
              </w:rPr>
              <w:t>Avoids claiming safe multi-tenancy before isolation is designed and tested.</w:t>
            </w:r>
          </w:p>
        </w:tc>
      </w:tr>
    </w:tbl>
    <w:p>
      <w:pPr>
        <w:spacing w:after="0"/>
      </w:pPr>
    </w:p>
    <w:p>
      <w:pPr>
        <w:pStyle w:val="Heading1"/>
        <w:keepNext/>
      </w:pPr>
      <w:r>
        <w:t>14 Roadmap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trPr>
        <w:tc>
          <w:tcPr>
            <w:tcW w:type="dxa" w:w="2016"/>
            <w:shd w:fill="111820"/>
            <w:tcMar>
              <w:top w:w="110" w:type="dxa"/>
              <w:start w:w="130" w:type="dxa"/>
              <w:bottom w:w="110" w:type="dxa"/>
              <w:end w:w="130" w:type="dxa"/>
            </w:tcMar>
            <w:vAlign w:val="center"/>
          </w:tcPr>
          <w:p>
            <w:pPr>
              <w:jc w:val="left"/>
            </w:pPr>
            <w:r>
              <w:rPr>
                <w:b/>
                <w:color w:val="FFFFFF"/>
                <w:sz w:val="19"/>
              </w:rPr>
              <w:t>Phase</w:t>
            </w:r>
          </w:p>
        </w:tc>
        <w:tc>
          <w:tcPr>
            <w:tcW w:type="dxa" w:w="3600"/>
            <w:shd w:fill="111820"/>
            <w:tcMar>
              <w:top w:w="110" w:type="dxa"/>
              <w:start w:w="130" w:type="dxa"/>
              <w:bottom w:w="110" w:type="dxa"/>
              <w:end w:w="130" w:type="dxa"/>
            </w:tcMar>
            <w:vAlign w:val="center"/>
          </w:tcPr>
          <w:p>
            <w:pPr>
              <w:jc w:val="left"/>
            </w:pPr>
            <w:r>
              <w:rPr>
                <w:b/>
                <w:color w:val="FFFFFF"/>
                <w:sz w:val="19"/>
              </w:rPr>
              <w:t>Outcome</w:t>
            </w:r>
          </w:p>
        </w:tc>
        <w:tc>
          <w:tcPr>
            <w:tcW w:type="dxa" w:w="3600"/>
            <w:shd w:fill="111820"/>
            <w:tcMar>
              <w:top w:w="110" w:type="dxa"/>
              <w:start w:w="130" w:type="dxa"/>
              <w:bottom w:w="110" w:type="dxa"/>
              <w:end w:w="130" w:type="dxa"/>
            </w:tcMar>
            <w:vAlign w:val="center"/>
          </w:tcPr>
          <w:p>
            <w:pPr>
              <w:jc w:val="left"/>
            </w:pPr>
            <w:r>
              <w:rPr>
                <w:b/>
                <w:color w:val="FFFFFF"/>
                <w:sz w:val="19"/>
              </w:rPr>
              <w:t>Exit evidence</w:t>
            </w:r>
          </w:p>
        </w:tc>
      </w:tr>
      <w:tr>
        <w:trPr>
          <w:cantSplit/>
        </w:trPr>
        <w:tc>
          <w:tcPr>
            <w:tcW w:type="dxa" w:w="2016"/>
            <w:tcMar>
              <w:top w:w="110" w:type="dxa"/>
              <w:start w:w="130" w:type="dxa"/>
              <w:bottom w:w="110" w:type="dxa"/>
              <w:end w:w="130" w:type="dxa"/>
            </w:tcMar>
            <w:vAlign w:val="center"/>
          </w:tcPr>
          <w:p>
            <w:pPr>
              <w:spacing w:after="0"/>
            </w:pPr>
            <w:r>
              <w:rPr>
                <w:sz w:val="18"/>
              </w:rPr>
              <w:t>1 Protocol specification</w:t>
            </w:r>
          </w:p>
        </w:tc>
        <w:tc>
          <w:tcPr>
            <w:tcW w:type="dxa" w:w="3600"/>
            <w:tcMar>
              <w:top w:w="110" w:type="dxa"/>
              <w:start w:w="130" w:type="dxa"/>
              <w:bottom w:w="110" w:type="dxa"/>
              <w:end w:w="130" w:type="dxa"/>
            </w:tcMar>
            <w:vAlign w:val="center"/>
          </w:tcPr>
          <w:p>
            <w:pPr>
              <w:spacing w:after="0"/>
            </w:pPr>
            <w:r>
              <w:rPr>
                <w:sz w:val="18"/>
              </w:rPr>
              <w:t>Canonical encoding, IDs, limits and test vectors</w:t>
            </w:r>
          </w:p>
        </w:tc>
        <w:tc>
          <w:tcPr>
            <w:tcW w:type="dxa" w:w="3600"/>
            <w:tcMar>
              <w:top w:w="110" w:type="dxa"/>
              <w:start w:w="130" w:type="dxa"/>
              <w:bottom w:w="110" w:type="dxa"/>
              <w:end w:w="130" w:type="dxa"/>
            </w:tcMar>
            <w:vAlign w:val="center"/>
          </w:tcPr>
          <w:p>
            <w:pPr>
              <w:spacing w:after="0"/>
            </w:pPr>
            <w:r>
              <w:rPr>
                <w:sz w:val="18"/>
              </w:rPr>
              <w:t>Independent implementations produce identical IDs and signatures.</w:t>
            </w:r>
          </w:p>
        </w:tc>
      </w:tr>
      <w:tr>
        <w:trPr>
          <w:cantSplit/>
        </w:trPr>
        <w:tc>
          <w:tcPr>
            <w:tcW w:type="dxa" w:w="2016"/>
            <w:shd w:fill="F4F8F8"/>
            <w:tcMar>
              <w:top w:w="110" w:type="dxa"/>
              <w:start w:w="130" w:type="dxa"/>
              <w:bottom w:w="110" w:type="dxa"/>
              <w:end w:w="130" w:type="dxa"/>
            </w:tcMar>
            <w:vAlign w:val="center"/>
          </w:tcPr>
          <w:p>
            <w:pPr>
              <w:spacing w:after="0"/>
            </w:pPr>
            <w:r>
              <w:rPr>
                <w:sz w:val="18"/>
              </w:rPr>
              <w:t>2 Three-node MVP</w:t>
            </w:r>
          </w:p>
        </w:tc>
        <w:tc>
          <w:tcPr>
            <w:tcW w:type="dxa" w:w="3600"/>
            <w:shd w:fill="F4F8F8"/>
            <w:tcMar>
              <w:top w:w="110" w:type="dxa"/>
              <w:start w:w="130" w:type="dxa"/>
              <w:bottom w:w="110" w:type="dxa"/>
              <w:end w:w="130" w:type="dxa"/>
            </w:tcMar>
            <w:vAlign w:val="center"/>
          </w:tcPr>
          <w:p>
            <w:pPr>
              <w:spacing w:after="0"/>
            </w:pPr>
            <w:r>
              <w:rPr>
                <w:sz w:val="18"/>
              </w:rPr>
              <w:t>Publication, replication, portal, tamper detection and repair</w:t>
            </w:r>
          </w:p>
        </w:tc>
        <w:tc>
          <w:tcPr>
            <w:tcW w:type="dxa" w:w="3600"/>
            <w:shd w:fill="F4F8F8"/>
            <w:tcMar>
              <w:top w:w="110" w:type="dxa"/>
              <w:start w:w="130" w:type="dxa"/>
              <w:bottom w:w="110" w:type="dxa"/>
              <w:end w:w="130" w:type="dxa"/>
            </w:tcMar>
            <w:vAlign w:val="center"/>
          </w:tcPr>
          <w:p>
            <w:pPr>
              <w:spacing w:after="0"/>
            </w:pPr>
            <w:r>
              <w:rPr>
                <w:sz w:val="18"/>
              </w:rPr>
              <w:t>Automated tests plus a recorded repeatable Docker drill.</w:t>
            </w:r>
          </w:p>
        </w:tc>
      </w:tr>
      <w:tr>
        <w:trPr>
          <w:cantSplit/>
        </w:trPr>
        <w:tc>
          <w:tcPr>
            <w:tcW w:type="dxa" w:w="2016"/>
            <w:tcMar>
              <w:top w:w="110" w:type="dxa"/>
              <w:start w:w="130" w:type="dxa"/>
              <w:bottom w:w="110" w:type="dxa"/>
              <w:end w:w="130" w:type="dxa"/>
            </w:tcMar>
            <w:vAlign w:val="center"/>
          </w:tcPr>
          <w:p>
            <w:pPr>
              <w:spacing w:after="0"/>
            </w:pPr>
            <w:r>
              <w:rPr>
                <w:sz w:val="18"/>
              </w:rPr>
              <w:t>3 Multi-host pilot</w:t>
            </w:r>
          </w:p>
        </w:tc>
        <w:tc>
          <w:tcPr>
            <w:tcW w:type="dxa" w:w="3600"/>
            <w:tcMar>
              <w:top w:w="110" w:type="dxa"/>
              <w:start w:w="130" w:type="dxa"/>
              <w:bottom w:w="110" w:type="dxa"/>
              <w:end w:w="130" w:type="dxa"/>
            </w:tcMar>
            <w:vAlign w:val="center"/>
          </w:tcPr>
          <w:p>
            <w:pPr>
              <w:spacing w:after="0"/>
            </w:pPr>
            <w:r>
              <w:rPr>
                <w:sz w:val="18"/>
              </w:rPr>
              <w:t>Independent operators and physical failure domains</w:t>
            </w:r>
          </w:p>
        </w:tc>
        <w:tc>
          <w:tcPr>
            <w:tcW w:type="dxa" w:w="3600"/>
            <w:tcMar>
              <w:top w:w="110" w:type="dxa"/>
              <w:start w:w="130" w:type="dxa"/>
              <w:bottom w:w="110" w:type="dxa"/>
              <w:end w:w="130" w:type="dxa"/>
            </w:tcMar>
            <w:vAlign w:val="center"/>
          </w:tcPr>
          <w:p>
            <w:pPr>
              <w:spacing w:after="0"/>
            </w:pPr>
            <w:r>
              <w:rPr>
                <w:sz w:val="18"/>
              </w:rPr>
              <w:t>Measured recovery during network and publisher loss.</w:t>
            </w:r>
          </w:p>
        </w:tc>
      </w:tr>
      <w:tr>
        <w:trPr>
          <w:cantSplit/>
        </w:trPr>
        <w:tc>
          <w:tcPr>
            <w:tcW w:type="dxa" w:w="2016"/>
            <w:shd w:fill="F4F8F8"/>
            <w:tcMar>
              <w:top w:w="110" w:type="dxa"/>
              <w:start w:w="130" w:type="dxa"/>
              <w:bottom w:w="110" w:type="dxa"/>
              <w:end w:w="130" w:type="dxa"/>
            </w:tcMar>
            <w:vAlign w:val="center"/>
          </w:tcPr>
          <w:p>
            <w:pPr>
              <w:spacing w:after="0"/>
            </w:pPr>
            <w:r>
              <w:rPr>
                <w:sz w:val="18"/>
              </w:rPr>
              <w:t>4 Security hardening</w:t>
            </w:r>
          </w:p>
        </w:tc>
        <w:tc>
          <w:tcPr>
            <w:tcW w:type="dxa" w:w="3600"/>
            <w:shd w:fill="F4F8F8"/>
            <w:tcMar>
              <w:top w:w="110" w:type="dxa"/>
              <w:start w:w="130" w:type="dxa"/>
              <w:bottom w:w="110" w:type="dxa"/>
              <w:end w:w="130" w:type="dxa"/>
            </w:tcMar>
            <w:vAlign w:val="center"/>
          </w:tcPr>
          <w:p>
            <w:pPr>
              <w:spacing w:after="0"/>
            </w:pPr>
            <w:r>
              <w:rPr>
                <w:sz w:val="18"/>
              </w:rPr>
              <w:t>Rotation, revocation, fuzzing, abuse response and dependency review</w:t>
            </w:r>
          </w:p>
        </w:tc>
        <w:tc>
          <w:tcPr>
            <w:tcW w:type="dxa" w:w="3600"/>
            <w:shd w:fill="F4F8F8"/>
            <w:tcMar>
              <w:top w:w="110" w:type="dxa"/>
              <w:start w:w="130" w:type="dxa"/>
              <w:bottom w:w="110" w:type="dxa"/>
              <w:end w:w="130" w:type="dxa"/>
            </w:tcMar>
            <w:vAlign w:val="center"/>
          </w:tcPr>
          <w:p>
            <w:pPr>
              <w:spacing w:after="0"/>
            </w:pPr>
            <w:r>
              <w:rPr>
                <w:sz w:val="18"/>
              </w:rPr>
              <w:t>Independent assessment and tracked remediation.</w:t>
            </w:r>
          </w:p>
        </w:tc>
      </w:tr>
      <w:tr>
        <w:trPr>
          <w:cantSplit/>
        </w:trPr>
        <w:tc>
          <w:tcPr>
            <w:tcW w:type="dxa" w:w="2016"/>
            <w:tcMar>
              <w:top w:w="110" w:type="dxa"/>
              <w:start w:w="130" w:type="dxa"/>
              <w:bottom w:w="110" w:type="dxa"/>
              <w:end w:w="130" w:type="dxa"/>
            </w:tcMar>
            <w:vAlign w:val="center"/>
          </w:tcPr>
          <w:p>
            <w:pPr>
              <w:spacing w:after="0"/>
            </w:pPr>
            <w:r>
              <w:rPr>
                <w:sz w:val="18"/>
              </w:rPr>
              <w:t>5 Private cells</w:t>
            </w:r>
          </w:p>
        </w:tc>
        <w:tc>
          <w:tcPr>
            <w:tcW w:type="dxa" w:w="3600"/>
            <w:tcMar>
              <w:top w:w="110" w:type="dxa"/>
              <w:start w:w="130" w:type="dxa"/>
              <w:bottom w:w="110" w:type="dxa"/>
              <w:end w:w="130" w:type="dxa"/>
            </w:tcMar>
            <w:vAlign w:val="center"/>
          </w:tcPr>
          <w:p>
            <w:pPr>
              <w:spacing w:after="0"/>
            </w:pPr>
            <w:r>
              <w:rPr>
                <w:sz w:val="18"/>
              </w:rPr>
              <w:t>Membership, isolation, encryption and key lifecycle</w:t>
            </w:r>
          </w:p>
        </w:tc>
        <w:tc>
          <w:tcPr>
            <w:tcW w:type="dxa" w:w="3600"/>
            <w:tcMar>
              <w:top w:w="110" w:type="dxa"/>
              <w:start w:w="130" w:type="dxa"/>
              <w:bottom w:w="110" w:type="dxa"/>
              <w:end w:w="130" w:type="dxa"/>
            </w:tcMar>
            <w:vAlign w:val="center"/>
          </w:tcPr>
          <w:p>
            <w:pPr>
              <w:spacing w:after="0"/>
            </w:pPr>
            <w:r>
              <w:rPr>
                <w:sz w:val="18"/>
              </w:rPr>
              <w:t>Confidentiality and revocation-limit tests.</w:t>
            </w:r>
          </w:p>
        </w:tc>
      </w:tr>
      <w:tr>
        <w:trPr>
          <w:cantSplit/>
        </w:trPr>
        <w:tc>
          <w:tcPr>
            <w:tcW w:type="dxa" w:w="2016"/>
            <w:shd w:fill="F4F8F8"/>
            <w:tcMar>
              <w:top w:w="110" w:type="dxa"/>
              <w:start w:w="130" w:type="dxa"/>
              <w:bottom w:w="110" w:type="dxa"/>
              <w:end w:w="130" w:type="dxa"/>
            </w:tcMar>
            <w:vAlign w:val="center"/>
          </w:tcPr>
          <w:p>
            <w:pPr>
              <w:spacing w:after="0"/>
            </w:pPr>
            <w:r>
              <w:rPr>
                <w:sz w:val="18"/>
              </w:rPr>
              <w:t>6 Broader federation</w:t>
            </w:r>
          </w:p>
        </w:tc>
        <w:tc>
          <w:tcPr>
            <w:tcW w:type="dxa" w:w="3600"/>
            <w:shd w:fill="F4F8F8"/>
            <w:tcMar>
              <w:top w:w="110" w:type="dxa"/>
              <w:start w:w="130" w:type="dxa"/>
              <w:bottom w:w="110" w:type="dxa"/>
              <w:end w:w="130" w:type="dxa"/>
            </w:tcMar>
            <w:vAlign w:val="center"/>
          </w:tcPr>
          <w:p>
            <w:pPr>
              <w:spacing w:after="0"/>
            </w:pPr>
            <w:r>
              <w:rPr>
                <w:sz w:val="18"/>
              </w:rPr>
              <w:t>Scalable discovery and inventory exchange</w:t>
            </w:r>
          </w:p>
        </w:tc>
        <w:tc>
          <w:tcPr>
            <w:tcW w:type="dxa" w:w="3600"/>
            <w:shd w:fill="F4F8F8"/>
            <w:tcMar>
              <w:top w:w="110" w:type="dxa"/>
              <w:start w:w="130" w:type="dxa"/>
              <w:bottom w:w="110" w:type="dxa"/>
              <w:end w:w="130" w:type="dxa"/>
            </w:tcMar>
            <w:vAlign w:val="center"/>
          </w:tcPr>
          <w:p>
            <w:pPr>
              <w:spacing w:after="0"/>
            </w:pPr>
            <w:r>
              <w:rPr>
                <w:sz w:val="18"/>
              </w:rPr>
              <w:t>Pilot evidence without a mandatory central coordinator.</w:t>
            </w:r>
          </w:p>
        </w:tc>
      </w:tr>
    </w:tbl>
    <w:p>
      <w:pPr>
        <w:spacing w:after="0"/>
      </w:pPr>
    </w:p>
    <w:p>
      <w:pPr>
        <w:pStyle w:val="Heading1"/>
        <w:keepNext/>
      </w:pPr>
      <w:r>
        <w:t>15 Principal limitations</w:t>
      </w:r>
    </w:p>
    <w:p>
      <w:pPr>
        <w:pStyle w:val="ListBullet"/>
      </w:pPr>
      <w:r>
        <w:t>The MVP proves a local three-node behavior, not an operational global mesh.</w:t>
      </w:r>
    </w:p>
    <w:p>
      <w:pPr>
        <w:pStyle w:val="ListBullet"/>
      </w:pPr>
      <w:r>
        <w:t>Three containers on one machine do not provide hardware, power or geographic resilience.</w:t>
      </w:r>
    </w:p>
    <w:p>
      <w:pPr>
        <w:pStyle w:val="ListBullet"/>
      </w:pPr>
      <w:r>
        <w:t>A valid signature proves key control and byte integrity, not factual correctness.</w:t>
      </w:r>
    </w:p>
    <w:p>
      <w:pPr>
        <w:pStyle w:val="ListBullet"/>
      </w:pPr>
      <w:r>
        <w:t>Manual enrollment reduces the initial attack surface but does not solve global identity or Sybil resistance.</w:t>
      </w:r>
    </w:p>
    <w:p>
      <w:pPr>
        <w:pStyle w:val="ListBullet"/>
      </w:pPr>
      <w:r>
        <w:t>Key rotation, revocation, recovery and publisher withdrawal require protocol and governance work.</w:t>
      </w:r>
    </w:p>
    <w:p>
      <w:pPr>
        <w:pStyle w:val="ListBullet"/>
      </w:pPr>
      <w:r>
        <w:t>Public replication makes universal deletion impossible once another party retains a copy.</w:t>
      </w:r>
    </w:p>
    <w:p>
      <w:pPr>
        <w:pStyle w:val="ListBullet"/>
      </w:pPr>
      <w:r>
        <w:t>Private continuity cells are an architectural direction, not an implemented confidentiality feature.</w:t>
      </w:r>
    </w:p>
    <w:p>
      <w:pPr>
        <w:pStyle w:val="ListBullet"/>
      </w:pPr>
      <w:r>
        <w:t>Security claims require independent review, adversarial testing and operational evidence.</w:t>
      </w:r>
    </w:p>
    <w:p>
      <w:r>
        <w:t>The correct pre-alpha claim is narrow: HearthMesh demonstrates how attributable signed content can remain locally available, detect alteration and recover from another known peer without relying on the original publisher.</w:t>
      </w:r>
    </w:p>
    <w:sectPr w:rsidR="00FC693F" w:rsidRPr="0006063C" w:rsidSect="00034616">
      <w:footerReference w:type="default" r:id="rId9"/>
      <w:footerReference w:type="even"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rial" w:hAnsi="Arial"/>
      <w:color w:val="1118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60" w:after="140"/>
      <w:outlineLvl w:val="1"/>
    </w:pPr>
    <w:rPr>
      <w:rFonts w:asciiTheme="majorHAnsi" w:eastAsiaTheme="majorEastAsia" w:hAnsiTheme="majorHAnsi" w:cstheme="majorBidi" w:ascii="Arial" w:hAnsi="Arial"/>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