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3604" w14:textId="77777777" w:rsidR="0002799D" w:rsidRDefault="0002799D" w:rsidP="0002799D">
      <w:pPr>
        <w:jc w:val="center"/>
        <w:rPr>
          <w:rFonts w:ascii="Arial" w:hAnsi="Arial"/>
          <w:b/>
          <w:sz w:val="32"/>
        </w:rPr>
      </w:pPr>
      <w:r>
        <w:rPr>
          <w:rFonts w:ascii="Arial" w:hAnsi="Arial"/>
          <w:b/>
          <w:sz w:val="32"/>
        </w:rPr>
        <w:t xml:space="preserve">Breeding Bird Monitoring Protocol for the Heartland Inventory and Monitoring </w:t>
      </w:r>
      <w:r w:rsidR="00FF46D0">
        <w:rPr>
          <w:rFonts w:ascii="Arial" w:hAnsi="Arial"/>
          <w:b/>
          <w:sz w:val="32"/>
        </w:rPr>
        <w:t>Network</w:t>
      </w:r>
    </w:p>
    <w:p w14:paraId="0994FE44" w14:textId="77777777" w:rsidR="0002799D" w:rsidRDefault="0002799D" w:rsidP="0002799D">
      <w:pPr>
        <w:jc w:val="center"/>
        <w:rPr>
          <w:rFonts w:ascii="Arial" w:hAnsi="Arial"/>
          <w:b/>
          <w:sz w:val="24"/>
        </w:rPr>
      </w:pPr>
    </w:p>
    <w:p w14:paraId="33EB1CC5" w14:textId="77777777" w:rsidR="0002799D" w:rsidRDefault="00A07072" w:rsidP="0002799D">
      <w:pPr>
        <w:shd w:val="clear" w:color="auto" w:fill="E0E0E0"/>
        <w:jc w:val="center"/>
        <w:rPr>
          <w:rFonts w:ascii="Arial" w:hAnsi="Arial"/>
          <w:b/>
          <w:color w:val="000000"/>
          <w:sz w:val="24"/>
        </w:rPr>
      </w:pPr>
      <w:bookmarkStart w:id="0" w:name="sop11"/>
      <w:bookmarkStart w:id="1" w:name="_Toc177437940"/>
      <w:bookmarkStart w:id="2" w:name="_Toc177439343"/>
      <w:bookmarkEnd w:id="0"/>
      <w:r>
        <w:rPr>
          <w:rFonts w:ascii="Arial" w:hAnsi="Arial"/>
          <w:b/>
          <w:color w:val="000000"/>
          <w:sz w:val="24"/>
        </w:rPr>
        <w:t>Standard Operation Procedure 10</w:t>
      </w:r>
      <w:r w:rsidR="0002799D">
        <w:rPr>
          <w:rFonts w:ascii="Arial" w:hAnsi="Arial"/>
          <w:b/>
          <w:color w:val="000000"/>
          <w:sz w:val="24"/>
        </w:rPr>
        <w:t>: Revising the Protocol</w:t>
      </w:r>
      <w:bookmarkEnd w:id="1"/>
      <w:bookmarkEnd w:id="2"/>
    </w:p>
    <w:p w14:paraId="5DBB6F88" w14:textId="77777777" w:rsidR="0002799D" w:rsidRDefault="0002799D" w:rsidP="0002799D">
      <w:pPr>
        <w:jc w:val="center"/>
        <w:rPr>
          <w:rFonts w:ascii="Arial" w:hAnsi="Arial"/>
          <w:b/>
        </w:rPr>
      </w:pPr>
    </w:p>
    <w:p w14:paraId="7AB2968F" w14:textId="764ECA9C" w:rsidR="0002799D" w:rsidRDefault="00365DCE" w:rsidP="00365DCE">
      <w:pPr>
        <w:jc w:val="center"/>
        <w:rPr>
          <w:b/>
          <w:sz w:val="24"/>
        </w:rPr>
      </w:pPr>
      <w:r>
        <w:rPr>
          <w:rFonts w:ascii="Arial" w:hAnsi="Arial"/>
          <w:b/>
          <w:sz w:val="24"/>
        </w:rPr>
        <w:t>Version 3.00 (</w:t>
      </w:r>
      <w:r w:rsidR="00BC742D" w:rsidRPr="00BC742D">
        <w:rPr>
          <w:rFonts w:ascii="Arial" w:hAnsi="Arial"/>
          <w:b/>
          <w:sz w:val="24"/>
        </w:rPr>
        <w:t>0</w:t>
      </w:r>
      <w:r w:rsidR="0028304F">
        <w:rPr>
          <w:rFonts w:ascii="Arial" w:hAnsi="Arial"/>
          <w:b/>
          <w:sz w:val="24"/>
        </w:rPr>
        <w:t>3</w:t>
      </w:r>
      <w:r w:rsidRPr="00BC742D">
        <w:rPr>
          <w:rFonts w:ascii="Arial" w:hAnsi="Arial"/>
          <w:b/>
          <w:sz w:val="24"/>
        </w:rPr>
        <w:t>/</w:t>
      </w:r>
      <w:r w:rsidR="0028304F">
        <w:rPr>
          <w:rFonts w:ascii="Arial" w:hAnsi="Arial"/>
          <w:b/>
          <w:sz w:val="24"/>
        </w:rPr>
        <w:t>17</w:t>
      </w:r>
      <w:r w:rsidRPr="00BC742D">
        <w:rPr>
          <w:rFonts w:ascii="Arial" w:hAnsi="Arial"/>
          <w:b/>
          <w:sz w:val="24"/>
        </w:rPr>
        <w:t>/</w:t>
      </w:r>
      <w:r w:rsidR="00BC742D" w:rsidRPr="00BC742D">
        <w:rPr>
          <w:rFonts w:ascii="Arial" w:hAnsi="Arial"/>
          <w:b/>
          <w:sz w:val="24"/>
        </w:rPr>
        <w:t>20</w:t>
      </w:r>
      <w:r w:rsidR="0028304F">
        <w:rPr>
          <w:rFonts w:ascii="Arial" w:hAnsi="Arial"/>
          <w:b/>
          <w:sz w:val="24"/>
        </w:rPr>
        <w:t>20</w:t>
      </w:r>
      <w:r>
        <w:rPr>
          <w:rFonts w:ascii="Arial" w:hAnsi="Arial"/>
          <w:b/>
          <w:sz w:val="24"/>
        </w:rPr>
        <w:t>)</w:t>
      </w:r>
    </w:p>
    <w:p w14:paraId="3046EA34" w14:textId="77777777" w:rsidR="00365DCE" w:rsidRDefault="00365DCE" w:rsidP="00365DCE">
      <w:pPr>
        <w:jc w:val="center"/>
        <w:rPr>
          <w:b/>
          <w:sz w:val="24"/>
        </w:rPr>
      </w:pPr>
    </w:p>
    <w:p w14:paraId="2B93A947" w14:textId="77777777" w:rsidR="0002799D" w:rsidRDefault="0002799D" w:rsidP="0002799D">
      <w:pPr>
        <w:rPr>
          <w:b/>
          <w:sz w:val="24"/>
        </w:rPr>
      </w:pPr>
      <w:r>
        <w:rPr>
          <w:b/>
          <w:sz w:val="24"/>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183"/>
        <w:gridCol w:w="1224"/>
        <w:gridCol w:w="2346"/>
        <w:gridCol w:w="2346"/>
        <w:gridCol w:w="1199"/>
      </w:tblGrid>
      <w:tr w:rsidR="0002799D" w14:paraId="46158722" w14:textId="77777777" w:rsidTr="00014968">
        <w:trPr>
          <w:trHeight w:val="567"/>
        </w:trPr>
        <w:tc>
          <w:tcPr>
            <w:tcW w:w="1183" w:type="dxa"/>
          </w:tcPr>
          <w:p w14:paraId="5AD1E135" w14:textId="77777777" w:rsidR="0002799D" w:rsidRDefault="0002799D" w:rsidP="00D33EA9">
            <w:pPr>
              <w:rPr>
                <w:sz w:val="24"/>
              </w:rPr>
            </w:pPr>
            <w:r>
              <w:rPr>
                <w:sz w:val="24"/>
              </w:rPr>
              <w:t>Previous Version #</w:t>
            </w:r>
          </w:p>
        </w:tc>
        <w:tc>
          <w:tcPr>
            <w:tcW w:w="1183" w:type="dxa"/>
          </w:tcPr>
          <w:p w14:paraId="40B994FB" w14:textId="77777777" w:rsidR="0002799D" w:rsidRDefault="0002799D" w:rsidP="00D33EA9">
            <w:pPr>
              <w:rPr>
                <w:sz w:val="24"/>
              </w:rPr>
            </w:pPr>
            <w:r>
              <w:rPr>
                <w:sz w:val="24"/>
              </w:rPr>
              <w:t>Revision Date</w:t>
            </w:r>
          </w:p>
        </w:tc>
        <w:tc>
          <w:tcPr>
            <w:tcW w:w="1224" w:type="dxa"/>
          </w:tcPr>
          <w:p w14:paraId="2A953C26" w14:textId="77777777" w:rsidR="0002799D" w:rsidRDefault="0002799D" w:rsidP="00D33EA9">
            <w:pPr>
              <w:rPr>
                <w:sz w:val="24"/>
              </w:rPr>
            </w:pPr>
            <w:r>
              <w:rPr>
                <w:sz w:val="24"/>
              </w:rPr>
              <w:t>Author</w:t>
            </w:r>
          </w:p>
        </w:tc>
        <w:tc>
          <w:tcPr>
            <w:tcW w:w="2346" w:type="dxa"/>
          </w:tcPr>
          <w:p w14:paraId="3A3144EA" w14:textId="77777777" w:rsidR="0002799D" w:rsidRDefault="0002799D" w:rsidP="00D33EA9">
            <w:pPr>
              <w:rPr>
                <w:sz w:val="24"/>
              </w:rPr>
            </w:pPr>
            <w:r>
              <w:rPr>
                <w:sz w:val="24"/>
              </w:rPr>
              <w:t>Changes Made</w:t>
            </w:r>
          </w:p>
        </w:tc>
        <w:tc>
          <w:tcPr>
            <w:tcW w:w="2346" w:type="dxa"/>
          </w:tcPr>
          <w:p w14:paraId="0F2D86F3" w14:textId="77777777" w:rsidR="0002799D" w:rsidRDefault="0002799D" w:rsidP="00D33EA9">
            <w:pPr>
              <w:rPr>
                <w:sz w:val="24"/>
              </w:rPr>
            </w:pPr>
            <w:r>
              <w:rPr>
                <w:sz w:val="24"/>
              </w:rPr>
              <w:t>Reason for Change</w:t>
            </w:r>
          </w:p>
        </w:tc>
        <w:tc>
          <w:tcPr>
            <w:tcW w:w="1199" w:type="dxa"/>
          </w:tcPr>
          <w:p w14:paraId="609EC5C2" w14:textId="77777777" w:rsidR="0002799D" w:rsidRDefault="0002799D" w:rsidP="00D33EA9">
            <w:pPr>
              <w:rPr>
                <w:sz w:val="24"/>
              </w:rPr>
            </w:pPr>
            <w:r>
              <w:rPr>
                <w:sz w:val="24"/>
              </w:rPr>
              <w:t>New Version #</w:t>
            </w:r>
          </w:p>
        </w:tc>
      </w:tr>
      <w:tr w:rsidR="00A07072" w14:paraId="45E4F0FA" w14:textId="77777777" w:rsidTr="00014968">
        <w:trPr>
          <w:trHeight w:val="283"/>
        </w:trPr>
        <w:tc>
          <w:tcPr>
            <w:tcW w:w="1183" w:type="dxa"/>
          </w:tcPr>
          <w:p w14:paraId="42EDED28" w14:textId="77777777" w:rsidR="00A07072" w:rsidRDefault="00A07072" w:rsidP="00A07072">
            <w:pPr>
              <w:spacing w:line="276" w:lineRule="auto"/>
              <w:rPr>
                <w:rFonts w:ascii="Arial" w:hAnsi="Arial" w:cs="Arial"/>
              </w:rPr>
            </w:pPr>
            <w:r>
              <w:rPr>
                <w:rFonts w:ascii="Arial" w:hAnsi="Arial" w:cs="Arial"/>
              </w:rPr>
              <w:t>1.01</w:t>
            </w:r>
          </w:p>
        </w:tc>
        <w:tc>
          <w:tcPr>
            <w:tcW w:w="1183" w:type="dxa"/>
          </w:tcPr>
          <w:p w14:paraId="3CAFEE26" w14:textId="77777777" w:rsidR="00A07072" w:rsidRDefault="00A07072" w:rsidP="00A07072">
            <w:pPr>
              <w:spacing w:line="276" w:lineRule="auto"/>
              <w:rPr>
                <w:rFonts w:ascii="Arial" w:hAnsi="Arial" w:cs="Arial"/>
              </w:rPr>
            </w:pPr>
            <w:r>
              <w:rPr>
                <w:rFonts w:ascii="Arial" w:hAnsi="Arial" w:cs="Arial"/>
              </w:rPr>
              <w:t>May 2008</w:t>
            </w:r>
          </w:p>
        </w:tc>
        <w:tc>
          <w:tcPr>
            <w:tcW w:w="1224" w:type="dxa"/>
          </w:tcPr>
          <w:p w14:paraId="445000BF" w14:textId="77777777" w:rsidR="00A07072" w:rsidRDefault="00A07072" w:rsidP="00A07072">
            <w:pPr>
              <w:spacing w:line="276" w:lineRule="auto"/>
              <w:rPr>
                <w:rFonts w:ascii="Arial" w:hAnsi="Arial" w:cs="Arial"/>
              </w:rPr>
            </w:pPr>
            <w:r>
              <w:rPr>
                <w:rFonts w:ascii="Arial" w:hAnsi="Arial" w:cs="Arial"/>
              </w:rPr>
              <w:t>D.G. Peitz</w:t>
            </w:r>
          </w:p>
        </w:tc>
        <w:tc>
          <w:tcPr>
            <w:tcW w:w="2346" w:type="dxa"/>
          </w:tcPr>
          <w:p w14:paraId="4C396A2A" w14:textId="77777777" w:rsidR="00A07072" w:rsidRDefault="00A07072" w:rsidP="00A07072">
            <w:pPr>
              <w:spacing w:line="276" w:lineRule="auto"/>
              <w:rPr>
                <w:rFonts w:ascii="Arial" w:hAnsi="Arial" w:cs="Arial"/>
              </w:rPr>
            </w:pPr>
            <w:r>
              <w:rPr>
                <w:rFonts w:ascii="Arial" w:hAnsi="Arial" w:cs="Arial"/>
              </w:rPr>
              <w:t>Entire document</w:t>
            </w:r>
          </w:p>
        </w:tc>
        <w:tc>
          <w:tcPr>
            <w:tcW w:w="2346" w:type="dxa"/>
          </w:tcPr>
          <w:p w14:paraId="51AAB1BC" w14:textId="77777777" w:rsidR="00A07072" w:rsidRDefault="00A07072" w:rsidP="00A07072">
            <w:pPr>
              <w:spacing w:line="276" w:lineRule="auto"/>
              <w:rPr>
                <w:rFonts w:ascii="Arial" w:hAnsi="Arial" w:cs="Arial"/>
              </w:rPr>
            </w:pPr>
            <w:r>
              <w:rPr>
                <w:rFonts w:ascii="Arial" w:hAnsi="Arial" w:cs="Arial"/>
              </w:rPr>
              <w:t xml:space="preserve">Edited to reflect that bird monitoring has been expanded to ten additional network parks </w:t>
            </w:r>
          </w:p>
        </w:tc>
        <w:tc>
          <w:tcPr>
            <w:tcW w:w="1199" w:type="dxa"/>
          </w:tcPr>
          <w:p w14:paraId="1C716964" w14:textId="77777777" w:rsidR="00A07072" w:rsidRDefault="00A07072" w:rsidP="00A07072">
            <w:pPr>
              <w:spacing w:line="276" w:lineRule="auto"/>
              <w:rPr>
                <w:rFonts w:ascii="Arial" w:hAnsi="Arial" w:cs="Arial"/>
              </w:rPr>
            </w:pPr>
            <w:r>
              <w:rPr>
                <w:rFonts w:ascii="Arial" w:hAnsi="Arial" w:cs="Arial"/>
              </w:rPr>
              <w:t>2.00</w:t>
            </w:r>
          </w:p>
        </w:tc>
      </w:tr>
      <w:tr w:rsidR="00A07072" w14:paraId="5E0806C2" w14:textId="77777777" w:rsidTr="00014968">
        <w:trPr>
          <w:trHeight w:val="283"/>
        </w:trPr>
        <w:tc>
          <w:tcPr>
            <w:tcW w:w="1183" w:type="dxa"/>
          </w:tcPr>
          <w:p w14:paraId="7AFD83E1" w14:textId="77777777" w:rsidR="00A07072" w:rsidRDefault="00A07072" w:rsidP="00A07072">
            <w:pPr>
              <w:spacing w:line="276" w:lineRule="auto"/>
              <w:rPr>
                <w:rFonts w:ascii="Arial" w:hAnsi="Arial" w:cs="Arial"/>
              </w:rPr>
            </w:pPr>
            <w:r>
              <w:rPr>
                <w:rFonts w:ascii="Arial" w:hAnsi="Arial" w:cs="Arial"/>
              </w:rPr>
              <w:t>2.00</w:t>
            </w:r>
          </w:p>
        </w:tc>
        <w:tc>
          <w:tcPr>
            <w:tcW w:w="1183" w:type="dxa"/>
          </w:tcPr>
          <w:p w14:paraId="6AB93F81" w14:textId="77777777" w:rsidR="00A07072" w:rsidRDefault="00A07072" w:rsidP="000634A3">
            <w:pPr>
              <w:spacing w:line="276" w:lineRule="auto"/>
              <w:rPr>
                <w:rFonts w:ascii="Arial" w:hAnsi="Arial" w:cs="Arial"/>
              </w:rPr>
            </w:pPr>
            <w:r>
              <w:rPr>
                <w:rFonts w:ascii="Arial" w:hAnsi="Arial" w:cs="Arial"/>
              </w:rPr>
              <w:t>May 201</w:t>
            </w:r>
            <w:r w:rsidR="000634A3">
              <w:rPr>
                <w:rFonts w:ascii="Arial" w:hAnsi="Arial" w:cs="Arial"/>
              </w:rPr>
              <w:t>9</w:t>
            </w:r>
          </w:p>
        </w:tc>
        <w:tc>
          <w:tcPr>
            <w:tcW w:w="1224" w:type="dxa"/>
          </w:tcPr>
          <w:p w14:paraId="5FC61FF0" w14:textId="77777777" w:rsidR="00A07072" w:rsidRDefault="00A07072" w:rsidP="00A07072">
            <w:pPr>
              <w:spacing w:line="276" w:lineRule="auto"/>
              <w:rPr>
                <w:rFonts w:ascii="Arial" w:hAnsi="Arial" w:cs="Arial"/>
              </w:rPr>
            </w:pPr>
            <w:r>
              <w:rPr>
                <w:rFonts w:ascii="Arial" w:hAnsi="Arial" w:cs="Arial"/>
              </w:rPr>
              <w:t>D.G. Peitz</w:t>
            </w:r>
          </w:p>
        </w:tc>
        <w:tc>
          <w:tcPr>
            <w:tcW w:w="2346" w:type="dxa"/>
          </w:tcPr>
          <w:p w14:paraId="4EC41F7D" w14:textId="77777777" w:rsidR="00A07072" w:rsidRDefault="00A07072" w:rsidP="00BD0383">
            <w:pPr>
              <w:spacing w:line="276" w:lineRule="auto"/>
              <w:rPr>
                <w:rFonts w:ascii="Arial" w:hAnsi="Arial" w:cs="Arial"/>
              </w:rPr>
            </w:pPr>
            <w:r>
              <w:rPr>
                <w:rFonts w:ascii="Arial" w:hAnsi="Arial" w:cs="Arial"/>
              </w:rPr>
              <w:t>Updated throughout to NR</w:t>
            </w:r>
            <w:r w:rsidR="00BD0383">
              <w:rPr>
                <w:rFonts w:ascii="Arial" w:hAnsi="Arial" w:cs="Arial"/>
              </w:rPr>
              <w:t>SS</w:t>
            </w:r>
            <w:r>
              <w:rPr>
                <w:rFonts w:ascii="Arial" w:hAnsi="Arial" w:cs="Arial"/>
              </w:rPr>
              <w:t xml:space="preserve"> format. </w:t>
            </w:r>
          </w:p>
        </w:tc>
        <w:tc>
          <w:tcPr>
            <w:tcW w:w="2346" w:type="dxa"/>
          </w:tcPr>
          <w:p w14:paraId="54F8EE6D" w14:textId="77777777" w:rsidR="00A07072" w:rsidRDefault="00552A08" w:rsidP="00573F9E">
            <w:pPr>
              <w:spacing w:line="276" w:lineRule="auto"/>
              <w:rPr>
                <w:rFonts w:ascii="Arial" w:hAnsi="Arial" w:cs="Arial"/>
              </w:rPr>
            </w:pPr>
            <w:r>
              <w:rPr>
                <w:rFonts w:ascii="Arial" w:hAnsi="Arial" w:cs="Arial"/>
              </w:rPr>
              <w:t>Edited to meet I&amp;M</w:t>
            </w:r>
            <w:r w:rsidR="00573F9E">
              <w:rPr>
                <w:rFonts w:ascii="Arial" w:hAnsi="Arial" w:cs="Arial"/>
              </w:rPr>
              <w:t xml:space="preserve"> </w:t>
            </w:r>
            <w:r>
              <w:rPr>
                <w:rFonts w:ascii="Arial" w:hAnsi="Arial" w:cs="Arial"/>
              </w:rPr>
              <w:t xml:space="preserve">Division Protocol Review Guidance. </w:t>
            </w:r>
            <w:r w:rsidR="00A07072">
              <w:rPr>
                <w:rFonts w:ascii="Arial" w:hAnsi="Arial" w:cs="Arial"/>
              </w:rPr>
              <w:t xml:space="preserve">Made SOP NRSS compliant. </w:t>
            </w:r>
          </w:p>
        </w:tc>
        <w:tc>
          <w:tcPr>
            <w:tcW w:w="1199" w:type="dxa"/>
          </w:tcPr>
          <w:p w14:paraId="6CDFBAA4" w14:textId="77777777" w:rsidR="00A07072" w:rsidRDefault="00A07072" w:rsidP="00A07072">
            <w:pPr>
              <w:spacing w:line="276" w:lineRule="auto"/>
              <w:rPr>
                <w:rFonts w:ascii="Arial" w:hAnsi="Arial" w:cs="Arial"/>
              </w:rPr>
            </w:pPr>
            <w:r>
              <w:rPr>
                <w:rFonts w:ascii="Arial" w:hAnsi="Arial" w:cs="Arial"/>
              </w:rPr>
              <w:t>3.00</w:t>
            </w:r>
          </w:p>
        </w:tc>
      </w:tr>
      <w:tr w:rsidR="0002799D" w14:paraId="1B4B6902" w14:textId="77777777" w:rsidTr="00014968">
        <w:trPr>
          <w:trHeight w:val="283"/>
        </w:trPr>
        <w:tc>
          <w:tcPr>
            <w:tcW w:w="1183" w:type="dxa"/>
          </w:tcPr>
          <w:p w14:paraId="74F830F1" w14:textId="77777777" w:rsidR="0002799D" w:rsidRDefault="0002799D" w:rsidP="00D33EA9"/>
        </w:tc>
        <w:tc>
          <w:tcPr>
            <w:tcW w:w="1183" w:type="dxa"/>
          </w:tcPr>
          <w:p w14:paraId="707A800A" w14:textId="77777777" w:rsidR="0002799D" w:rsidRDefault="0002799D" w:rsidP="00D33EA9"/>
        </w:tc>
        <w:tc>
          <w:tcPr>
            <w:tcW w:w="1224" w:type="dxa"/>
          </w:tcPr>
          <w:p w14:paraId="268EEE74" w14:textId="77777777" w:rsidR="0002799D" w:rsidRDefault="0002799D" w:rsidP="00D33EA9"/>
        </w:tc>
        <w:tc>
          <w:tcPr>
            <w:tcW w:w="2346" w:type="dxa"/>
          </w:tcPr>
          <w:p w14:paraId="545EA47E" w14:textId="77777777" w:rsidR="0002799D" w:rsidRDefault="0002799D" w:rsidP="00D33EA9"/>
        </w:tc>
        <w:tc>
          <w:tcPr>
            <w:tcW w:w="2346" w:type="dxa"/>
          </w:tcPr>
          <w:p w14:paraId="4DD95322" w14:textId="77777777" w:rsidR="0002799D" w:rsidRDefault="0002799D" w:rsidP="00D33EA9"/>
        </w:tc>
        <w:tc>
          <w:tcPr>
            <w:tcW w:w="1199" w:type="dxa"/>
          </w:tcPr>
          <w:p w14:paraId="255725A1" w14:textId="77777777" w:rsidR="0002799D" w:rsidRDefault="0002799D" w:rsidP="00D33EA9"/>
        </w:tc>
      </w:tr>
      <w:tr w:rsidR="0002799D" w14:paraId="6458F6AE" w14:textId="77777777" w:rsidTr="00014968">
        <w:trPr>
          <w:trHeight w:val="283"/>
        </w:trPr>
        <w:tc>
          <w:tcPr>
            <w:tcW w:w="1183" w:type="dxa"/>
          </w:tcPr>
          <w:p w14:paraId="37082B33" w14:textId="77777777" w:rsidR="0002799D" w:rsidRDefault="0002799D" w:rsidP="00D33EA9"/>
        </w:tc>
        <w:tc>
          <w:tcPr>
            <w:tcW w:w="1183" w:type="dxa"/>
          </w:tcPr>
          <w:p w14:paraId="4F6E0337" w14:textId="77777777" w:rsidR="0002799D" w:rsidRDefault="0002799D" w:rsidP="00D33EA9"/>
        </w:tc>
        <w:tc>
          <w:tcPr>
            <w:tcW w:w="1224" w:type="dxa"/>
          </w:tcPr>
          <w:p w14:paraId="4A7E3DF4" w14:textId="77777777" w:rsidR="0002799D" w:rsidRDefault="0002799D" w:rsidP="00D33EA9"/>
        </w:tc>
        <w:tc>
          <w:tcPr>
            <w:tcW w:w="2346" w:type="dxa"/>
          </w:tcPr>
          <w:p w14:paraId="681BA5D6" w14:textId="77777777" w:rsidR="0002799D" w:rsidRDefault="0002799D" w:rsidP="00D33EA9"/>
        </w:tc>
        <w:tc>
          <w:tcPr>
            <w:tcW w:w="2346" w:type="dxa"/>
          </w:tcPr>
          <w:p w14:paraId="07B5E7AD" w14:textId="77777777" w:rsidR="0002799D" w:rsidRDefault="0002799D" w:rsidP="00D33EA9"/>
        </w:tc>
        <w:tc>
          <w:tcPr>
            <w:tcW w:w="1199" w:type="dxa"/>
          </w:tcPr>
          <w:p w14:paraId="68857EA9" w14:textId="77777777" w:rsidR="0002799D" w:rsidRDefault="0002799D" w:rsidP="00D33EA9"/>
        </w:tc>
      </w:tr>
      <w:tr w:rsidR="0002799D" w14:paraId="3F1CB7CA" w14:textId="77777777" w:rsidTr="00014968">
        <w:trPr>
          <w:trHeight w:val="303"/>
        </w:trPr>
        <w:tc>
          <w:tcPr>
            <w:tcW w:w="1183" w:type="dxa"/>
          </w:tcPr>
          <w:p w14:paraId="43FC5085" w14:textId="77777777" w:rsidR="0002799D" w:rsidRDefault="0002799D" w:rsidP="00D33EA9"/>
        </w:tc>
        <w:tc>
          <w:tcPr>
            <w:tcW w:w="1183" w:type="dxa"/>
          </w:tcPr>
          <w:p w14:paraId="41A9D9F4" w14:textId="77777777" w:rsidR="0002799D" w:rsidRDefault="0002799D" w:rsidP="00D33EA9"/>
        </w:tc>
        <w:tc>
          <w:tcPr>
            <w:tcW w:w="1224" w:type="dxa"/>
          </w:tcPr>
          <w:p w14:paraId="2C1B451A" w14:textId="77777777" w:rsidR="0002799D" w:rsidRDefault="0002799D" w:rsidP="00D33EA9"/>
        </w:tc>
        <w:tc>
          <w:tcPr>
            <w:tcW w:w="2346" w:type="dxa"/>
          </w:tcPr>
          <w:p w14:paraId="2D36B9A8" w14:textId="77777777" w:rsidR="0002799D" w:rsidRDefault="0002799D" w:rsidP="00D33EA9"/>
        </w:tc>
        <w:tc>
          <w:tcPr>
            <w:tcW w:w="2346" w:type="dxa"/>
          </w:tcPr>
          <w:p w14:paraId="277D3940" w14:textId="77777777" w:rsidR="0002799D" w:rsidRDefault="0002799D" w:rsidP="00D33EA9"/>
        </w:tc>
        <w:tc>
          <w:tcPr>
            <w:tcW w:w="1199" w:type="dxa"/>
          </w:tcPr>
          <w:p w14:paraId="0A0A1037" w14:textId="77777777" w:rsidR="0002799D" w:rsidRDefault="0002799D" w:rsidP="00D33EA9"/>
        </w:tc>
      </w:tr>
    </w:tbl>
    <w:p w14:paraId="4BC3A7DC" w14:textId="77777777" w:rsidR="0002799D" w:rsidRDefault="0002799D" w:rsidP="0002799D">
      <w:pPr>
        <w:ind w:firstLine="720"/>
        <w:rPr>
          <w:sz w:val="24"/>
        </w:rPr>
      </w:pPr>
    </w:p>
    <w:p w14:paraId="2C0B76D8" w14:textId="045F95F7" w:rsidR="003A5473" w:rsidRDefault="003A5473" w:rsidP="003A5473">
      <w:pPr>
        <w:pBdr>
          <w:top w:val="nil"/>
          <w:left w:val="nil"/>
          <w:bottom w:val="nil"/>
          <w:right w:val="nil"/>
          <w:between w:val="nil"/>
        </w:pBdr>
        <w:spacing w:before="120" w:after="200" w:line="276" w:lineRule="auto"/>
        <w:rPr>
          <w:color w:val="000000"/>
          <w:sz w:val="23"/>
          <w:szCs w:val="23"/>
        </w:rPr>
      </w:pPr>
      <w:r>
        <w:rPr>
          <w:color w:val="000000"/>
          <w:sz w:val="23"/>
          <w:szCs w:val="23"/>
        </w:rPr>
        <w:t>Inventory and Monitoring Division Pro</w:t>
      </w:r>
      <w:r w:rsidR="00487059">
        <w:rPr>
          <w:color w:val="000000"/>
          <w:sz w:val="23"/>
          <w:szCs w:val="23"/>
        </w:rPr>
        <w:t>tocol Review Guidance (Mitchell</w:t>
      </w:r>
      <w:r>
        <w:rPr>
          <w:color w:val="000000"/>
          <w:sz w:val="23"/>
          <w:szCs w:val="23"/>
        </w:rPr>
        <w:t xml:space="preserve"> et al. 2018) provides thorough guidance for conducting protocol reviews and for revisin</w:t>
      </w:r>
      <w:r w:rsidR="007A7CC5">
        <w:rPr>
          <w:color w:val="000000"/>
          <w:sz w:val="23"/>
          <w:szCs w:val="23"/>
        </w:rPr>
        <w:t>g protocols. A brief summary is p</w:t>
      </w:r>
      <w:r>
        <w:rPr>
          <w:color w:val="000000"/>
          <w:sz w:val="23"/>
          <w:szCs w:val="23"/>
        </w:rPr>
        <w:t>rovided here. Guidance prescribes two categories of protocol reviews, operational and scientific. Operational reviews may, and scientific reviews will</w:t>
      </w:r>
      <w:r w:rsidR="00487059">
        <w:rPr>
          <w:color w:val="000000"/>
          <w:sz w:val="23"/>
          <w:szCs w:val="23"/>
        </w:rPr>
        <w:t>,</w:t>
      </w:r>
      <w:r>
        <w:rPr>
          <w:color w:val="000000"/>
          <w:sz w:val="23"/>
          <w:szCs w:val="23"/>
        </w:rPr>
        <w:t xml:space="preserve"> result in changes to the protocol narrative, SOPs</w:t>
      </w:r>
      <w:r w:rsidR="00487059">
        <w:rPr>
          <w:color w:val="000000"/>
          <w:sz w:val="23"/>
          <w:szCs w:val="23"/>
        </w:rPr>
        <w:t>,</w:t>
      </w:r>
      <w:r>
        <w:rPr>
          <w:color w:val="000000"/>
          <w:sz w:val="23"/>
          <w:szCs w:val="23"/>
        </w:rPr>
        <w:t xml:space="preserve"> or QAP. Within the scientific review category, guidance defines three levels of review – targeted, full protocol, and multi-protocol. “A targeted protocol review typically addresses one or two goals, in a rapid manner designed to minimize interference with ongoing network operations. A full protocol review is more time consuming and takes a holistic and in-depth look at the protocol, while a multi-protocol review looks at the larger program and how the protocols interrelate to provide scientists and managers with scientifically sound information” (Table 10.01, Mitchell et al. 2018). Operational reviews are conducted annually and documented through the annual reporting process (See SOP #8).  Scientific reviews are conducted as needed (See Table 10.01). </w:t>
      </w:r>
    </w:p>
    <w:p w14:paraId="4EDB00BA" w14:textId="77777777" w:rsidR="003A5473" w:rsidRDefault="003A5473" w:rsidP="003A5473">
      <w:pPr>
        <w:spacing w:after="200" w:line="276" w:lineRule="auto"/>
        <w:rPr>
          <w:color w:val="000000"/>
          <w:sz w:val="23"/>
          <w:szCs w:val="23"/>
        </w:rPr>
      </w:pPr>
    </w:p>
    <w:p w14:paraId="42B7CB9E" w14:textId="77777777" w:rsidR="003A5473" w:rsidRDefault="003A5473" w:rsidP="003A5473">
      <w:pPr>
        <w:spacing w:after="200" w:line="276" w:lineRule="auto"/>
        <w:rPr>
          <w:color w:val="000000"/>
          <w:sz w:val="23"/>
          <w:szCs w:val="23"/>
        </w:rPr>
      </w:pPr>
    </w:p>
    <w:p w14:paraId="200B4364" w14:textId="77777777" w:rsidR="003A5473" w:rsidRDefault="003A5473" w:rsidP="003A5473">
      <w:pPr>
        <w:spacing w:after="200" w:line="276" w:lineRule="auto"/>
        <w:rPr>
          <w:sz w:val="23"/>
          <w:szCs w:val="23"/>
        </w:rPr>
      </w:pPr>
    </w:p>
    <w:p w14:paraId="6B2528BE" w14:textId="77777777" w:rsidR="003A5473" w:rsidRDefault="003A5473" w:rsidP="003A5473">
      <w:pPr>
        <w:spacing w:after="200" w:line="276" w:lineRule="auto"/>
        <w:rPr>
          <w:sz w:val="23"/>
          <w:szCs w:val="23"/>
        </w:rPr>
      </w:pPr>
    </w:p>
    <w:p w14:paraId="08385B2A" w14:textId="24C2EBCE" w:rsidR="003A5473" w:rsidRPr="0028304F" w:rsidRDefault="003A5473" w:rsidP="003A5473">
      <w:pPr>
        <w:rPr>
          <w:sz w:val="23"/>
          <w:szCs w:val="23"/>
        </w:rPr>
      </w:pPr>
      <w:r>
        <w:rPr>
          <w:b/>
          <w:sz w:val="23"/>
          <w:szCs w:val="23"/>
        </w:rPr>
        <w:lastRenderedPageBreak/>
        <w:t xml:space="preserve">Table 10.01. </w:t>
      </w:r>
      <w:r>
        <w:rPr>
          <w:sz w:val="23"/>
          <w:szCs w:val="23"/>
        </w:rPr>
        <w:t>Types of reviews covered by this guidance and basic characteristics of each. NPM = Network Program Manager, RPM = Regional Program Manager</w:t>
      </w:r>
      <w:r>
        <w:t xml:space="preserve">. </w:t>
      </w:r>
      <w:r w:rsidR="00835026">
        <w:rPr>
          <w:sz w:val="23"/>
          <w:szCs w:val="23"/>
        </w:rPr>
        <w:t>Taken from Mitchell et al. (2018).</w:t>
      </w:r>
    </w:p>
    <w:p w14:paraId="38EF42ED" w14:textId="77777777" w:rsidR="003A5473" w:rsidRDefault="003A5473" w:rsidP="003A5473">
      <w:pPr>
        <w:pBdr>
          <w:top w:val="nil"/>
          <w:left w:val="nil"/>
          <w:bottom w:val="nil"/>
          <w:right w:val="nil"/>
          <w:between w:val="nil"/>
        </w:pBdr>
        <w:spacing w:before="120" w:after="200" w:line="276" w:lineRule="auto"/>
        <w:rPr>
          <w:color w:val="000000"/>
          <w:sz w:val="23"/>
          <w:szCs w:val="23"/>
        </w:rPr>
      </w:pPr>
      <w:r>
        <w:rPr>
          <w:noProof/>
          <w:color w:val="000000"/>
        </w:rPr>
        <w:drawing>
          <wp:inline distT="0" distB="0" distL="0" distR="0" wp14:anchorId="1B2AF85C" wp14:editId="5A86A648">
            <wp:extent cx="5943600" cy="38823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882390"/>
                    </a:xfrm>
                    <a:prstGeom prst="rect">
                      <a:avLst/>
                    </a:prstGeom>
                    <a:ln/>
                  </pic:spPr>
                </pic:pic>
              </a:graphicData>
            </a:graphic>
          </wp:inline>
        </w:drawing>
      </w:r>
    </w:p>
    <w:p w14:paraId="4DE73E9C" w14:textId="77777777" w:rsidR="003A5473" w:rsidRPr="00BC742D" w:rsidRDefault="003A5473" w:rsidP="003A5473">
      <w:pPr>
        <w:spacing w:after="200"/>
        <w:ind w:hanging="360"/>
        <w:rPr>
          <w:rFonts w:ascii="Arial" w:eastAsia="Arial" w:hAnsi="Arial" w:cs="Arial"/>
          <w:color w:val="000000"/>
          <w:sz w:val="23"/>
          <w:szCs w:val="23"/>
        </w:rPr>
      </w:pPr>
      <w:r>
        <w:rPr>
          <w:rFonts w:ascii="Arial" w:eastAsia="Arial" w:hAnsi="Arial" w:cs="Arial"/>
          <w:b/>
          <w:color w:val="000000"/>
          <w:sz w:val="23"/>
          <w:szCs w:val="23"/>
        </w:rPr>
        <w:tab/>
      </w:r>
      <w:r w:rsidRPr="00BC742D">
        <w:rPr>
          <w:rFonts w:ascii="Arial" w:eastAsia="Arial" w:hAnsi="Arial" w:cs="Arial"/>
          <w:b/>
          <w:color w:val="000000"/>
          <w:sz w:val="23"/>
          <w:szCs w:val="23"/>
        </w:rPr>
        <w:t>Scientific Review Required Outcomes</w:t>
      </w:r>
      <w:r w:rsidR="00835026">
        <w:rPr>
          <w:rFonts w:ascii="Arial" w:eastAsia="Arial" w:hAnsi="Arial" w:cs="Arial"/>
          <w:b/>
          <w:color w:val="000000"/>
          <w:sz w:val="23"/>
          <w:szCs w:val="23"/>
        </w:rPr>
        <w:t xml:space="preserve"> – Taken from </w:t>
      </w:r>
      <w:proofErr w:type="spellStart"/>
      <w:r w:rsidR="00835026">
        <w:rPr>
          <w:rFonts w:ascii="Arial" w:eastAsia="Arial" w:hAnsi="Arial" w:cs="Arial"/>
          <w:b/>
          <w:color w:val="000000"/>
          <w:sz w:val="23"/>
          <w:szCs w:val="23"/>
        </w:rPr>
        <w:t>Mithcell</w:t>
      </w:r>
      <w:proofErr w:type="spellEnd"/>
      <w:r w:rsidR="00835026">
        <w:rPr>
          <w:rFonts w:ascii="Arial" w:eastAsia="Arial" w:hAnsi="Arial" w:cs="Arial"/>
          <w:b/>
          <w:color w:val="000000"/>
          <w:sz w:val="23"/>
          <w:szCs w:val="23"/>
        </w:rPr>
        <w:t xml:space="preserve"> et al. (2018)</w:t>
      </w:r>
      <w:r w:rsidRPr="00BC742D">
        <w:rPr>
          <w:rFonts w:ascii="Arial" w:eastAsia="Arial" w:hAnsi="Arial" w:cs="Arial"/>
          <w:b/>
          <w:color w:val="000000"/>
          <w:sz w:val="23"/>
          <w:szCs w:val="23"/>
        </w:rPr>
        <w:t xml:space="preserve"> </w:t>
      </w:r>
    </w:p>
    <w:p w14:paraId="3B59CF92" w14:textId="77777777" w:rsidR="003A5473" w:rsidRDefault="003A5473" w:rsidP="006E1407">
      <w:pPr>
        <w:spacing w:after="200" w:line="276" w:lineRule="auto"/>
        <w:ind w:left="360" w:hanging="360"/>
        <w:rPr>
          <w:color w:val="000000"/>
          <w:sz w:val="23"/>
          <w:szCs w:val="23"/>
        </w:rPr>
      </w:pPr>
      <w:r>
        <w:rPr>
          <w:color w:val="000000"/>
          <w:sz w:val="23"/>
          <w:szCs w:val="23"/>
        </w:rPr>
        <w:t xml:space="preserve">1. Brief synopsis of rationale for the scientific review. Concisely describe the issue or concern that the scientific review is investigating. This could range from a general desire to ensure the scientific validity of a protocol to a specific issue that needs to be addressed. </w:t>
      </w:r>
    </w:p>
    <w:p w14:paraId="7F7CF943" w14:textId="77777777" w:rsidR="003A5473" w:rsidRDefault="003A5473" w:rsidP="006E1407">
      <w:pPr>
        <w:spacing w:after="200" w:line="276" w:lineRule="auto"/>
        <w:ind w:left="360" w:hanging="360"/>
        <w:rPr>
          <w:color w:val="000000"/>
          <w:sz w:val="23"/>
          <w:szCs w:val="23"/>
        </w:rPr>
      </w:pPr>
      <w:r>
        <w:rPr>
          <w:color w:val="000000"/>
          <w:sz w:val="23"/>
          <w:szCs w:val="23"/>
        </w:rPr>
        <w:t xml:space="preserve">2. For targeted and full protocol reviews, validation of current protocol objectives, design, methods, and standards (as appropriate for the type of scientific review), or recommendation to modify the protocol based on the findings of the scientific review. For example, a targeted review may only require validation or modification of some specific methods. In some situations, additional expert guidance regarding proposed changes may be needed before a decision can be approved. In this case the outcome will be an approved plan outlining the steps and timeline for </w:t>
      </w:r>
      <w:proofErr w:type="gramStart"/>
      <w:r>
        <w:rPr>
          <w:color w:val="000000"/>
          <w:sz w:val="23"/>
          <w:szCs w:val="23"/>
        </w:rPr>
        <w:t>making a decision</w:t>
      </w:r>
      <w:proofErr w:type="gramEnd"/>
      <w:r>
        <w:rPr>
          <w:color w:val="000000"/>
          <w:sz w:val="23"/>
          <w:szCs w:val="23"/>
        </w:rPr>
        <w:t xml:space="preserve">. </w:t>
      </w:r>
    </w:p>
    <w:p w14:paraId="78738EC0" w14:textId="77777777" w:rsidR="003A5473" w:rsidRDefault="003A5473" w:rsidP="006E1407">
      <w:pPr>
        <w:spacing w:after="200" w:line="276" w:lineRule="auto"/>
        <w:ind w:left="360" w:hanging="360"/>
        <w:rPr>
          <w:color w:val="000000"/>
          <w:sz w:val="23"/>
          <w:szCs w:val="23"/>
        </w:rPr>
      </w:pPr>
      <w:r>
        <w:rPr>
          <w:color w:val="000000"/>
          <w:sz w:val="23"/>
          <w:szCs w:val="23"/>
        </w:rPr>
        <w:t xml:space="preserve">3. If a recommendation is made to modify a protocol: </w:t>
      </w:r>
    </w:p>
    <w:p w14:paraId="04384F12" w14:textId="77777777" w:rsidR="003A5473" w:rsidRDefault="003A5473" w:rsidP="006E1407">
      <w:pPr>
        <w:spacing w:after="200" w:line="276" w:lineRule="auto"/>
        <w:ind w:left="720"/>
        <w:rPr>
          <w:color w:val="000000"/>
          <w:sz w:val="23"/>
          <w:szCs w:val="23"/>
        </w:rPr>
      </w:pPr>
      <w:r>
        <w:rPr>
          <w:color w:val="000000"/>
          <w:sz w:val="23"/>
          <w:szCs w:val="23"/>
        </w:rPr>
        <w:t>a. Documentation of any effects on data quality, data usability, or data quality standards, including whether (and how) data collected prior to protocol changes will be compatible with data collected after the changes.</w:t>
      </w:r>
    </w:p>
    <w:p w14:paraId="7F3E07A1" w14:textId="77777777" w:rsidR="003A5473" w:rsidRDefault="003A5473" w:rsidP="006E1407">
      <w:pPr>
        <w:spacing w:after="200" w:line="276" w:lineRule="auto"/>
        <w:ind w:left="720"/>
        <w:rPr>
          <w:color w:val="000000"/>
          <w:sz w:val="23"/>
          <w:szCs w:val="23"/>
        </w:rPr>
      </w:pPr>
      <w:r>
        <w:rPr>
          <w:color w:val="000000"/>
          <w:sz w:val="23"/>
          <w:szCs w:val="23"/>
        </w:rPr>
        <w:lastRenderedPageBreak/>
        <w:t xml:space="preserve">b. Plan (tasks and timeline) for updating data management processes, revising the protocol database, flagging affected data, updating analysis methods, and updating reporting (as appropriate) to accommodate the changes. </w:t>
      </w:r>
    </w:p>
    <w:p w14:paraId="09B79E22" w14:textId="77777777" w:rsidR="003A5473" w:rsidRDefault="003A5473" w:rsidP="006E1407">
      <w:pPr>
        <w:spacing w:after="200" w:line="276" w:lineRule="auto"/>
        <w:ind w:left="720"/>
        <w:rPr>
          <w:color w:val="000000"/>
          <w:sz w:val="23"/>
          <w:szCs w:val="23"/>
        </w:rPr>
      </w:pPr>
      <w:r>
        <w:rPr>
          <w:color w:val="000000"/>
          <w:sz w:val="23"/>
          <w:szCs w:val="23"/>
        </w:rPr>
        <w:t xml:space="preserve">c. Revised protocol documents suitable for peer review, or a plan (tasks and timeline) to accomplish the revisions. </w:t>
      </w:r>
    </w:p>
    <w:p w14:paraId="643A2E87" w14:textId="77777777" w:rsidR="003A5473" w:rsidRDefault="003A5473" w:rsidP="006E1407">
      <w:pPr>
        <w:spacing w:after="200" w:line="276" w:lineRule="auto"/>
        <w:ind w:left="360" w:hanging="360"/>
        <w:rPr>
          <w:sz w:val="23"/>
          <w:szCs w:val="23"/>
        </w:rPr>
      </w:pPr>
      <w:r>
        <w:rPr>
          <w:sz w:val="23"/>
          <w:szCs w:val="23"/>
        </w:rPr>
        <w:t xml:space="preserve">4. For full protocol and multi-protocol reviews, an additional outcome is validation of current operations, or approval to modify the protocol(s) to improve information dissemination (what is being produced, in what formats, and how is it being made available) and support intended scientific and decision-support needs. If modifications are approved, an approved plan (tasks and timeline) for accomplishing the modifications is needed. </w:t>
      </w:r>
    </w:p>
    <w:p w14:paraId="2717E961" w14:textId="77777777" w:rsidR="003A5473" w:rsidRDefault="003A5473" w:rsidP="006E1407">
      <w:pPr>
        <w:spacing w:after="200" w:line="276" w:lineRule="auto"/>
        <w:ind w:left="360" w:hanging="360"/>
        <w:rPr>
          <w:sz w:val="23"/>
          <w:szCs w:val="23"/>
        </w:rPr>
      </w:pPr>
      <w:r>
        <w:rPr>
          <w:sz w:val="23"/>
          <w:szCs w:val="23"/>
        </w:rPr>
        <w:t xml:space="preserve">5. For multi-protocol reviews, an additional outcome is validation of the current suite of vital signs, or recommendation to modify the vital signs monitoring plan to improve the ability of the network to provide sound science to support park management. If monitoring plan changes are approved, a schedule of tasks and timelines for accomplishing the changes must be approved. </w:t>
      </w:r>
    </w:p>
    <w:p w14:paraId="5B60FD23" w14:textId="77777777" w:rsidR="003A5473" w:rsidRDefault="003A5473" w:rsidP="003A5473">
      <w:pPr>
        <w:pBdr>
          <w:top w:val="nil"/>
          <w:left w:val="nil"/>
          <w:bottom w:val="nil"/>
          <w:right w:val="nil"/>
          <w:between w:val="nil"/>
        </w:pBdr>
        <w:spacing w:before="120" w:after="200"/>
        <w:rPr>
          <w:rFonts w:ascii="Arial" w:eastAsia="Arial" w:hAnsi="Arial" w:cs="Arial"/>
          <w:b/>
          <w:color w:val="000000"/>
          <w:sz w:val="23"/>
          <w:szCs w:val="23"/>
        </w:rPr>
      </w:pPr>
      <w:r>
        <w:rPr>
          <w:rFonts w:ascii="Arial" w:eastAsia="Arial" w:hAnsi="Arial" w:cs="Arial"/>
          <w:b/>
          <w:color w:val="000000"/>
          <w:sz w:val="23"/>
          <w:szCs w:val="23"/>
        </w:rPr>
        <w:t>Protocol Revision Documentation</w:t>
      </w:r>
    </w:p>
    <w:p w14:paraId="32DC0BD2" w14:textId="77777777" w:rsidR="003A5473" w:rsidRDefault="003A5473" w:rsidP="003A5473">
      <w:pPr>
        <w:spacing w:after="200" w:line="276" w:lineRule="auto"/>
        <w:rPr>
          <w:sz w:val="23"/>
          <w:szCs w:val="23"/>
        </w:rPr>
      </w:pPr>
      <w:r>
        <w:rPr>
          <w:sz w:val="23"/>
          <w:szCs w:val="23"/>
        </w:rPr>
        <w:t>1. Publication</w:t>
      </w:r>
    </w:p>
    <w:p w14:paraId="3EBE448A" w14:textId="5677AAE0" w:rsidR="003A5473" w:rsidRDefault="003A5473" w:rsidP="003A5473">
      <w:pPr>
        <w:spacing w:after="200" w:line="276" w:lineRule="auto"/>
        <w:ind w:left="720"/>
        <w:rPr>
          <w:sz w:val="23"/>
          <w:szCs w:val="23"/>
        </w:rPr>
      </w:pPr>
      <w:r>
        <w:rPr>
          <w:sz w:val="23"/>
          <w:szCs w:val="23"/>
        </w:rPr>
        <w:t xml:space="preserve">a. The narrative </w:t>
      </w:r>
      <w:r w:rsidR="00031C3A">
        <w:rPr>
          <w:sz w:val="23"/>
          <w:szCs w:val="23"/>
        </w:rPr>
        <w:t>is</w:t>
      </w:r>
      <w:r>
        <w:rPr>
          <w:sz w:val="23"/>
          <w:szCs w:val="23"/>
        </w:rPr>
        <w:t xml:space="preserve"> published as </w:t>
      </w:r>
      <w:r w:rsidR="00031C3A">
        <w:rPr>
          <w:sz w:val="23"/>
          <w:szCs w:val="23"/>
        </w:rPr>
        <w:t xml:space="preserve">a </w:t>
      </w:r>
      <w:r>
        <w:rPr>
          <w:sz w:val="23"/>
          <w:szCs w:val="23"/>
        </w:rPr>
        <w:t xml:space="preserve">NPS Natural Resource Reports, and if </w:t>
      </w:r>
      <w:r w:rsidR="00031C3A">
        <w:rPr>
          <w:sz w:val="23"/>
          <w:szCs w:val="23"/>
        </w:rPr>
        <w:t>it has</w:t>
      </w:r>
      <w:r>
        <w:rPr>
          <w:sz w:val="23"/>
          <w:szCs w:val="23"/>
        </w:rPr>
        <w:t xml:space="preserve"> changed the revised versions need to be submitted to the Natural Resource Publications Management Office (https://www.nps.gov/im/report-procedures.htm) for a new report number.</w:t>
      </w:r>
    </w:p>
    <w:p w14:paraId="24584664" w14:textId="2933D9C7" w:rsidR="003A5473" w:rsidRDefault="003A5473" w:rsidP="003A5473">
      <w:pPr>
        <w:spacing w:after="200" w:line="276" w:lineRule="auto"/>
        <w:ind w:left="720"/>
        <w:rPr>
          <w:sz w:val="23"/>
          <w:szCs w:val="23"/>
        </w:rPr>
      </w:pPr>
      <w:r>
        <w:rPr>
          <w:sz w:val="23"/>
          <w:szCs w:val="23"/>
        </w:rPr>
        <w:t xml:space="preserve">b. Each Standard Operating Procedure (SOP) </w:t>
      </w:r>
      <w:r w:rsidR="00C833DF">
        <w:rPr>
          <w:sz w:val="23"/>
          <w:szCs w:val="23"/>
        </w:rPr>
        <w:t xml:space="preserve">and Quality Assurance </w:t>
      </w:r>
      <w:r w:rsidR="00031C3A">
        <w:rPr>
          <w:sz w:val="23"/>
          <w:szCs w:val="23"/>
        </w:rPr>
        <w:t>P</w:t>
      </w:r>
      <w:r w:rsidR="00C833DF">
        <w:rPr>
          <w:sz w:val="23"/>
          <w:szCs w:val="23"/>
        </w:rPr>
        <w:t xml:space="preserve">lan </w:t>
      </w:r>
      <w:r w:rsidR="006F05CA">
        <w:rPr>
          <w:sz w:val="23"/>
          <w:szCs w:val="23"/>
        </w:rPr>
        <w:t xml:space="preserve">(QAP) </w:t>
      </w:r>
      <w:r>
        <w:rPr>
          <w:sz w:val="23"/>
          <w:szCs w:val="23"/>
        </w:rPr>
        <w:t>is uploaded as a unique record to the Integrated Resource Management Application (IRMA) with the reference type set to Standard Operation Procedure</w:t>
      </w:r>
      <w:r w:rsidR="00C833DF">
        <w:rPr>
          <w:sz w:val="23"/>
          <w:szCs w:val="23"/>
        </w:rPr>
        <w:t xml:space="preserve"> or Quality Assurance Plan</w:t>
      </w:r>
      <w:r>
        <w:rPr>
          <w:sz w:val="23"/>
          <w:szCs w:val="23"/>
        </w:rPr>
        <w:t xml:space="preserve">. (Note: SOPs </w:t>
      </w:r>
      <w:r w:rsidR="00031C3A">
        <w:rPr>
          <w:sz w:val="23"/>
          <w:szCs w:val="23"/>
        </w:rPr>
        <w:t xml:space="preserve">and QAPs </w:t>
      </w:r>
      <w:r>
        <w:rPr>
          <w:sz w:val="23"/>
          <w:szCs w:val="23"/>
        </w:rPr>
        <w:t xml:space="preserve">are not published in the NPS Natural Resource Publication Series.) </w:t>
      </w:r>
    </w:p>
    <w:p w14:paraId="69911F26" w14:textId="29AD43BA" w:rsidR="003A5473" w:rsidRDefault="003A5473" w:rsidP="003A5473">
      <w:pPr>
        <w:spacing w:after="200" w:line="276" w:lineRule="auto"/>
        <w:ind w:left="720"/>
        <w:rPr>
          <w:sz w:val="23"/>
          <w:szCs w:val="23"/>
        </w:rPr>
      </w:pPr>
      <w:r>
        <w:rPr>
          <w:sz w:val="23"/>
          <w:szCs w:val="23"/>
        </w:rPr>
        <w:t xml:space="preserve">c. Each SOP </w:t>
      </w:r>
      <w:r w:rsidR="00031C3A">
        <w:rPr>
          <w:sz w:val="23"/>
          <w:szCs w:val="23"/>
        </w:rPr>
        <w:t xml:space="preserve">and QAP </w:t>
      </w:r>
      <w:r>
        <w:rPr>
          <w:sz w:val="23"/>
          <w:szCs w:val="23"/>
        </w:rPr>
        <w:t>record is linked to the protocol narrative record in IRMA using the External Link feature (Figure 10.01)</w:t>
      </w:r>
    </w:p>
    <w:p w14:paraId="7F64F72D" w14:textId="77777777" w:rsidR="003A5473" w:rsidRDefault="003A5473" w:rsidP="003A5473">
      <w:pPr>
        <w:spacing w:after="200" w:line="276" w:lineRule="auto"/>
        <w:ind w:left="1080"/>
        <w:rPr>
          <w:sz w:val="23"/>
          <w:szCs w:val="23"/>
        </w:rPr>
      </w:pPr>
      <w:r>
        <w:rPr>
          <w:sz w:val="23"/>
          <w:szCs w:val="23"/>
        </w:rPr>
        <w:tab/>
      </w:r>
      <w:proofErr w:type="spellStart"/>
      <w:r>
        <w:rPr>
          <w:sz w:val="23"/>
          <w:szCs w:val="23"/>
        </w:rPr>
        <w:t>i</w:t>
      </w:r>
      <w:proofErr w:type="spellEnd"/>
      <w:r>
        <w:rPr>
          <w:sz w:val="23"/>
          <w:szCs w:val="23"/>
        </w:rPr>
        <w:t>. Open the protocol narrative record in IRMA.</w:t>
      </w:r>
    </w:p>
    <w:p w14:paraId="5F6B7BA5" w14:textId="77777777" w:rsidR="003A5473" w:rsidRDefault="003A5473" w:rsidP="003A5473">
      <w:pPr>
        <w:spacing w:after="200" w:line="276" w:lineRule="auto"/>
        <w:ind w:left="1080"/>
        <w:rPr>
          <w:sz w:val="23"/>
          <w:szCs w:val="23"/>
        </w:rPr>
      </w:pPr>
      <w:r>
        <w:rPr>
          <w:sz w:val="23"/>
          <w:szCs w:val="23"/>
        </w:rPr>
        <w:tab/>
        <w:t>ii. Click on the Files and Links tab</w:t>
      </w:r>
    </w:p>
    <w:p w14:paraId="39736459" w14:textId="6208D68E" w:rsidR="003A5473" w:rsidRDefault="003A5473" w:rsidP="003A5473">
      <w:pPr>
        <w:spacing w:after="200" w:line="276" w:lineRule="auto"/>
        <w:ind w:left="1080"/>
        <w:rPr>
          <w:sz w:val="23"/>
          <w:szCs w:val="23"/>
        </w:rPr>
      </w:pPr>
      <w:r>
        <w:rPr>
          <w:sz w:val="23"/>
          <w:szCs w:val="23"/>
        </w:rPr>
        <w:tab/>
        <w:t>iii. Click the add button</w:t>
      </w:r>
      <w:r w:rsidR="000B0327">
        <w:rPr>
          <w:sz w:val="23"/>
          <w:szCs w:val="23"/>
        </w:rPr>
        <w:t xml:space="preserve"> </w:t>
      </w:r>
      <w:r>
        <w:rPr>
          <w:sz w:val="23"/>
          <w:szCs w:val="23"/>
        </w:rPr>
        <w:t>and choose external link.</w:t>
      </w:r>
    </w:p>
    <w:p w14:paraId="1ADD8A65" w14:textId="30126238" w:rsidR="003A5473" w:rsidRDefault="003A5473" w:rsidP="003A5473">
      <w:pPr>
        <w:spacing w:after="200" w:line="276" w:lineRule="auto"/>
        <w:ind w:left="1080"/>
        <w:rPr>
          <w:sz w:val="23"/>
          <w:szCs w:val="23"/>
        </w:rPr>
      </w:pPr>
      <w:r>
        <w:rPr>
          <w:sz w:val="23"/>
          <w:szCs w:val="23"/>
        </w:rPr>
        <w:tab/>
        <w:t xml:space="preserve">iv. Provide the URL to the SOP </w:t>
      </w:r>
      <w:r w:rsidR="00031C3A">
        <w:rPr>
          <w:sz w:val="23"/>
          <w:szCs w:val="23"/>
        </w:rPr>
        <w:t xml:space="preserve">or QAP </w:t>
      </w:r>
      <w:r>
        <w:rPr>
          <w:sz w:val="23"/>
          <w:szCs w:val="23"/>
        </w:rPr>
        <w:t>record and type in a description</w:t>
      </w:r>
    </w:p>
    <w:p w14:paraId="524275FC" w14:textId="6EC79901" w:rsidR="000B0327" w:rsidRDefault="000B0327" w:rsidP="00A81FE6">
      <w:pPr>
        <w:spacing w:after="200" w:line="276" w:lineRule="auto"/>
        <w:ind w:left="1080" w:firstLine="360"/>
        <w:rPr>
          <w:sz w:val="23"/>
          <w:szCs w:val="23"/>
        </w:rPr>
      </w:pPr>
      <w:r>
        <w:rPr>
          <w:sz w:val="23"/>
          <w:szCs w:val="23"/>
        </w:rPr>
        <w:t>v. Repeat for each SOP</w:t>
      </w:r>
      <w:r w:rsidR="00031C3A">
        <w:rPr>
          <w:sz w:val="23"/>
          <w:szCs w:val="23"/>
        </w:rPr>
        <w:t xml:space="preserve"> or QAP</w:t>
      </w:r>
    </w:p>
    <w:p w14:paraId="4012F2EC" w14:textId="4E8F4A21" w:rsidR="003A5473" w:rsidRDefault="003A5473" w:rsidP="003A5473">
      <w:pPr>
        <w:ind w:left="1080"/>
        <w:rPr>
          <w:sz w:val="23"/>
          <w:szCs w:val="23"/>
        </w:rPr>
      </w:pPr>
      <w:r>
        <w:rPr>
          <w:sz w:val="23"/>
          <w:szCs w:val="23"/>
        </w:rPr>
        <w:lastRenderedPageBreak/>
        <w:tab/>
      </w:r>
      <w:r>
        <w:rPr>
          <w:noProof/>
        </w:rPr>
        <w:drawing>
          <wp:anchor distT="0" distB="0" distL="114300" distR="114300" simplePos="0" relativeHeight="251658240" behindDoc="0" locked="0" layoutInCell="1" hidden="0" allowOverlap="1" wp14:anchorId="7AA5EF38" wp14:editId="4AD73A18">
            <wp:simplePos x="0" y="0"/>
            <wp:positionH relativeFrom="column">
              <wp:posOffset>19051</wp:posOffset>
            </wp:positionH>
            <wp:positionV relativeFrom="paragraph">
              <wp:posOffset>255270</wp:posOffset>
            </wp:positionV>
            <wp:extent cx="5943600" cy="239903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399030"/>
                    </a:xfrm>
                    <a:prstGeom prst="rect">
                      <a:avLst/>
                    </a:prstGeom>
                    <a:ln/>
                  </pic:spPr>
                </pic:pic>
              </a:graphicData>
            </a:graphic>
          </wp:anchor>
        </w:drawing>
      </w:r>
    </w:p>
    <w:p w14:paraId="31FE2459" w14:textId="77777777" w:rsidR="003A5473" w:rsidRDefault="003A5473" w:rsidP="003A5473">
      <w:pPr>
        <w:spacing w:before="120" w:after="200"/>
        <w:jc w:val="both"/>
        <w:rPr>
          <w:rFonts w:ascii="Arial" w:eastAsia="Arial" w:hAnsi="Arial" w:cs="Arial"/>
        </w:rPr>
      </w:pPr>
      <w:r>
        <w:rPr>
          <w:rFonts w:ascii="Arial" w:eastAsia="Arial" w:hAnsi="Arial" w:cs="Arial"/>
        </w:rPr>
        <w:t xml:space="preserve">Figure 10.01. Example of a protocol narrative record in IRMA with external links to standard operating procedures. </w:t>
      </w:r>
    </w:p>
    <w:p w14:paraId="7DC53149" w14:textId="77777777" w:rsidR="003A5473" w:rsidRDefault="003A5473" w:rsidP="003A5473">
      <w:pPr>
        <w:pBdr>
          <w:top w:val="nil"/>
          <w:left w:val="nil"/>
          <w:bottom w:val="nil"/>
          <w:right w:val="nil"/>
          <w:between w:val="nil"/>
        </w:pBdr>
        <w:spacing w:after="200" w:line="276" w:lineRule="auto"/>
        <w:ind w:left="360" w:hanging="360"/>
        <w:rPr>
          <w:color w:val="000000"/>
          <w:sz w:val="23"/>
          <w:szCs w:val="23"/>
        </w:rPr>
      </w:pPr>
      <w:r>
        <w:rPr>
          <w:color w:val="000000"/>
          <w:sz w:val="23"/>
          <w:szCs w:val="23"/>
        </w:rPr>
        <w:t>2. Archiving—The network program manager ensures that review-related documents are organized and stored in a readily discoverable location on the network’s server.</w:t>
      </w:r>
    </w:p>
    <w:p w14:paraId="1100BE40" w14:textId="77777777" w:rsidR="003A5473" w:rsidRDefault="003A5473" w:rsidP="003A5473">
      <w:pPr>
        <w:pBdr>
          <w:top w:val="nil"/>
          <w:left w:val="nil"/>
          <w:bottom w:val="nil"/>
          <w:right w:val="nil"/>
          <w:between w:val="nil"/>
        </w:pBdr>
        <w:spacing w:after="200" w:line="276" w:lineRule="auto"/>
        <w:ind w:left="360" w:hanging="360"/>
        <w:rPr>
          <w:color w:val="000000"/>
          <w:sz w:val="23"/>
          <w:szCs w:val="23"/>
        </w:rPr>
      </w:pPr>
      <w:r>
        <w:rPr>
          <w:color w:val="000000"/>
          <w:sz w:val="23"/>
          <w:szCs w:val="23"/>
        </w:rPr>
        <w:t>3. Protocol tracking database—The network program manager is responsible for updating information about the protocol in the I&amp;M protocol tracking database (</w:t>
      </w:r>
      <w:hyperlink r:id="rId7">
        <w:r>
          <w:rPr>
            <w:color w:val="0000FF"/>
            <w:sz w:val="23"/>
            <w:szCs w:val="23"/>
            <w:u w:val="single"/>
          </w:rPr>
          <w:t>https://irma.nps.gov/protocoltracking/</w:t>
        </w:r>
      </w:hyperlink>
      <w:r>
        <w:rPr>
          <w:color w:val="000000"/>
          <w:sz w:val="23"/>
          <w:szCs w:val="23"/>
        </w:rPr>
        <w:t>).</w:t>
      </w:r>
    </w:p>
    <w:p w14:paraId="648F531F" w14:textId="77777777" w:rsidR="003A5473" w:rsidRDefault="003A5473" w:rsidP="003A5473">
      <w:pPr>
        <w:spacing w:before="80" w:after="200"/>
        <w:rPr>
          <w:rFonts w:ascii="Arial" w:eastAsia="Arial" w:hAnsi="Arial" w:cs="Arial"/>
          <w:b/>
          <w:sz w:val="23"/>
          <w:szCs w:val="23"/>
        </w:rPr>
      </w:pPr>
      <w:r>
        <w:rPr>
          <w:rFonts w:ascii="Arial" w:eastAsia="Arial" w:hAnsi="Arial" w:cs="Arial"/>
          <w:b/>
          <w:sz w:val="23"/>
          <w:szCs w:val="23"/>
        </w:rPr>
        <w:t>References</w:t>
      </w:r>
    </w:p>
    <w:p w14:paraId="6974BD1A" w14:textId="77777777" w:rsidR="003A5473" w:rsidRDefault="003A5473" w:rsidP="003A5473">
      <w:pPr>
        <w:spacing w:after="200" w:line="276" w:lineRule="auto"/>
        <w:ind w:left="360" w:hanging="360"/>
        <w:rPr>
          <w:color w:val="000000"/>
          <w:sz w:val="23"/>
          <w:szCs w:val="23"/>
        </w:rPr>
      </w:pPr>
      <w:r>
        <w:rPr>
          <w:sz w:val="23"/>
          <w:szCs w:val="23"/>
        </w:rPr>
        <w:t>Mitchell, B., A. Chung-</w:t>
      </w:r>
      <w:proofErr w:type="spellStart"/>
      <w:r>
        <w:rPr>
          <w:sz w:val="23"/>
          <w:szCs w:val="23"/>
        </w:rPr>
        <w:t>MacCoubrey</w:t>
      </w:r>
      <w:proofErr w:type="spellEnd"/>
      <w:r>
        <w:rPr>
          <w:sz w:val="23"/>
          <w:szCs w:val="23"/>
        </w:rPr>
        <w:t xml:space="preserve">, J. Comiskey, L. Garrett, M. </w:t>
      </w:r>
      <w:proofErr w:type="spellStart"/>
      <w:r>
        <w:rPr>
          <w:sz w:val="23"/>
          <w:szCs w:val="23"/>
        </w:rPr>
        <w:t>MacCluskie</w:t>
      </w:r>
      <w:proofErr w:type="spellEnd"/>
      <w:r>
        <w:rPr>
          <w:sz w:val="23"/>
          <w:szCs w:val="23"/>
        </w:rPr>
        <w:t xml:space="preserve">, B. Moore, T. Philippi, G. Sanders and J.P. </w:t>
      </w:r>
      <w:proofErr w:type="spellStart"/>
      <w:r>
        <w:rPr>
          <w:sz w:val="23"/>
          <w:szCs w:val="23"/>
        </w:rPr>
        <w:t>Schmit</w:t>
      </w:r>
      <w:proofErr w:type="spellEnd"/>
      <w:r>
        <w:rPr>
          <w:sz w:val="23"/>
          <w:szCs w:val="23"/>
        </w:rPr>
        <w:t>. 2018. Inventory and Monitoring Division protocol review guidance. Natural Resource Report NPS/NRSS/IMD/NRR—2018/1644. National Park Service, Fort Collins, Colorado.</w:t>
      </w:r>
    </w:p>
    <w:p w14:paraId="3E877D6A" w14:textId="77777777" w:rsidR="003A5473" w:rsidRDefault="003A5473" w:rsidP="003A5473"/>
    <w:p w14:paraId="6EE325B8" w14:textId="77777777" w:rsidR="008B4116" w:rsidRDefault="008B4116" w:rsidP="003A5473">
      <w:pPr>
        <w:pBdr>
          <w:top w:val="nil"/>
          <w:left w:val="nil"/>
          <w:bottom w:val="nil"/>
          <w:right w:val="nil"/>
          <w:between w:val="nil"/>
        </w:pBdr>
        <w:spacing w:before="120" w:after="200" w:line="276" w:lineRule="auto"/>
      </w:pPr>
    </w:p>
    <w:sectPr w:rsidR="008B4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04854"/>
    <w:multiLevelType w:val="hybridMultilevel"/>
    <w:tmpl w:val="AB8A5130"/>
    <w:lvl w:ilvl="0" w:tplc="FFFFFFFF">
      <w:start w:val="1"/>
      <w:numFmt w:val="decimal"/>
      <w:lvlText w:val="%1."/>
      <w:lvlJc w:val="left"/>
      <w:pPr>
        <w:tabs>
          <w:tab w:val="num" w:pos="576"/>
        </w:tabs>
        <w:ind w:left="576" w:hanging="288"/>
      </w:pPr>
      <w:rPr>
        <w:rFonts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9D"/>
    <w:rsid w:val="00014968"/>
    <w:rsid w:val="0002799D"/>
    <w:rsid w:val="00031C3A"/>
    <w:rsid w:val="000619C3"/>
    <w:rsid w:val="000634A3"/>
    <w:rsid w:val="000B0327"/>
    <w:rsid w:val="0023054D"/>
    <w:rsid w:val="0028304F"/>
    <w:rsid w:val="00365DCE"/>
    <w:rsid w:val="00373EFB"/>
    <w:rsid w:val="00385F28"/>
    <w:rsid w:val="003A5473"/>
    <w:rsid w:val="00487059"/>
    <w:rsid w:val="00506BA8"/>
    <w:rsid w:val="00552A08"/>
    <w:rsid w:val="00573F9E"/>
    <w:rsid w:val="006E1407"/>
    <w:rsid w:val="006F05CA"/>
    <w:rsid w:val="007A7CC5"/>
    <w:rsid w:val="007E3F31"/>
    <w:rsid w:val="00835026"/>
    <w:rsid w:val="008B34E4"/>
    <w:rsid w:val="008B4116"/>
    <w:rsid w:val="00A07072"/>
    <w:rsid w:val="00A323BA"/>
    <w:rsid w:val="00A81FE6"/>
    <w:rsid w:val="00AC6985"/>
    <w:rsid w:val="00BC742D"/>
    <w:rsid w:val="00BD0383"/>
    <w:rsid w:val="00C833DF"/>
    <w:rsid w:val="00E5509C"/>
    <w:rsid w:val="00E730C0"/>
    <w:rsid w:val="00E87221"/>
    <w:rsid w:val="00FF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75F3"/>
  <w15:docId w15:val="{BBEEAA41-A85E-4084-938A-EFD2F481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9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0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02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rma.nps.gov/protocoltr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Peitz, David G.</dc:creator>
  <cp:lastModifiedBy>Peitz, David G</cp:lastModifiedBy>
  <cp:revision>7</cp:revision>
  <dcterms:created xsi:type="dcterms:W3CDTF">2020-03-30T13:51:00Z</dcterms:created>
  <dcterms:modified xsi:type="dcterms:W3CDTF">2022-06-13T19:02:00Z</dcterms:modified>
</cp:coreProperties>
</file>