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F4E5" w14:textId="77777777" w:rsidR="00B41CCB" w:rsidRDefault="00B41CCB" w:rsidP="00B41CCB">
      <w:pPr>
        <w:jc w:val="center"/>
        <w:rPr>
          <w:rFonts w:ascii="Arial" w:hAnsi="Arial"/>
          <w:b/>
          <w:sz w:val="32"/>
        </w:rPr>
      </w:pPr>
      <w:r>
        <w:rPr>
          <w:rFonts w:ascii="Arial" w:hAnsi="Arial"/>
          <w:b/>
          <w:sz w:val="32"/>
        </w:rPr>
        <w:t>Breeding Bird Monito</w:t>
      </w:r>
      <w:r w:rsidR="00BE71B7">
        <w:rPr>
          <w:rFonts w:ascii="Arial" w:hAnsi="Arial"/>
          <w:b/>
          <w:sz w:val="32"/>
        </w:rPr>
        <w:t xml:space="preserve">ring Protocol for the Heartland </w:t>
      </w:r>
      <w:r>
        <w:rPr>
          <w:rFonts w:ascii="Arial" w:hAnsi="Arial"/>
          <w:b/>
          <w:sz w:val="32"/>
        </w:rPr>
        <w:t xml:space="preserve">Inventory and Monitoring </w:t>
      </w:r>
      <w:r w:rsidR="00BE71B7">
        <w:rPr>
          <w:rFonts w:ascii="Arial" w:hAnsi="Arial"/>
          <w:b/>
          <w:sz w:val="32"/>
        </w:rPr>
        <w:t>Network</w:t>
      </w:r>
    </w:p>
    <w:p w14:paraId="05FB9B8F" w14:textId="77777777" w:rsidR="00B41CCB" w:rsidRDefault="00B41CCB" w:rsidP="00B41CCB">
      <w:pPr>
        <w:jc w:val="center"/>
        <w:rPr>
          <w:rFonts w:ascii="Arial" w:hAnsi="Arial"/>
          <w:b/>
          <w:sz w:val="24"/>
        </w:rPr>
      </w:pPr>
    </w:p>
    <w:p w14:paraId="208B706D" w14:textId="77777777" w:rsidR="00B41CCB" w:rsidRDefault="00235530" w:rsidP="00B41CCB">
      <w:pPr>
        <w:shd w:val="clear" w:color="auto" w:fill="E0E0E0"/>
        <w:jc w:val="center"/>
        <w:rPr>
          <w:rFonts w:ascii="Arial" w:hAnsi="Arial"/>
          <w:b/>
          <w:sz w:val="24"/>
        </w:rPr>
      </w:pPr>
      <w:bookmarkStart w:id="0" w:name="sop4"/>
      <w:bookmarkStart w:id="1" w:name="_Toc177437932"/>
      <w:bookmarkStart w:id="2" w:name="_Toc177439335"/>
      <w:bookmarkEnd w:id="0"/>
      <w:r>
        <w:rPr>
          <w:rFonts w:ascii="Arial" w:hAnsi="Arial"/>
          <w:b/>
          <w:sz w:val="24"/>
        </w:rPr>
        <w:t>Standard Operation Procedure 3</w:t>
      </w:r>
      <w:r w:rsidR="00B41CCB">
        <w:rPr>
          <w:rFonts w:ascii="Arial" w:hAnsi="Arial"/>
          <w:b/>
          <w:sz w:val="24"/>
        </w:rPr>
        <w:t>: Establishing and Marking Sampling Plots</w:t>
      </w:r>
      <w:bookmarkEnd w:id="1"/>
      <w:bookmarkEnd w:id="2"/>
    </w:p>
    <w:p w14:paraId="2064D746" w14:textId="77777777" w:rsidR="00B41CCB" w:rsidRDefault="00B41CCB" w:rsidP="00B41CCB">
      <w:pPr>
        <w:jc w:val="center"/>
        <w:rPr>
          <w:rFonts w:ascii="Arial" w:hAnsi="Arial"/>
          <w:b/>
        </w:rPr>
      </w:pPr>
    </w:p>
    <w:p w14:paraId="57A34B74" w14:textId="77777777" w:rsidR="00B41CCB" w:rsidRPr="00525C21" w:rsidRDefault="00525C21" w:rsidP="00525C21">
      <w:pPr>
        <w:jc w:val="center"/>
        <w:rPr>
          <w:b/>
          <w:sz w:val="24"/>
        </w:rPr>
      </w:pPr>
      <w:r>
        <w:rPr>
          <w:rFonts w:ascii="Arial" w:hAnsi="Arial"/>
          <w:b/>
          <w:sz w:val="24"/>
        </w:rPr>
        <w:t>Version 3.00 (</w:t>
      </w:r>
      <w:r w:rsidR="00784633">
        <w:rPr>
          <w:rFonts w:ascii="Arial" w:hAnsi="Arial"/>
          <w:b/>
          <w:sz w:val="24"/>
        </w:rPr>
        <w:t>05</w:t>
      </w:r>
      <w:r>
        <w:rPr>
          <w:rFonts w:ascii="Arial" w:hAnsi="Arial"/>
          <w:b/>
          <w:sz w:val="24"/>
        </w:rPr>
        <w:t>/</w:t>
      </w:r>
      <w:r w:rsidR="00784633">
        <w:rPr>
          <w:rFonts w:ascii="Arial" w:hAnsi="Arial"/>
          <w:b/>
          <w:sz w:val="24"/>
        </w:rPr>
        <w:t>03</w:t>
      </w:r>
      <w:r>
        <w:rPr>
          <w:rFonts w:ascii="Arial" w:hAnsi="Arial"/>
          <w:b/>
          <w:sz w:val="24"/>
        </w:rPr>
        <w:t>/</w:t>
      </w:r>
      <w:r w:rsidR="00784633">
        <w:rPr>
          <w:rFonts w:ascii="Arial" w:hAnsi="Arial"/>
          <w:b/>
          <w:sz w:val="24"/>
        </w:rPr>
        <w:t>2019</w:t>
      </w:r>
      <w:r>
        <w:rPr>
          <w:rFonts w:ascii="Arial" w:hAnsi="Arial"/>
          <w:b/>
          <w:sz w:val="24"/>
        </w:rPr>
        <w:t>)</w:t>
      </w:r>
    </w:p>
    <w:p w14:paraId="2E9295BB" w14:textId="77777777" w:rsidR="00B41CCB" w:rsidRDefault="00B41CCB" w:rsidP="00B41CCB">
      <w:pPr>
        <w:rPr>
          <w:b/>
          <w:sz w:val="24"/>
        </w:rPr>
      </w:pPr>
    </w:p>
    <w:p w14:paraId="4886F2B0" w14:textId="77777777" w:rsidR="00B41CCB" w:rsidRPr="00784633" w:rsidRDefault="00B41CCB" w:rsidP="00B41CCB">
      <w:pPr>
        <w:rPr>
          <w:rFonts w:ascii="Arial" w:hAnsi="Arial" w:cs="Arial"/>
          <w:b/>
        </w:rPr>
      </w:pPr>
      <w:r w:rsidRPr="00784633">
        <w:rPr>
          <w:rFonts w:ascii="Arial" w:hAnsi="Arial" w:cs="Arial"/>
          <w:b/>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224"/>
        <w:gridCol w:w="1224"/>
        <w:gridCol w:w="2547"/>
        <w:gridCol w:w="2145"/>
        <w:gridCol w:w="1199"/>
      </w:tblGrid>
      <w:tr w:rsidR="00B41CCB" w:rsidRPr="00784633" w14:paraId="765E3178" w14:textId="77777777" w:rsidTr="00D33EA9">
        <w:trPr>
          <w:trHeight w:val="567"/>
        </w:trPr>
        <w:tc>
          <w:tcPr>
            <w:tcW w:w="1142" w:type="dxa"/>
          </w:tcPr>
          <w:p w14:paraId="7C1915E9" w14:textId="77777777" w:rsidR="00B41CCB" w:rsidRPr="00784633" w:rsidRDefault="00B41CCB" w:rsidP="00D33EA9">
            <w:pPr>
              <w:rPr>
                <w:rFonts w:ascii="Arial" w:hAnsi="Arial" w:cs="Arial"/>
              </w:rPr>
            </w:pPr>
            <w:r w:rsidRPr="00784633">
              <w:rPr>
                <w:rFonts w:ascii="Arial" w:hAnsi="Arial" w:cs="Arial"/>
              </w:rPr>
              <w:t>Previous Version #</w:t>
            </w:r>
          </w:p>
        </w:tc>
        <w:tc>
          <w:tcPr>
            <w:tcW w:w="1224" w:type="dxa"/>
          </w:tcPr>
          <w:p w14:paraId="696A92E3" w14:textId="77777777" w:rsidR="00B41CCB" w:rsidRPr="00784633" w:rsidRDefault="00B41CCB" w:rsidP="00D33EA9">
            <w:pPr>
              <w:rPr>
                <w:rFonts w:ascii="Arial" w:hAnsi="Arial" w:cs="Arial"/>
              </w:rPr>
            </w:pPr>
            <w:r w:rsidRPr="00784633">
              <w:rPr>
                <w:rFonts w:ascii="Arial" w:hAnsi="Arial" w:cs="Arial"/>
              </w:rPr>
              <w:t>Revision Date</w:t>
            </w:r>
          </w:p>
        </w:tc>
        <w:tc>
          <w:tcPr>
            <w:tcW w:w="1224" w:type="dxa"/>
          </w:tcPr>
          <w:p w14:paraId="3892096C" w14:textId="77777777" w:rsidR="00B41CCB" w:rsidRPr="00784633" w:rsidRDefault="00B41CCB" w:rsidP="00D33EA9">
            <w:pPr>
              <w:rPr>
                <w:rFonts w:ascii="Arial" w:hAnsi="Arial" w:cs="Arial"/>
              </w:rPr>
            </w:pPr>
            <w:r w:rsidRPr="00784633">
              <w:rPr>
                <w:rFonts w:ascii="Arial" w:hAnsi="Arial" w:cs="Arial"/>
              </w:rPr>
              <w:t>Author</w:t>
            </w:r>
          </w:p>
        </w:tc>
        <w:tc>
          <w:tcPr>
            <w:tcW w:w="2547" w:type="dxa"/>
          </w:tcPr>
          <w:p w14:paraId="558050D8" w14:textId="77777777" w:rsidR="00B41CCB" w:rsidRPr="00784633" w:rsidRDefault="00B41CCB" w:rsidP="00D33EA9">
            <w:pPr>
              <w:rPr>
                <w:rFonts w:ascii="Arial" w:hAnsi="Arial" w:cs="Arial"/>
              </w:rPr>
            </w:pPr>
            <w:r w:rsidRPr="00784633">
              <w:rPr>
                <w:rFonts w:ascii="Arial" w:hAnsi="Arial" w:cs="Arial"/>
              </w:rPr>
              <w:t>Changes Made</w:t>
            </w:r>
          </w:p>
        </w:tc>
        <w:tc>
          <w:tcPr>
            <w:tcW w:w="2145" w:type="dxa"/>
          </w:tcPr>
          <w:p w14:paraId="36AA5BCA" w14:textId="77777777" w:rsidR="00B41CCB" w:rsidRPr="00784633" w:rsidRDefault="00B41CCB" w:rsidP="00D33EA9">
            <w:pPr>
              <w:rPr>
                <w:rFonts w:ascii="Arial" w:hAnsi="Arial" w:cs="Arial"/>
              </w:rPr>
            </w:pPr>
            <w:r w:rsidRPr="00784633">
              <w:rPr>
                <w:rFonts w:ascii="Arial" w:hAnsi="Arial" w:cs="Arial"/>
              </w:rPr>
              <w:t>Reason for Change</w:t>
            </w:r>
          </w:p>
        </w:tc>
        <w:tc>
          <w:tcPr>
            <w:tcW w:w="1199" w:type="dxa"/>
          </w:tcPr>
          <w:p w14:paraId="40902EBF" w14:textId="77777777" w:rsidR="00B41CCB" w:rsidRPr="00784633" w:rsidRDefault="00B41CCB" w:rsidP="00D33EA9">
            <w:pPr>
              <w:rPr>
                <w:rFonts w:ascii="Arial" w:hAnsi="Arial" w:cs="Arial"/>
              </w:rPr>
            </w:pPr>
            <w:r w:rsidRPr="00784633">
              <w:rPr>
                <w:rFonts w:ascii="Arial" w:hAnsi="Arial" w:cs="Arial"/>
              </w:rPr>
              <w:t>New Version #</w:t>
            </w:r>
          </w:p>
        </w:tc>
      </w:tr>
      <w:tr w:rsidR="00B41CCB" w:rsidRPr="00784633" w14:paraId="531336EE" w14:textId="77777777" w:rsidTr="00D33EA9">
        <w:trPr>
          <w:trHeight w:val="283"/>
        </w:trPr>
        <w:tc>
          <w:tcPr>
            <w:tcW w:w="1142" w:type="dxa"/>
          </w:tcPr>
          <w:p w14:paraId="169CD1DD" w14:textId="77777777" w:rsidR="00B41CCB" w:rsidRPr="00784633" w:rsidRDefault="00B41CCB" w:rsidP="00D33EA9">
            <w:pPr>
              <w:rPr>
                <w:rFonts w:ascii="Arial" w:hAnsi="Arial" w:cs="Arial"/>
              </w:rPr>
            </w:pPr>
            <w:r w:rsidRPr="00784633">
              <w:rPr>
                <w:rFonts w:ascii="Arial" w:hAnsi="Arial" w:cs="Arial"/>
              </w:rPr>
              <w:t>1.00</w:t>
            </w:r>
          </w:p>
        </w:tc>
        <w:tc>
          <w:tcPr>
            <w:tcW w:w="1224" w:type="dxa"/>
          </w:tcPr>
          <w:p w14:paraId="192BDC23" w14:textId="77777777" w:rsidR="00B41CCB" w:rsidRPr="00784633" w:rsidRDefault="00B41CCB" w:rsidP="00D33EA9">
            <w:pPr>
              <w:rPr>
                <w:rFonts w:ascii="Arial" w:hAnsi="Arial" w:cs="Arial"/>
              </w:rPr>
            </w:pPr>
            <w:r w:rsidRPr="00784633">
              <w:rPr>
                <w:rFonts w:ascii="Arial" w:hAnsi="Arial" w:cs="Arial"/>
              </w:rPr>
              <w:t>Jun. 2004</w:t>
            </w:r>
          </w:p>
        </w:tc>
        <w:tc>
          <w:tcPr>
            <w:tcW w:w="1224" w:type="dxa"/>
          </w:tcPr>
          <w:p w14:paraId="42A8DDD1" w14:textId="77777777" w:rsidR="00B41CCB" w:rsidRPr="00784633" w:rsidRDefault="00B41CCB" w:rsidP="00D33EA9">
            <w:pPr>
              <w:rPr>
                <w:rFonts w:ascii="Arial" w:hAnsi="Arial" w:cs="Arial"/>
              </w:rPr>
            </w:pPr>
            <w:r w:rsidRPr="00784633">
              <w:rPr>
                <w:rFonts w:ascii="Arial" w:hAnsi="Arial" w:cs="Arial"/>
              </w:rPr>
              <w:t>D.G. Peitz</w:t>
            </w:r>
          </w:p>
        </w:tc>
        <w:tc>
          <w:tcPr>
            <w:tcW w:w="2547" w:type="dxa"/>
          </w:tcPr>
          <w:p w14:paraId="6352701E" w14:textId="77777777" w:rsidR="00B41CCB" w:rsidRPr="00784633" w:rsidRDefault="00B41CCB" w:rsidP="00D33EA9">
            <w:pPr>
              <w:rPr>
                <w:rFonts w:ascii="Arial" w:hAnsi="Arial" w:cs="Arial"/>
              </w:rPr>
            </w:pPr>
            <w:r w:rsidRPr="00784633">
              <w:rPr>
                <w:rFonts w:ascii="Arial" w:hAnsi="Arial" w:cs="Arial"/>
              </w:rPr>
              <w:t>Add sample year column to Table 4.01.1</w:t>
            </w:r>
          </w:p>
        </w:tc>
        <w:tc>
          <w:tcPr>
            <w:tcW w:w="2145" w:type="dxa"/>
          </w:tcPr>
          <w:p w14:paraId="6CA41CE4" w14:textId="77777777" w:rsidR="00B41CCB" w:rsidRPr="00784633" w:rsidRDefault="00B41CCB" w:rsidP="00D33EA9">
            <w:pPr>
              <w:rPr>
                <w:rFonts w:ascii="Arial" w:hAnsi="Arial" w:cs="Arial"/>
              </w:rPr>
            </w:pPr>
            <w:r w:rsidRPr="00784633">
              <w:rPr>
                <w:rFonts w:ascii="Arial" w:hAnsi="Arial" w:cs="Arial"/>
              </w:rPr>
              <w:t>Edited to reflect changes in the annual sampling effort at TAPR</w:t>
            </w:r>
          </w:p>
        </w:tc>
        <w:tc>
          <w:tcPr>
            <w:tcW w:w="1199" w:type="dxa"/>
          </w:tcPr>
          <w:p w14:paraId="6EF5498A" w14:textId="77777777" w:rsidR="00B41CCB" w:rsidRPr="00784633" w:rsidRDefault="00B41CCB" w:rsidP="00D33EA9">
            <w:pPr>
              <w:rPr>
                <w:rFonts w:ascii="Arial" w:hAnsi="Arial" w:cs="Arial"/>
              </w:rPr>
            </w:pPr>
            <w:r w:rsidRPr="00784633">
              <w:rPr>
                <w:rFonts w:ascii="Arial" w:hAnsi="Arial" w:cs="Arial"/>
              </w:rPr>
              <w:t>1.01</w:t>
            </w:r>
          </w:p>
        </w:tc>
      </w:tr>
      <w:tr w:rsidR="00B41CCB" w:rsidRPr="00784633" w14:paraId="166019ED" w14:textId="77777777" w:rsidTr="00D33EA9">
        <w:trPr>
          <w:trHeight w:val="283"/>
        </w:trPr>
        <w:tc>
          <w:tcPr>
            <w:tcW w:w="1142" w:type="dxa"/>
          </w:tcPr>
          <w:p w14:paraId="232F35C9" w14:textId="77777777" w:rsidR="00B41CCB" w:rsidRPr="00784633" w:rsidRDefault="00B41CCB" w:rsidP="00D33EA9">
            <w:pPr>
              <w:rPr>
                <w:rFonts w:ascii="Arial" w:hAnsi="Arial" w:cs="Arial"/>
              </w:rPr>
            </w:pPr>
            <w:r w:rsidRPr="00784633">
              <w:rPr>
                <w:rFonts w:ascii="Arial" w:hAnsi="Arial" w:cs="Arial"/>
              </w:rPr>
              <w:t>1.01</w:t>
            </w:r>
          </w:p>
        </w:tc>
        <w:tc>
          <w:tcPr>
            <w:tcW w:w="1224" w:type="dxa"/>
          </w:tcPr>
          <w:p w14:paraId="652F1405" w14:textId="77777777" w:rsidR="00B41CCB" w:rsidRPr="00784633" w:rsidRDefault="00B41CCB" w:rsidP="00D33EA9">
            <w:pPr>
              <w:rPr>
                <w:rFonts w:ascii="Arial" w:hAnsi="Arial" w:cs="Arial"/>
              </w:rPr>
            </w:pPr>
            <w:r w:rsidRPr="00784633">
              <w:rPr>
                <w:rFonts w:ascii="Arial" w:hAnsi="Arial" w:cs="Arial"/>
              </w:rPr>
              <w:t>May 2008</w:t>
            </w:r>
          </w:p>
        </w:tc>
        <w:tc>
          <w:tcPr>
            <w:tcW w:w="1224" w:type="dxa"/>
          </w:tcPr>
          <w:p w14:paraId="5A1FDFE7" w14:textId="77777777" w:rsidR="00B41CCB" w:rsidRPr="00784633" w:rsidRDefault="00B41CCB" w:rsidP="00D33EA9">
            <w:pPr>
              <w:rPr>
                <w:rFonts w:ascii="Arial" w:hAnsi="Arial" w:cs="Arial"/>
              </w:rPr>
            </w:pPr>
            <w:r w:rsidRPr="00784633">
              <w:rPr>
                <w:rFonts w:ascii="Arial" w:hAnsi="Arial" w:cs="Arial"/>
              </w:rPr>
              <w:t>D.G. Peitz</w:t>
            </w:r>
          </w:p>
        </w:tc>
        <w:tc>
          <w:tcPr>
            <w:tcW w:w="2547" w:type="dxa"/>
          </w:tcPr>
          <w:p w14:paraId="13DD83D4" w14:textId="77777777" w:rsidR="00B41CCB" w:rsidRPr="00784633" w:rsidRDefault="00B41CCB" w:rsidP="00D33EA9">
            <w:pPr>
              <w:rPr>
                <w:rFonts w:ascii="Arial" w:hAnsi="Arial" w:cs="Arial"/>
              </w:rPr>
            </w:pPr>
            <w:r w:rsidRPr="00784633">
              <w:rPr>
                <w:rFonts w:ascii="Arial" w:hAnsi="Arial" w:cs="Arial"/>
              </w:rPr>
              <w:t>Entire document</w:t>
            </w:r>
          </w:p>
        </w:tc>
        <w:tc>
          <w:tcPr>
            <w:tcW w:w="2145" w:type="dxa"/>
          </w:tcPr>
          <w:p w14:paraId="34170680" w14:textId="77777777" w:rsidR="00B41CCB" w:rsidRPr="00784633" w:rsidRDefault="00B41CCB" w:rsidP="00D33EA9">
            <w:pPr>
              <w:rPr>
                <w:rFonts w:ascii="Arial" w:hAnsi="Arial" w:cs="Arial"/>
              </w:rPr>
            </w:pPr>
            <w:r w:rsidRPr="00784633">
              <w:rPr>
                <w:rFonts w:ascii="Arial" w:hAnsi="Arial" w:cs="Arial"/>
              </w:rPr>
              <w:t xml:space="preserve">Edited to reflect that bird monitoring has been expanded to ten additional network parks </w:t>
            </w:r>
          </w:p>
        </w:tc>
        <w:tc>
          <w:tcPr>
            <w:tcW w:w="1199" w:type="dxa"/>
          </w:tcPr>
          <w:p w14:paraId="726135F6" w14:textId="77777777" w:rsidR="00B41CCB" w:rsidRPr="00784633" w:rsidRDefault="00B41CCB" w:rsidP="00D33EA9">
            <w:pPr>
              <w:rPr>
                <w:rFonts w:ascii="Arial" w:hAnsi="Arial" w:cs="Arial"/>
              </w:rPr>
            </w:pPr>
            <w:r w:rsidRPr="00784633">
              <w:rPr>
                <w:rFonts w:ascii="Arial" w:hAnsi="Arial" w:cs="Arial"/>
              </w:rPr>
              <w:t>2.00</w:t>
            </w:r>
          </w:p>
        </w:tc>
      </w:tr>
      <w:tr w:rsidR="00460DED" w:rsidRPr="00784633" w14:paraId="518A9C4E" w14:textId="77777777" w:rsidTr="00D33EA9">
        <w:trPr>
          <w:trHeight w:val="283"/>
        </w:trPr>
        <w:tc>
          <w:tcPr>
            <w:tcW w:w="1142" w:type="dxa"/>
          </w:tcPr>
          <w:p w14:paraId="7FCF60CD" w14:textId="77777777" w:rsidR="00460DED" w:rsidRPr="00784633" w:rsidRDefault="00460DED" w:rsidP="00460DED">
            <w:pPr>
              <w:rPr>
                <w:rFonts w:ascii="Arial" w:hAnsi="Arial" w:cs="Arial"/>
              </w:rPr>
            </w:pPr>
            <w:r w:rsidRPr="00784633">
              <w:rPr>
                <w:rFonts w:ascii="Arial" w:hAnsi="Arial" w:cs="Arial"/>
              </w:rPr>
              <w:t>2.00</w:t>
            </w:r>
          </w:p>
        </w:tc>
        <w:tc>
          <w:tcPr>
            <w:tcW w:w="1224" w:type="dxa"/>
          </w:tcPr>
          <w:p w14:paraId="51C19228" w14:textId="77777777" w:rsidR="00460DED" w:rsidRPr="00784633" w:rsidRDefault="00460DED" w:rsidP="00784633">
            <w:pPr>
              <w:rPr>
                <w:rFonts w:ascii="Arial" w:hAnsi="Arial" w:cs="Arial"/>
              </w:rPr>
            </w:pPr>
            <w:r w:rsidRPr="00784633">
              <w:rPr>
                <w:rFonts w:ascii="Arial" w:hAnsi="Arial" w:cs="Arial"/>
              </w:rPr>
              <w:t>May 201</w:t>
            </w:r>
            <w:r w:rsidR="00784633" w:rsidRPr="00784633">
              <w:rPr>
                <w:rFonts w:ascii="Arial" w:hAnsi="Arial" w:cs="Arial"/>
              </w:rPr>
              <w:t>9</w:t>
            </w:r>
          </w:p>
        </w:tc>
        <w:tc>
          <w:tcPr>
            <w:tcW w:w="1224" w:type="dxa"/>
          </w:tcPr>
          <w:p w14:paraId="0A10E1C6" w14:textId="77777777" w:rsidR="00460DED" w:rsidRPr="00784633" w:rsidRDefault="00460DED" w:rsidP="00460DED">
            <w:pPr>
              <w:rPr>
                <w:rFonts w:ascii="Arial" w:hAnsi="Arial" w:cs="Arial"/>
              </w:rPr>
            </w:pPr>
            <w:r w:rsidRPr="00784633">
              <w:rPr>
                <w:rFonts w:ascii="Arial" w:hAnsi="Arial" w:cs="Arial"/>
              </w:rPr>
              <w:t>D.G. Peitz</w:t>
            </w:r>
          </w:p>
        </w:tc>
        <w:tc>
          <w:tcPr>
            <w:tcW w:w="2547" w:type="dxa"/>
          </w:tcPr>
          <w:p w14:paraId="44B22938" w14:textId="77777777" w:rsidR="00460DED" w:rsidRPr="00784633" w:rsidRDefault="00460DED" w:rsidP="00460DED">
            <w:pPr>
              <w:rPr>
                <w:rFonts w:ascii="Arial" w:hAnsi="Arial" w:cs="Arial"/>
              </w:rPr>
            </w:pPr>
            <w:r w:rsidRPr="00784633">
              <w:rPr>
                <w:rFonts w:ascii="Arial" w:hAnsi="Arial" w:cs="Arial"/>
              </w:rPr>
              <w:t xml:space="preserve">Updated throughout to NRR format. </w:t>
            </w:r>
          </w:p>
        </w:tc>
        <w:tc>
          <w:tcPr>
            <w:tcW w:w="2145" w:type="dxa"/>
          </w:tcPr>
          <w:p w14:paraId="01E41D58" w14:textId="77777777" w:rsidR="00460DED" w:rsidRPr="00784633" w:rsidRDefault="00460DED" w:rsidP="00460DED">
            <w:pPr>
              <w:rPr>
                <w:rFonts w:ascii="Arial" w:hAnsi="Arial" w:cs="Arial"/>
              </w:rPr>
            </w:pPr>
            <w:r w:rsidRPr="00784633">
              <w:rPr>
                <w:rFonts w:ascii="Arial" w:hAnsi="Arial" w:cs="Arial"/>
              </w:rPr>
              <w:t xml:space="preserve">Made SOP NRSS compliant. </w:t>
            </w:r>
          </w:p>
        </w:tc>
        <w:tc>
          <w:tcPr>
            <w:tcW w:w="1199" w:type="dxa"/>
          </w:tcPr>
          <w:p w14:paraId="27465DD6" w14:textId="77777777" w:rsidR="00460DED" w:rsidRPr="00784633" w:rsidRDefault="00460DED" w:rsidP="00460DED">
            <w:pPr>
              <w:rPr>
                <w:rFonts w:ascii="Arial" w:hAnsi="Arial" w:cs="Arial"/>
              </w:rPr>
            </w:pPr>
            <w:r w:rsidRPr="00784633">
              <w:rPr>
                <w:rFonts w:ascii="Arial" w:hAnsi="Arial" w:cs="Arial"/>
              </w:rPr>
              <w:t>3.00</w:t>
            </w:r>
          </w:p>
        </w:tc>
      </w:tr>
      <w:tr w:rsidR="00460DED" w:rsidRPr="00784633" w14:paraId="19968CF7" w14:textId="77777777" w:rsidTr="00D33EA9">
        <w:trPr>
          <w:trHeight w:val="283"/>
        </w:trPr>
        <w:tc>
          <w:tcPr>
            <w:tcW w:w="1142" w:type="dxa"/>
          </w:tcPr>
          <w:p w14:paraId="4D9B4AB4" w14:textId="77777777" w:rsidR="00460DED" w:rsidRPr="00784633" w:rsidRDefault="00460DED" w:rsidP="00460DED">
            <w:pPr>
              <w:rPr>
                <w:rFonts w:ascii="Arial" w:hAnsi="Arial" w:cs="Arial"/>
              </w:rPr>
            </w:pPr>
          </w:p>
        </w:tc>
        <w:tc>
          <w:tcPr>
            <w:tcW w:w="1224" w:type="dxa"/>
          </w:tcPr>
          <w:p w14:paraId="598DCA95" w14:textId="77777777" w:rsidR="00460DED" w:rsidRPr="00784633" w:rsidRDefault="00460DED" w:rsidP="00460DED">
            <w:pPr>
              <w:rPr>
                <w:rFonts w:ascii="Arial" w:hAnsi="Arial" w:cs="Arial"/>
              </w:rPr>
            </w:pPr>
          </w:p>
        </w:tc>
        <w:tc>
          <w:tcPr>
            <w:tcW w:w="1224" w:type="dxa"/>
          </w:tcPr>
          <w:p w14:paraId="2FA1A540" w14:textId="77777777" w:rsidR="00460DED" w:rsidRPr="00784633" w:rsidRDefault="00460DED" w:rsidP="00460DED">
            <w:pPr>
              <w:rPr>
                <w:rFonts w:ascii="Arial" w:hAnsi="Arial" w:cs="Arial"/>
              </w:rPr>
            </w:pPr>
          </w:p>
        </w:tc>
        <w:tc>
          <w:tcPr>
            <w:tcW w:w="2547" w:type="dxa"/>
          </w:tcPr>
          <w:p w14:paraId="674D4A09" w14:textId="77777777" w:rsidR="00460DED" w:rsidRPr="00784633" w:rsidRDefault="00460DED" w:rsidP="00460DED">
            <w:pPr>
              <w:rPr>
                <w:rFonts w:ascii="Arial" w:hAnsi="Arial" w:cs="Arial"/>
              </w:rPr>
            </w:pPr>
          </w:p>
        </w:tc>
        <w:tc>
          <w:tcPr>
            <w:tcW w:w="2145" w:type="dxa"/>
          </w:tcPr>
          <w:p w14:paraId="1B1E278B" w14:textId="77777777" w:rsidR="00460DED" w:rsidRPr="00784633" w:rsidRDefault="00460DED" w:rsidP="00460DED">
            <w:pPr>
              <w:rPr>
                <w:rFonts w:ascii="Arial" w:hAnsi="Arial" w:cs="Arial"/>
              </w:rPr>
            </w:pPr>
          </w:p>
        </w:tc>
        <w:tc>
          <w:tcPr>
            <w:tcW w:w="1199" w:type="dxa"/>
          </w:tcPr>
          <w:p w14:paraId="6EDFC507" w14:textId="77777777" w:rsidR="00460DED" w:rsidRPr="00784633" w:rsidRDefault="00460DED" w:rsidP="00460DED">
            <w:pPr>
              <w:rPr>
                <w:rFonts w:ascii="Arial" w:hAnsi="Arial" w:cs="Arial"/>
              </w:rPr>
            </w:pPr>
          </w:p>
        </w:tc>
      </w:tr>
      <w:tr w:rsidR="00460DED" w:rsidRPr="00784633" w14:paraId="31D68074" w14:textId="77777777" w:rsidTr="00D33EA9">
        <w:trPr>
          <w:trHeight w:val="303"/>
        </w:trPr>
        <w:tc>
          <w:tcPr>
            <w:tcW w:w="1142" w:type="dxa"/>
          </w:tcPr>
          <w:p w14:paraId="3FAA971A" w14:textId="77777777" w:rsidR="00460DED" w:rsidRPr="00784633" w:rsidRDefault="00460DED" w:rsidP="00460DED">
            <w:pPr>
              <w:rPr>
                <w:rFonts w:ascii="Arial" w:hAnsi="Arial" w:cs="Arial"/>
              </w:rPr>
            </w:pPr>
          </w:p>
        </w:tc>
        <w:tc>
          <w:tcPr>
            <w:tcW w:w="1224" w:type="dxa"/>
          </w:tcPr>
          <w:p w14:paraId="0E73A334" w14:textId="77777777" w:rsidR="00460DED" w:rsidRPr="00784633" w:rsidRDefault="00460DED" w:rsidP="00460DED">
            <w:pPr>
              <w:rPr>
                <w:rFonts w:ascii="Arial" w:hAnsi="Arial" w:cs="Arial"/>
              </w:rPr>
            </w:pPr>
          </w:p>
        </w:tc>
        <w:tc>
          <w:tcPr>
            <w:tcW w:w="1224" w:type="dxa"/>
          </w:tcPr>
          <w:p w14:paraId="0548C4CE" w14:textId="77777777" w:rsidR="00460DED" w:rsidRPr="00784633" w:rsidRDefault="00460DED" w:rsidP="00460DED">
            <w:pPr>
              <w:rPr>
                <w:rFonts w:ascii="Arial" w:hAnsi="Arial" w:cs="Arial"/>
              </w:rPr>
            </w:pPr>
          </w:p>
        </w:tc>
        <w:tc>
          <w:tcPr>
            <w:tcW w:w="2547" w:type="dxa"/>
          </w:tcPr>
          <w:p w14:paraId="53B2CE2E" w14:textId="77777777" w:rsidR="00460DED" w:rsidRPr="00784633" w:rsidRDefault="00460DED" w:rsidP="00460DED">
            <w:pPr>
              <w:rPr>
                <w:rFonts w:ascii="Arial" w:hAnsi="Arial" w:cs="Arial"/>
              </w:rPr>
            </w:pPr>
          </w:p>
        </w:tc>
        <w:tc>
          <w:tcPr>
            <w:tcW w:w="2145" w:type="dxa"/>
          </w:tcPr>
          <w:p w14:paraId="0D9C8F29" w14:textId="77777777" w:rsidR="00460DED" w:rsidRPr="00784633" w:rsidRDefault="00460DED" w:rsidP="00460DED">
            <w:pPr>
              <w:rPr>
                <w:rFonts w:ascii="Arial" w:hAnsi="Arial" w:cs="Arial"/>
              </w:rPr>
            </w:pPr>
          </w:p>
        </w:tc>
        <w:tc>
          <w:tcPr>
            <w:tcW w:w="1199" w:type="dxa"/>
          </w:tcPr>
          <w:p w14:paraId="4A2CC035" w14:textId="77777777" w:rsidR="00460DED" w:rsidRPr="00784633" w:rsidRDefault="00460DED" w:rsidP="00460DED">
            <w:pPr>
              <w:rPr>
                <w:rFonts w:ascii="Arial" w:hAnsi="Arial" w:cs="Arial"/>
              </w:rPr>
            </w:pPr>
          </w:p>
        </w:tc>
      </w:tr>
    </w:tbl>
    <w:p w14:paraId="0D0ABBC2" w14:textId="77777777" w:rsidR="00B41CCB" w:rsidRDefault="00B41CCB" w:rsidP="00B41CCB">
      <w:pPr>
        <w:rPr>
          <w:sz w:val="24"/>
        </w:rPr>
      </w:pPr>
    </w:p>
    <w:p w14:paraId="6FD1BE3E" w14:textId="77777777" w:rsidR="00B41CCB" w:rsidRPr="006F3DFD" w:rsidRDefault="00B41CCB" w:rsidP="006F3DFD">
      <w:pPr>
        <w:spacing w:after="200" w:line="276" w:lineRule="auto"/>
        <w:rPr>
          <w:sz w:val="23"/>
          <w:szCs w:val="23"/>
        </w:rPr>
      </w:pPr>
      <w:r w:rsidRPr="006F3DFD">
        <w:rPr>
          <w:sz w:val="23"/>
          <w:szCs w:val="23"/>
        </w:rPr>
        <w:t>This Standard Operating Procedure explains the procedure for establishing and marking sampling plots that all observers should follow when locating survey p</w:t>
      </w:r>
      <w:r w:rsidR="00635E12">
        <w:rPr>
          <w:sz w:val="23"/>
          <w:szCs w:val="23"/>
        </w:rPr>
        <w:t>lots or adding new plot</w:t>
      </w:r>
      <w:r w:rsidRPr="006F3DFD">
        <w:rPr>
          <w:sz w:val="23"/>
          <w:szCs w:val="23"/>
        </w:rPr>
        <w:t xml:space="preserve">s in network parks.  </w:t>
      </w:r>
    </w:p>
    <w:p w14:paraId="5C7C3646" w14:textId="77777777" w:rsidR="00B41CCB" w:rsidRPr="006F3DFD" w:rsidRDefault="00B41CCB" w:rsidP="006F3DFD">
      <w:pPr>
        <w:spacing w:after="200"/>
        <w:rPr>
          <w:rFonts w:ascii="Arial" w:hAnsi="Arial" w:cs="Arial"/>
          <w:b/>
          <w:sz w:val="24"/>
        </w:rPr>
      </w:pPr>
      <w:r w:rsidRPr="006F3DFD">
        <w:rPr>
          <w:rFonts w:ascii="Arial" w:hAnsi="Arial" w:cs="Arial"/>
          <w:b/>
          <w:sz w:val="24"/>
        </w:rPr>
        <w:t>I. Procedures:</w:t>
      </w:r>
    </w:p>
    <w:p w14:paraId="243B0F0C" w14:textId="634F9C88" w:rsidR="001D231A" w:rsidRDefault="00B41CCB" w:rsidP="001D231A">
      <w:pPr>
        <w:numPr>
          <w:ilvl w:val="0"/>
          <w:numId w:val="1"/>
        </w:numPr>
        <w:tabs>
          <w:tab w:val="num" w:pos="720"/>
        </w:tabs>
        <w:spacing w:after="200" w:line="276" w:lineRule="auto"/>
        <w:rPr>
          <w:sz w:val="23"/>
          <w:szCs w:val="23"/>
        </w:rPr>
      </w:pPr>
      <w:r w:rsidRPr="006F3DFD">
        <w:rPr>
          <w:sz w:val="23"/>
          <w:szCs w:val="23"/>
        </w:rPr>
        <w:t>Permanent sampling locations</w:t>
      </w:r>
      <w:r w:rsidR="001D231A">
        <w:rPr>
          <w:sz w:val="23"/>
          <w:szCs w:val="23"/>
        </w:rPr>
        <w:t>,</w:t>
      </w:r>
      <w:r w:rsidRPr="006F3DFD">
        <w:rPr>
          <w:sz w:val="23"/>
          <w:szCs w:val="23"/>
        </w:rPr>
        <w:t xml:space="preserve"> or 'plots'</w:t>
      </w:r>
      <w:r w:rsidR="001D231A">
        <w:rPr>
          <w:sz w:val="23"/>
          <w:szCs w:val="23"/>
        </w:rPr>
        <w:t>,</w:t>
      </w:r>
      <w:r w:rsidRPr="006F3DFD">
        <w:rPr>
          <w:sz w:val="23"/>
          <w:szCs w:val="23"/>
        </w:rPr>
        <w:t xml:space="preserve"> were selected by overlaying a systematic</w:t>
      </w:r>
      <w:r w:rsidR="0053795A">
        <w:rPr>
          <w:sz w:val="23"/>
          <w:szCs w:val="23"/>
        </w:rPr>
        <w:t xml:space="preserve"> </w:t>
      </w:r>
      <w:r w:rsidR="00647513">
        <w:rPr>
          <w:sz w:val="23"/>
          <w:szCs w:val="23"/>
        </w:rPr>
        <w:t xml:space="preserve">virtual </w:t>
      </w:r>
      <w:r w:rsidRPr="006F3DFD">
        <w:rPr>
          <w:sz w:val="23"/>
          <w:szCs w:val="23"/>
        </w:rPr>
        <w:t>grid (originating from a random start point) on a park map (Appendix A</w:t>
      </w:r>
      <w:r w:rsidR="00F760E9" w:rsidRPr="006F3DFD">
        <w:rPr>
          <w:sz w:val="23"/>
          <w:szCs w:val="23"/>
        </w:rPr>
        <w:t xml:space="preserve"> of Narrative</w:t>
      </w:r>
      <w:r w:rsidRPr="006F3DFD">
        <w:rPr>
          <w:sz w:val="23"/>
          <w:szCs w:val="23"/>
        </w:rPr>
        <w:t xml:space="preserve">). Systematic sampling across a park allows us to make park-wide inferences concerning the avian community. Grid size varied by park based on the size of the unit (Table </w:t>
      </w:r>
      <w:r w:rsidR="005D66B5" w:rsidRPr="006F3DFD">
        <w:rPr>
          <w:sz w:val="23"/>
          <w:szCs w:val="23"/>
        </w:rPr>
        <w:t>3</w:t>
      </w:r>
      <w:r w:rsidRPr="006F3DFD">
        <w:rPr>
          <w:sz w:val="23"/>
          <w:szCs w:val="23"/>
        </w:rPr>
        <w:t>.</w:t>
      </w:r>
      <w:r w:rsidR="005D66B5" w:rsidRPr="006F3DFD">
        <w:rPr>
          <w:sz w:val="23"/>
          <w:szCs w:val="23"/>
        </w:rPr>
        <w:t>0</w:t>
      </w:r>
      <w:r w:rsidRPr="006F3DFD">
        <w:rPr>
          <w:sz w:val="23"/>
          <w:szCs w:val="23"/>
        </w:rPr>
        <w:t>1). By increasing the number of sites at which bird observations are made on small parks, we increase the likelihood that rare birds present at the park will be observed. Using smaller grids in smaller park units also increases the overall number of bird observations,</w:t>
      </w:r>
      <w:r w:rsidR="001D231A">
        <w:rPr>
          <w:sz w:val="23"/>
          <w:szCs w:val="23"/>
        </w:rPr>
        <w:t xml:space="preserve"> and</w:t>
      </w:r>
      <w:r w:rsidRPr="006F3DFD">
        <w:rPr>
          <w:sz w:val="23"/>
          <w:szCs w:val="23"/>
        </w:rPr>
        <w:t xml:space="preserve"> thus more accurate estimates of abundance for all species can be made. This is advantageous, as many birds are uncommon or cryptic and may be represented by only one or few sightings (or not seen at all in some years), making it difficult to interpret situations where one individual was present in year one, but none in year two. </w:t>
      </w:r>
      <w:r w:rsidR="00F61DD1">
        <w:rPr>
          <w:sz w:val="23"/>
          <w:szCs w:val="23"/>
        </w:rPr>
        <w:t>Also, at some park</w:t>
      </w:r>
      <w:r w:rsidR="001D231A">
        <w:rPr>
          <w:sz w:val="23"/>
          <w:szCs w:val="23"/>
        </w:rPr>
        <w:t>s</w:t>
      </w:r>
      <w:r w:rsidR="00F61DD1">
        <w:rPr>
          <w:sz w:val="23"/>
          <w:szCs w:val="23"/>
        </w:rPr>
        <w:t xml:space="preserve"> not all </w:t>
      </w:r>
      <w:r w:rsidR="001D231A">
        <w:rPr>
          <w:sz w:val="23"/>
          <w:szCs w:val="23"/>
        </w:rPr>
        <w:t xml:space="preserve">systematically chosen plots can be sampled, </w:t>
      </w:r>
      <w:r w:rsidR="00F41429">
        <w:rPr>
          <w:sz w:val="23"/>
          <w:szCs w:val="23"/>
        </w:rPr>
        <w:t xml:space="preserve">as some </w:t>
      </w:r>
      <w:r w:rsidR="00F61DD1">
        <w:rPr>
          <w:sz w:val="23"/>
          <w:szCs w:val="23"/>
        </w:rPr>
        <w:t>fall in culturally sensitive areas o</w:t>
      </w:r>
      <w:r w:rsidR="00F41429">
        <w:rPr>
          <w:sz w:val="23"/>
          <w:szCs w:val="23"/>
        </w:rPr>
        <w:t>r</w:t>
      </w:r>
      <w:r w:rsidR="00F61DD1">
        <w:rPr>
          <w:sz w:val="23"/>
          <w:szCs w:val="23"/>
        </w:rPr>
        <w:t xml:space="preserve"> </w:t>
      </w:r>
      <w:r w:rsidR="001D231A">
        <w:rPr>
          <w:sz w:val="23"/>
          <w:szCs w:val="23"/>
        </w:rPr>
        <w:t xml:space="preserve">in </w:t>
      </w:r>
      <w:r w:rsidR="00F61DD1">
        <w:rPr>
          <w:sz w:val="23"/>
          <w:szCs w:val="23"/>
        </w:rPr>
        <w:t>areas to</w:t>
      </w:r>
      <w:r w:rsidR="001D231A">
        <w:rPr>
          <w:sz w:val="23"/>
          <w:szCs w:val="23"/>
        </w:rPr>
        <w:t>o</w:t>
      </w:r>
      <w:r w:rsidR="00F61DD1">
        <w:rPr>
          <w:sz w:val="23"/>
          <w:szCs w:val="23"/>
        </w:rPr>
        <w:t xml:space="preserve"> dangerous or </w:t>
      </w:r>
      <w:r w:rsidR="001D231A">
        <w:rPr>
          <w:sz w:val="23"/>
          <w:szCs w:val="23"/>
        </w:rPr>
        <w:t>im</w:t>
      </w:r>
      <w:r w:rsidR="00F61DD1">
        <w:rPr>
          <w:sz w:val="23"/>
          <w:szCs w:val="23"/>
        </w:rPr>
        <w:t xml:space="preserve">practical to sample. </w:t>
      </w:r>
      <w:r w:rsidR="00D13DF7">
        <w:rPr>
          <w:sz w:val="23"/>
          <w:szCs w:val="23"/>
        </w:rPr>
        <w:t xml:space="preserve">Therefore, these plots have been removed from the suite of points to sample. </w:t>
      </w:r>
      <w:r w:rsidRPr="006F3DFD">
        <w:rPr>
          <w:sz w:val="23"/>
          <w:szCs w:val="23"/>
        </w:rPr>
        <w:t>At large parks, the number of sampling locations is not an issue, and sampling the number of plots generated by smaller g</w:t>
      </w:r>
      <w:r w:rsidR="001D231A">
        <w:rPr>
          <w:sz w:val="23"/>
          <w:szCs w:val="23"/>
        </w:rPr>
        <w:t>rids would be cost prohibitive.</w:t>
      </w:r>
    </w:p>
    <w:p w14:paraId="08BCFD41" w14:textId="562CE5D6" w:rsidR="00B41CCB" w:rsidRPr="001D231A" w:rsidRDefault="00B41CCB" w:rsidP="001D231A">
      <w:pPr>
        <w:spacing w:after="200" w:line="276" w:lineRule="auto"/>
        <w:ind w:left="360"/>
        <w:rPr>
          <w:sz w:val="23"/>
          <w:szCs w:val="23"/>
        </w:rPr>
      </w:pPr>
      <w:r w:rsidRPr="001D231A">
        <w:rPr>
          <w:sz w:val="23"/>
          <w:szCs w:val="23"/>
        </w:rPr>
        <w:lastRenderedPageBreak/>
        <w:t xml:space="preserve">The orientation of the systematic grid was rotated from north 45 degrees at: Arkansas Post National Memorial, Arkansas (ARPO); George Washington Carver National Monument, Missouri (GWCA); Homestead National Monument of America, Nebraska (HOME); Lincoln Boyhood National Memorial, Indiana (LIBO); Pea Ridge National Military Park, Arkansas (PERI); Pipestone National Monument, Minnesota (PIPE); and Wilson’s Creek National Battlefield, Missouri (WICR) to prevent sampling sites from being influenced by man-made features (roads, fences, etc.) oriented along cardinal directions. The systematic grid at Effigy Mounds National Monument (EFMO) and Herbert Hoover National Historic Site (HEHO), Iowa were rotated from north 8 and 52 degrees, respectively, to match existing vegetation grids. The angle of the sampling grid at </w:t>
      </w:r>
      <w:r w:rsidRPr="001D231A">
        <w:rPr>
          <w:color w:val="000000"/>
          <w:sz w:val="23"/>
          <w:szCs w:val="23"/>
        </w:rPr>
        <w:t>Tallgrass Prairie National Preserve (TAPR), Kansas</w:t>
      </w:r>
      <w:r w:rsidRPr="001D231A">
        <w:rPr>
          <w:sz w:val="23"/>
          <w:szCs w:val="23"/>
        </w:rPr>
        <w:t xml:space="preserve"> was selected randomly </w:t>
      </w:r>
      <w:r w:rsidR="0053795A">
        <w:rPr>
          <w:sz w:val="23"/>
          <w:szCs w:val="23"/>
        </w:rPr>
        <w:t>(</w:t>
      </w:r>
      <w:r w:rsidRPr="001D231A">
        <w:rPr>
          <w:sz w:val="23"/>
          <w:szCs w:val="23"/>
        </w:rPr>
        <w:t>34 degrees from north</w:t>
      </w:r>
      <w:r w:rsidR="0053795A">
        <w:rPr>
          <w:sz w:val="23"/>
          <w:szCs w:val="23"/>
        </w:rPr>
        <w:t>)</w:t>
      </w:r>
      <w:r w:rsidRPr="001D231A">
        <w:rPr>
          <w:sz w:val="23"/>
          <w:szCs w:val="23"/>
        </w:rPr>
        <w:t xml:space="preserve">. The unique shapes of the different units at Hopewell Culture National Historical Site (HOCU), Ohio dictated that the systematic grid be oriented </w:t>
      </w:r>
      <w:r w:rsidR="0053795A">
        <w:rPr>
          <w:sz w:val="23"/>
          <w:szCs w:val="23"/>
        </w:rPr>
        <w:t>using</w:t>
      </w:r>
      <w:r w:rsidR="0053795A" w:rsidRPr="001D231A">
        <w:rPr>
          <w:sz w:val="23"/>
          <w:szCs w:val="23"/>
        </w:rPr>
        <w:t xml:space="preserve"> </w:t>
      </w:r>
      <w:r w:rsidRPr="001D231A">
        <w:rPr>
          <w:sz w:val="23"/>
          <w:szCs w:val="23"/>
        </w:rPr>
        <w:t xml:space="preserve">cardinal directions. </w:t>
      </w:r>
    </w:p>
    <w:tbl>
      <w:tblPr>
        <w:tblW w:w="0" w:type="auto"/>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0"/>
        <w:gridCol w:w="1710"/>
      </w:tblGrid>
      <w:tr w:rsidR="00F41429" w:rsidRPr="006F3DFD" w14:paraId="6D5CB3B2" w14:textId="77777777" w:rsidTr="00F41429">
        <w:tc>
          <w:tcPr>
            <w:tcW w:w="7560" w:type="dxa"/>
            <w:gridSpan w:val="2"/>
            <w:tcBorders>
              <w:top w:val="nil"/>
              <w:left w:val="nil"/>
              <w:bottom w:val="single" w:sz="4" w:space="0" w:color="auto"/>
              <w:right w:val="nil"/>
            </w:tcBorders>
            <w:shd w:val="clear" w:color="auto" w:fill="auto"/>
          </w:tcPr>
          <w:p w14:paraId="554C5B70" w14:textId="77777777" w:rsidR="00F41429" w:rsidRPr="006F3DFD" w:rsidRDefault="00F41429" w:rsidP="00F41429">
            <w:pPr>
              <w:pStyle w:val="BodyText"/>
              <w:rPr>
                <w:rFonts w:ascii="Arial" w:hAnsi="Arial" w:cs="Arial"/>
                <w:color w:val="000000"/>
                <w:sz w:val="20"/>
              </w:rPr>
            </w:pPr>
            <w:r w:rsidRPr="006F3DFD">
              <w:rPr>
                <w:rFonts w:ascii="Arial" w:hAnsi="Arial" w:cs="Arial"/>
                <w:sz w:val="20"/>
              </w:rPr>
              <w:t xml:space="preserve">Table 3.01.  Sample grid sizes for parks in the Heartland </w:t>
            </w:r>
            <w:r>
              <w:rPr>
                <w:rFonts w:ascii="Arial" w:hAnsi="Arial" w:cs="Arial"/>
                <w:sz w:val="20"/>
              </w:rPr>
              <w:t>I</w:t>
            </w:r>
            <w:r w:rsidRPr="006F3DFD">
              <w:rPr>
                <w:rFonts w:ascii="Arial" w:hAnsi="Arial" w:cs="Arial"/>
                <w:sz w:val="20"/>
              </w:rPr>
              <w:t>nventory and Monitoring Network.</w:t>
            </w:r>
          </w:p>
        </w:tc>
      </w:tr>
      <w:tr w:rsidR="00B41CCB" w:rsidRPr="006F3DFD" w14:paraId="699B20FC" w14:textId="77777777" w:rsidTr="00F41429">
        <w:tc>
          <w:tcPr>
            <w:tcW w:w="5850" w:type="dxa"/>
            <w:tcBorders>
              <w:left w:val="nil"/>
              <w:bottom w:val="single" w:sz="4" w:space="0" w:color="auto"/>
              <w:right w:val="nil"/>
            </w:tcBorders>
            <w:shd w:val="clear" w:color="auto" w:fill="BFBFBF" w:themeFill="background1" w:themeFillShade="BF"/>
          </w:tcPr>
          <w:p w14:paraId="1866B5F8" w14:textId="77777777" w:rsidR="00B41CCB" w:rsidRPr="006F3DFD" w:rsidRDefault="00B41CCB" w:rsidP="00D33EA9">
            <w:pPr>
              <w:pStyle w:val="BodyText"/>
              <w:jc w:val="center"/>
              <w:rPr>
                <w:rFonts w:ascii="Arial" w:hAnsi="Arial" w:cs="Arial"/>
                <w:sz w:val="20"/>
              </w:rPr>
            </w:pPr>
            <w:r w:rsidRPr="006F3DFD">
              <w:rPr>
                <w:rFonts w:ascii="Arial" w:hAnsi="Arial" w:cs="Arial"/>
                <w:sz w:val="20"/>
              </w:rPr>
              <w:t>Park</w:t>
            </w:r>
          </w:p>
        </w:tc>
        <w:tc>
          <w:tcPr>
            <w:tcW w:w="1710" w:type="dxa"/>
            <w:tcBorders>
              <w:left w:val="nil"/>
              <w:bottom w:val="single" w:sz="4" w:space="0" w:color="auto"/>
              <w:right w:val="nil"/>
            </w:tcBorders>
            <w:shd w:val="clear" w:color="auto" w:fill="BFBFBF" w:themeFill="background1" w:themeFillShade="BF"/>
          </w:tcPr>
          <w:p w14:paraId="375F99C6" w14:textId="77777777" w:rsidR="00B41CCB" w:rsidRPr="006F3DFD" w:rsidRDefault="00B41CCB" w:rsidP="00D33EA9">
            <w:pPr>
              <w:pStyle w:val="BodyText"/>
              <w:jc w:val="center"/>
              <w:rPr>
                <w:rFonts w:ascii="Arial" w:hAnsi="Arial" w:cs="Arial"/>
                <w:color w:val="000000"/>
                <w:sz w:val="20"/>
              </w:rPr>
            </w:pPr>
            <w:r w:rsidRPr="006F3DFD">
              <w:rPr>
                <w:rFonts w:ascii="Arial" w:hAnsi="Arial" w:cs="Arial"/>
                <w:color w:val="000000"/>
                <w:sz w:val="20"/>
              </w:rPr>
              <w:t>Grid size</w:t>
            </w:r>
          </w:p>
        </w:tc>
      </w:tr>
      <w:tr w:rsidR="00B41CCB" w:rsidRPr="006F3DFD" w14:paraId="713BAA46" w14:textId="77777777" w:rsidTr="00F41429">
        <w:tc>
          <w:tcPr>
            <w:tcW w:w="5850" w:type="dxa"/>
            <w:tcBorders>
              <w:left w:val="nil"/>
              <w:bottom w:val="nil"/>
              <w:right w:val="nil"/>
            </w:tcBorders>
            <w:shd w:val="clear" w:color="auto" w:fill="auto"/>
          </w:tcPr>
          <w:p w14:paraId="7F4D5E80" w14:textId="77777777" w:rsidR="00B41CCB" w:rsidRPr="006F3DFD" w:rsidRDefault="00B41CCB" w:rsidP="00D33EA9">
            <w:pPr>
              <w:pStyle w:val="BodyText"/>
              <w:rPr>
                <w:rFonts w:ascii="Arial" w:hAnsi="Arial" w:cs="Arial"/>
                <w:sz w:val="20"/>
              </w:rPr>
            </w:pPr>
            <w:r w:rsidRPr="006F3DFD">
              <w:rPr>
                <w:rFonts w:ascii="Arial" w:hAnsi="Arial" w:cs="Arial"/>
                <w:sz w:val="20"/>
              </w:rPr>
              <w:t>Arkansas Post National Memorial, Arkansas</w:t>
            </w:r>
          </w:p>
        </w:tc>
        <w:tc>
          <w:tcPr>
            <w:tcW w:w="1710" w:type="dxa"/>
            <w:tcBorders>
              <w:left w:val="nil"/>
              <w:bottom w:val="nil"/>
              <w:right w:val="nil"/>
            </w:tcBorders>
            <w:shd w:val="clear" w:color="auto" w:fill="auto"/>
          </w:tcPr>
          <w:p w14:paraId="562F5779"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200 m x 200 m</w:t>
            </w:r>
          </w:p>
        </w:tc>
      </w:tr>
      <w:tr w:rsidR="00B41CCB" w:rsidRPr="006F3DFD" w14:paraId="4DD1C20B" w14:textId="77777777" w:rsidTr="00F41429">
        <w:tc>
          <w:tcPr>
            <w:tcW w:w="5850" w:type="dxa"/>
            <w:tcBorders>
              <w:top w:val="nil"/>
              <w:left w:val="nil"/>
              <w:bottom w:val="nil"/>
              <w:right w:val="nil"/>
            </w:tcBorders>
            <w:shd w:val="clear" w:color="auto" w:fill="auto"/>
          </w:tcPr>
          <w:p w14:paraId="19004029" w14:textId="77777777" w:rsidR="00B41CCB" w:rsidRPr="006F3DFD" w:rsidRDefault="00B41CCB" w:rsidP="00D33EA9">
            <w:pPr>
              <w:pStyle w:val="BodyText"/>
              <w:rPr>
                <w:rFonts w:ascii="Arial" w:hAnsi="Arial" w:cs="Arial"/>
                <w:sz w:val="20"/>
              </w:rPr>
            </w:pPr>
            <w:r w:rsidRPr="006F3DFD">
              <w:rPr>
                <w:rFonts w:ascii="Arial" w:hAnsi="Arial" w:cs="Arial"/>
                <w:sz w:val="20"/>
              </w:rPr>
              <w:t>Effigy Mounds National Monument, Iowa</w:t>
            </w:r>
          </w:p>
        </w:tc>
        <w:tc>
          <w:tcPr>
            <w:tcW w:w="1710" w:type="dxa"/>
            <w:tcBorders>
              <w:top w:val="nil"/>
              <w:left w:val="nil"/>
              <w:bottom w:val="nil"/>
              <w:right w:val="nil"/>
            </w:tcBorders>
            <w:shd w:val="clear" w:color="auto" w:fill="auto"/>
          </w:tcPr>
          <w:p w14:paraId="39AA1AC5"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400 m x 400 m</w:t>
            </w:r>
          </w:p>
        </w:tc>
      </w:tr>
      <w:tr w:rsidR="00B41CCB" w:rsidRPr="006F3DFD" w14:paraId="1B7B5912" w14:textId="77777777" w:rsidTr="00F41429">
        <w:tc>
          <w:tcPr>
            <w:tcW w:w="5850" w:type="dxa"/>
            <w:tcBorders>
              <w:top w:val="nil"/>
              <w:left w:val="nil"/>
              <w:bottom w:val="nil"/>
              <w:right w:val="nil"/>
            </w:tcBorders>
            <w:shd w:val="clear" w:color="auto" w:fill="auto"/>
          </w:tcPr>
          <w:p w14:paraId="030E0EF8" w14:textId="77777777" w:rsidR="00B41CCB" w:rsidRPr="006F3DFD" w:rsidRDefault="00B41CCB" w:rsidP="00D33EA9">
            <w:pPr>
              <w:pStyle w:val="BodyText"/>
              <w:rPr>
                <w:rFonts w:ascii="Arial" w:hAnsi="Arial" w:cs="Arial"/>
                <w:sz w:val="20"/>
              </w:rPr>
            </w:pPr>
            <w:r w:rsidRPr="006F3DFD">
              <w:rPr>
                <w:rFonts w:ascii="Arial" w:hAnsi="Arial" w:cs="Arial"/>
                <w:sz w:val="20"/>
              </w:rPr>
              <w:t>George Washington Carver National Monument, Missouri</w:t>
            </w:r>
          </w:p>
        </w:tc>
        <w:tc>
          <w:tcPr>
            <w:tcW w:w="1710" w:type="dxa"/>
            <w:tcBorders>
              <w:top w:val="nil"/>
              <w:left w:val="nil"/>
              <w:bottom w:val="nil"/>
              <w:right w:val="nil"/>
            </w:tcBorders>
            <w:shd w:val="clear" w:color="auto" w:fill="auto"/>
          </w:tcPr>
          <w:p w14:paraId="4D60F3F2"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100 m x 100 m</w:t>
            </w:r>
          </w:p>
        </w:tc>
      </w:tr>
      <w:tr w:rsidR="00B41CCB" w:rsidRPr="006F3DFD" w14:paraId="1950182D" w14:textId="77777777" w:rsidTr="00F41429">
        <w:tc>
          <w:tcPr>
            <w:tcW w:w="5850" w:type="dxa"/>
            <w:tcBorders>
              <w:top w:val="nil"/>
              <w:left w:val="nil"/>
              <w:bottom w:val="nil"/>
              <w:right w:val="nil"/>
            </w:tcBorders>
            <w:shd w:val="clear" w:color="auto" w:fill="auto"/>
          </w:tcPr>
          <w:p w14:paraId="6614BCF6" w14:textId="77777777" w:rsidR="00B41CCB" w:rsidRPr="006F3DFD" w:rsidRDefault="00B41CCB" w:rsidP="00D33EA9">
            <w:pPr>
              <w:pStyle w:val="BodyText"/>
              <w:rPr>
                <w:rFonts w:ascii="Arial" w:hAnsi="Arial" w:cs="Arial"/>
                <w:sz w:val="20"/>
              </w:rPr>
            </w:pPr>
            <w:r w:rsidRPr="006F3DFD">
              <w:rPr>
                <w:rFonts w:ascii="Arial" w:hAnsi="Arial" w:cs="Arial"/>
                <w:sz w:val="20"/>
              </w:rPr>
              <w:t>Herbert Hoover National Historic Site, Iowa</w:t>
            </w:r>
          </w:p>
        </w:tc>
        <w:tc>
          <w:tcPr>
            <w:tcW w:w="1710" w:type="dxa"/>
            <w:tcBorders>
              <w:top w:val="nil"/>
              <w:left w:val="nil"/>
              <w:bottom w:val="nil"/>
              <w:right w:val="nil"/>
            </w:tcBorders>
            <w:shd w:val="clear" w:color="auto" w:fill="auto"/>
          </w:tcPr>
          <w:p w14:paraId="44A216C3"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100 m x 100 m</w:t>
            </w:r>
          </w:p>
        </w:tc>
      </w:tr>
      <w:tr w:rsidR="00B41CCB" w:rsidRPr="006F3DFD" w14:paraId="12FED347" w14:textId="77777777" w:rsidTr="00F41429">
        <w:tc>
          <w:tcPr>
            <w:tcW w:w="5850" w:type="dxa"/>
            <w:tcBorders>
              <w:top w:val="nil"/>
              <w:left w:val="nil"/>
              <w:bottom w:val="nil"/>
              <w:right w:val="nil"/>
            </w:tcBorders>
            <w:shd w:val="clear" w:color="auto" w:fill="auto"/>
          </w:tcPr>
          <w:p w14:paraId="30BC27F4" w14:textId="77777777" w:rsidR="00B41CCB" w:rsidRPr="006F3DFD" w:rsidRDefault="00B41CCB" w:rsidP="00D33EA9">
            <w:pPr>
              <w:pStyle w:val="BodyText"/>
              <w:rPr>
                <w:rFonts w:ascii="Arial" w:hAnsi="Arial" w:cs="Arial"/>
                <w:sz w:val="20"/>
              </w:rPr>
            </w:pPr>
            <w:r w:rsidRPr="006F3DFD">
              <w:rPr>
                <w:rFonts w:ascii="Arial" w:hAnsi="Arial" w:cs="Arial"/>
                <w:sz w:val="20"/>
              </w:rPr>
              <w:t>Hopewell Culture National Historical Site, Ohio</w:t>
            </w:r>
          </w:p>
        </w:tc>
        <w:tc>
          <w:tcPr>
            <w:tcW w:w="1710" w:type="dxa"/>
            <w:tcBorders>
              <w:top w:val="nil"/>
              <w:left w:val="nil"/>
              <w:bottom w:val="nil"/>
              <w:right w:val="nil"/>
            </w:tcBorders>
            <w:shd w:val="clear" w:color="auto" w:fill="auto"/>
          </w:tcPr>
          <w:p w14:paraId="3D55788F"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400 m x 400 m</w:t>
            </w:r>
          </w:p>
        </w:tc>
      </w:tr>
      <w:tr w:rsidR="00B41CCB" w:rsidRPr="006F3DFD" w14:paraId="18B318B0" w14:textId="77777777" w:rsidTr="00F41429">
        <w:tc>
          <w:tcPr>
            <w:tcW w:w="5850" w:type="dxa"/>
            <w:tcBorders>
              <w:top w:val="nil"/>
              <w:left w:val="nil"/>
              <w:bottom w:val="nil"/>
              <w:right w:val="nil"/>
            </w:tcBorders>
            <w:shd w:val="clear" w:color="auto" w:fill="auto"/>
          </w:tcPr>
          <w:p w14:paraId="54FC0FA7" w14:textId="77777777" w:rsidR="00B41CCB" w:rsidRPr="006F3DFD" w:rsidRDefault="00B41CCB" w:rsidP="00D33EA9">
            <w:pPr>
              <w:pStyle w:val="BodyText"/>
              <w:rPr>
                <w:rFonts w:ascii="Arial" w:hAnsi="Arial" w:cs="Arial"/>
                <w:sz w:val="20"/>
              </w:rPr>
            </w:pPr>
            <w:r w:rsidRPr="006F3DFD">
              <w:rPr>
                <w:rFonts w:ascii="Arial" w:hAnsi="Arial" w:cs="Arial"/>
                <w:sz w:val="20"/>
              </w:rPr>
              <w:t>Homestead National Monument of America, Nebraska</w:t>
            </w:r>
          </w:p>
        </w:tc>
        <w:tc>
          <w:tcPr>
            <w:tcW w:w="1710" w:type="dxa"/>
            <w:tcBorders>
              <w:top w:val="nil"/>
              <w:left w:val="nil"/>
              <w:bottom w:val="nil"/>
              <w:right w:val="nil"/>
            </w:tcBorders>
            <w:shd w:val="clear" w:color="auto" w:fill="auto"/>
          </w:tcPr>
          <w:p w14:paraId="64F150BC"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100 m x 100 m</w:t>
            </w:r>
          </w:p>
        </w:tc>
      </w:tr>
      <w:tr w:rsidR="00B41CCB" w:rsidRPr="006F3DFD" w14:paraId="0DF3A92E" w14:textId="77777777" w:rsidTr="00F41429">
        <w:tc>
          <w:tcPr>
            <w:tcW w:w="5850" w:type="dxa"/>
            <w:tcBorders>
              <w:top w:val="nil"/>
              <w:left w:val="nil"/>
              <w:bottom w:val="nil"/>
              <w:right w:val="nil"/>
            </w:tcBorders>
            <w:shd w:val="clear" w:color="auto" w:fill="auto"/>
          </w:tcPr>
          <w:p w14:paraId="29C6C9FE" w14:textId="77777777" w:rsidR="00B41CCB" w:rsidRPr="006F3DFD" w:rsidRDefault="00B41CCB" w:rsidP="00D33EA9">
            <w:pPr>
              <w:pStyle w:val="BodyText"/>
              <w:rPr>
                <w:rFonts w:ascii="Arial" w:hAnsi="Arial" w:cs="Arial"/>
                <w:sz w:val="20"/>
              </w:rPr>
            </w:pPr>
            <w:r w:rsidRPr="006F3DFD">
              <w:rPr>
                <w:rFonts w:ascii="Arial" w:hAnsi="Arial" w:cs="Arial"/>
                <w:sz w:val="20"/>
              </w:rPr>
              <w:t>Lincoln Boyhood National Memorial, Indiana</w:t>
            </w:r>
          </w:p>
        </w:tc>
        <w:tc>
          <w:tcPr>
            <w:tcW w:w="1710" w:type="dxa"/>
            <w:tcBorders>
              <w:top w:val="nil"/>
              <w:left w:val="nil"/>
              <w:bottom w:val="nil"/>
              <w:right w:val="nil"/>
            </w:tcBorders>
            <w:shd w:val="clear" w:color="auto" w:fill="auto"/>
          </w:tcPr>
          <w:p w14:paraId="4A3FD5A3"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100 m x 100 m</w:t>
            </w:r>
          </w:p>
        </w:tc>
      </w:tr>
      <w:tr w:rsidR="00B41CCB" w:rsidRPr="006F3DFD" w14:paraId="543D26EA" w14:textId="77777777" w:rsidTr="00F41429">
        <w:tc>
          <w:tcPr>
            <w:tcW w:w="5850" w:type="dxa"/>
            <w:tcBorders>
              <w:top w:val="nil"/>
              <w:left w:val="nil"/>
              <w:bottom w:val="nil"/>
              <w:right w:val="nil"/>
            </w:tcBorders>
            <w:shd w:val="clear" w:color="auto" w:fill="auto"/>
          </w:tcPr>
          <w:p w14:paraId="57AE10D1" w14:textId="77777777" w:rsidR="00B41CCB" w:rsidRPr="006F3DFD" w:rsidRDefault="00B41CCB" w:rsidP="00D33EA9">
            <w:pPr>
              <w:pStyle w:val="BodyText"/>
              <w:rPr>
                <w:rFonts w:ascii="Arial" w:hAnsi="Arial" w:cs="Arial"/>
                <w:sz w:val="20"/>
              </w:rPr>
            </w:pPr>
            <w:r w:rsidRPr="006F3DFD">
              <w:rPr>
                <w:rFonts w:ascii="Arial" w:hAnsi="Arial" w:cs="Arial"/>
                <w:sz w:val="20"/>
              </w:rPr>
              <w:t>Pea Ridge National Military Park, Arkansas</w:t>
            </w:r>
          </w:p>
        </w:tc>
        <w:tc>
          <w:tcPr>
            <w:tcW w:w="1710" w:type="dxa"/>
            <w:tcBorders>
              <w:top w:val="nil"/>
              <w:left w:val="nil"/>
              <w:bottom w:val="nil"/>
              <w:right w:val="nil"/>
            </w:tcBorders>
            <w:shd w:val="clear" w:color="auto" w:fill="auto"/>
          </w:tcPr>
          <w:p w14:paraId="4BC80A3A"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400 m x 400 m</w:t>
            </w:r>
          </w:p>
        </w:tc>
      </w:tr>
      <w:tr w:rsidR="00B41CCB" w:rsidRPr="006F3DFD" w14:paraId="2EA713EE" w14:textId="77777777" w:rsidTr="00F41429">
        <w:tc>
          <w:tcPr>
            <w:tcW w:w="5850" w:type="dxa"/>
            <w:tcBorders>
              <w:top w:val="nil"/>
              <w:left w:val="nil"/>
              <w:bottom w:val="nil"/>
              <w:right w:val="nil"/>
            </w:tcBorders>
            <w:shd w:val="clear" w:color="auto" w:fill="auto"/>
          </w:tcPr>
          <w:p w14:paraId="490AC2AA" w14:textId="77777777" w:rsidR="00B41CCB" w:rsidRPr="006F3DFD" w:rsidRDefault="00B41CCB" w:rsidP="00D33EA9">
            <w:pPr>
              <w:pStyle w:val="BodyText"/>
              <w:rPr>
                <w:rFonts w:ascii="Arial" w:hAnsi="Arial" w:cs="Arial"/>
                <w:sz w:val="20"/>
              </w:rPr>
            </w:pPr>
            <w:r w:rsidRPr="006F3DFD">
              <w:rPr>
                <w:rFonts w:ascii="Arial" w:hAnsi="Arial" w:cs="Arial"/>
                <w:sz w:val="20"/>
              </w:rPr>
              <w:t>Pipestone National Monument, Minnesota</w:t>
            </w:r>
          </w:p>
        </w:tc>
        <w:tc>
          <w:tcPr>
            <w:tcW w:w="1710" w:type="dxa"/>
            <w:tcBorders>
              <w:top w:val="nil"/>
              <w:left w:val="nil"/>
              <w:bottom w:val="nil"/>
              <w:right w:val="nil"/>
            </w:tcBorders>
            <w:shd w:val="clear" w:color="auto" w:fill="auto"/>
          </w:tcPr>
          <w:p w14:paraId="3CDABD90"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100 m x 100 m</w:t>
            </w:r>
          </w:p>
        </w:tc>
      </w:tr>
      <w:tr w:rsidR="00B41CCB" w:rsidRPr="006F3DFD" w14:paraId="24DAAEA5" w14:textId="77777777" w:rsidTr="00F41429">
        <w:tc>
          <w:tcPr>
            <w:tcW w:w="5850" w:type="dxa"/>
            <w:tcBorders>
              <w:top w:val="nil"/>
              <w:left w:val="nil"/>
              <w:bottom w:val="nil"/>
              <w:right w:val="nil"/>
            </w:tcBorders>
            <w:shd w:val="clear" w:color="auto" w:fill="auto"/>
          </w:tcPr>
          <w:p w14:paraId="5AB46A66"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Tallgrass Prairie National Preserve, Kansas</w:t>
            </w:r>
          </w:p>
        </w:tc>
        <w:tc>
          <w:tcPr>
            <w:tcW w:w="1710" w:type="dxa"/>
            <w:tcBorders>
              <w:top w:val="nil"/>
              <w:left w:val="nil"/>
              <w:bottom w:val="nil"/>
              <w:right w:val="nil"/>
            </w:tcBorders>
            <w:shd w:val="clear" w:color="auto" w:fill="auto"/>
          </w:tcPr>
          <w:p w14:paraId="5662BC32" w14:textId="77777777" w:rsidR="00B41CCB" w:rsidRPr="006F3DFD" w:rsidRDefault="00B41CCB" w:rsidP="00D33EA9">
            <w:pPr>
              <w:pStyle w:val="BodyText"/>
              <w:rPr>
                <w:rFonts w:ascii="Arial" w:hAnsi="Arial" w:cs="Arial"/>
                <w:sz w:val="20"/>
              </w:rPr>
            </w:pPr>
            <w:r w:rsidRPr="006F3DFD">
              <w:rPr>
                <w:rFonts w:ascii="Arial" w:hAnsi="Arial" w:cs="Arial"/>
                <w:color w:val="000000"/>
                <w:sz w:val="20"/>
              </w:rPr>
              <w:t>400 m x 400 m</w:t>
            </w:r>
          </w:p>
        </w:tc>
      </w:tr>
      <w:tr w:rsidR="00B41CCB" w:rsidRPr="006F3DFD" w14:paraId="6BBAB47C" w14:textId="77777777" w:rsidTr="00F41429">
        <w:tc>
          <w:tcPr>
            <w:tcW w:w="5850" w:type="dxa"/>
            <w:tcBorders>
              <w:top w:val="nil"/>
              <w:left w:val="nil"/>
              <w:right w:val="nil"/>
            </w:tcBorders>
            <w:shd w:val="clear" w:color="auto" w:fill="auto"/>
          </w:tcPr>
          <w:p w14:paraId="746AB9AB" w14:textId="77777777" w:rsidR="00B41CCB" w:rsidRPr="006F3DFD" w:rsidRDefault="00B41CCB" w:rsidP="00D33EA9">
            <w:pPr>
              <w:pStyle w:val="BodyText"/>
              <w:rPr>
                <w:rFonts w:ascii="Arial" w:hAnsi="Arial" w:cs="Arial"/>
                <w:sz w:val="20"/>
              </w:rPr>
            </w:pPr>
            <w:r w:rsidRPr="006F3DFD">
              <w:rPr>
                <w:rFonts w:ascii="Arial" w:hAnsi="Arial" w:cs="Arial"/>
                <w:sz w:val="20"/>
              </w:rPr>
              <w:t>Wilson’s Creek National Battlefield, Missouri</w:t>
            </w:r>
          </w:p>
        </w:tc>
        <w:tc>
          <w:tcPr>
            <w:tcW w:w="1710" w:type="dxa"/>
            <w:tcBorders>
              <w:top w:val="nil"/>
              <w:left w:val="nil"/>
              <w:right w:val="nil"/>
            </w:tcBorders>
            <w:shd w:val="clear" w:color="auto" w:fill="auto"/>
          </w:tcPr>
          <w:p w14:paraId="3D61CB22" w14:textId="77777777" w:rsidR="00B41CCB" w:rsidRPr="006F3DFD" w:rsidRDefault="00F760E9" w:rsidP="00F760E9">
            <w:pPr>
              <w:pStyle w:val="BodyText"/>
              <w:rPr>
                <w:rFonts w:ascii="Arial" w:hAnsi="Arial" w:cs="Arial"/>
                <w:sz w:val="20"/>
              </w:rPr>
            </w:pPr>
            <w:r w:rsidRPr="006F3DFD">
              <w:rPr>
                <w:rFonts w:ascii="Arial" w:hAnsi="Arial" w:cs="Arial"/>
                <w:color w:val="000000"/>
                <w:sz w:val="20"/>
              </w:rPr>
              <w:t>400 m x 400 m</w:t>
            </w:r>
          </w:p>
        </w:tc>
      </w:tr>
    </w:tbl>
    <w:p w14:paraId="74AAF0C8" w14:textId="77777777" w:rsidR="00B41CCB" w:rsidRDefault="00B41CCB" w:rsidP="00B41CCB">
      <w:pPr>
        <w:pStyle w:val="BodyText"/>
      </w:pPr>
      <w:r>
        <w:t xml:space="preserve">  </w:t>
      </w:r>
    </w:p>
    <w:p w14:paraId="6CF08702" w14:textId="5F94509C" w:rsidR="003F4C1C" w:rsidRPr="003F4C1C" w:rsidRDefault="00B41CCB" w:rsidP="003F4C1C">
      <w:pPr>
        <w:numPr>
          <w:ilvl w:val="0"/>
          <w:numId w:val="1"/>
        </w:numPr>
        <w:tabs>
          <w:tab w:val="num" w:pos="720"/>
        </w:tabs>
        <w:spacing w:after="200" w:line="276" w:lineRule="auto"/>
        <w:rPr>
          <w:sz w:val="23"/>
          <w:szCs w:val="23"/>
        </w:rPr>
      </w:pPr>
      <w:r w:rsidRPr="003F4C1C">
        <w:rPr>
          <w:color w:val="000000"/>
          <w:sz w:val="23"/>
          <w:szCs w:val="23"/>
        </w:rPr>
        <w:t>At TAPR, the riparian corridor was identified as a separate stratum, with sampling extending 125 m on either side of the stream ch</w:t>
      </w:r>
      <w:r w:rsidR="005D66B5" w:rsidRPr="003F4C1C">
        <w:rPr>
          <w:color w:val="000000"/>
          <w:sz w:val="23"/>
          <w:szCs w:val="23"/>
        </w:rPr>
        <w:t xml:space="preserve">annel (Palmer and Fox Creeks). </w:t>
      </w:r>
      <w:r w:rsidRPr="003F4C1C">
        <w:rPr>
          <w:color w:val="000000"/>
          <w:sz w:val="23"/>
          <w:szCs w:val="23"/>
        </w:rPr>
        <w:t>The riparian stratum makes up 5.3% of the total park area (4398 ha) at TAPR.</w:t>
      </w:r>
      <w:r w:rsidRPr="003F4C1C">
        <w:rPr>
          <w:sz w:val="23"/>
          <w:szCs w:val="23"/>
        </w:rPr>
        <w:t xml:space="preserve"> Within the riparian stratum, plots were located at 250 m intervals along the extent of the stream. Plots were placed 10 m south of the stream channel on west-east flowing streams (Palmer Creek) and 10 m west of north-south flowing streams (Fox Creek). Any plots from the overall park grid that fell within the r</w:t>
      </w:r>
      <w:r w:rsidR="003C2158" w:rsidRPr="003F4C1C">
        <w:rPr>
          <w:sz w:val="23"/>
          <w:szCs w:val="23"/>
        </w:rPr>
        <w:t>iparian stratum were discarded. T</w:t>
      </w:r>
      <w:r w:rsidRPr="003F4C1C">
        <w:rPr>
          <w:sz w:val="23"/>
          <w:szCs w:val="23"/>
        </w:rPr>
        <w:t>his site selection approach allows flexibility to choose the appropriate reference frame to answer different monitoring questions. When making park-wide inferences, estimates for the two strata will be combined according to each strata's proportionate area contribution to give an overall park mean and variance. At the same time, more intensive sampling in the riparian corridor will ensure an adequate sample to describe habitat relationships specific to this less common, but important</w:t>
      </w:r>
      <w:r w:rsidR="001D231A" w:rsidRPr="003F4C1C">
        <w:rPr>
          <w:sz w:val="23"/>
          <w:szCs w:val="23"/>
        </w:rPr>
        <w:t>,</w:t>
      </w:r>
      <w:r w:rsidRPr="003F4C1C">
        <w:rPr>
          <w:sz w:val="23"/>
          <w:szCs w:val="23"/>
        </w:rPr>
        <w:t xml:space="preserve"> stratum. The systematic grid will also allow us to limit the reference frame appropriately when asking more specific monitoring questions</w:t>
      </w:r>
      <w:r w:rsidR="00635E12" w:rsidRPr="003F4C1C">
        <w:rPr>
          <w:sz w:val="23"/>
          <w:szCs w:val="23"/>
        </w:rPr>
        <w:t xml:space="preserve"> (e.g. only those sampling plots</w:t>
      </w:r>
      <w:r w:rsidRPr="003F4C1C">
        <w:rPr>
          <w:sz w:val="23"/>
          <w:szCs w:val="23"/>
        </w:rPr>
        <w:t xml:space="preserve"> within </w:t>
      </w:r>
      <w:proofErr w:type="gramStart"/>
      <w:r w:rsidRPr="003F4C1C">
        <w:rPr>
          <w:sz w:val="23"/>
          <w:szCs w:val="23"/>
        </w:rPr>
        <w:t>particular management</w:t>
      </w:r>
      <w:proofErr w:type="gramEnd"/>
      <w:r w:rsidRPr="003F4C1C">
        <w:rPr>
          <w:sz w:val="23"/>
          <w:szCs w:val="23"/>
        </w:rPr>
        <w:t xml:space="preserve"> units would be used to compare the avian response to different fire or grazing regimes). </w:t>
      </w:r>
    </w:p>
    <w:p w14:paraId="602662B8" w14:textId="4C39ABD4" w:rsidR="003F4C1C" w:rsidRPr="006F3DFD" w:rsidRDefault="003F4C1C" w:rsidP="006F3DFD">
      <w:pPr>
        <w:numPr>
          <w:ilvl w:val="0"/>
          <w:numId w:val="1"/>
        </w:numPr>
        <w:tabs>
          <w:tab w:val="num" w:pos="720"/>
        </w:tabs>
        <w:spacing w:after="200" w:line="276" w:lineRule="auto"/>
        <w:rPr>
          <w:sz w:val="23"/>
          <w:szCs w:val="23"/>
        </w:rPr>
      </w:pPr>
      <w:r w:rsidRPr="003F4C1C">
        <w:rPr>
          <w:sz w:val="23"/>
          <w:szCs w:val="23"/>
        </w:rPr>
        <w:lastRenderedPageBreak/>
        <w:t>Park maps indicating plot locations and plot ID numbers are printed prior to the start of the field season to assist in tracking completion of the work and navigating from point to point. Park maps with bird point locations are included in Appendix A of the Narrative.</w:t>
      </w:r>
    </w:p>
    <w:p w14:paraId="33C7824C" w14:textId="5B81D289" w:rsidR="00B41CCB" w:rsidRPr="006F3DFD" w:rsidRDefault="00B41CCB" w:rsidP="006F3DFD">
      <w:pPr>
        <w:numPr>
          <w:ilvl w:val="0"/>
          <w:numId w:val="1"/>
        </w:numPr>
        <w:tabs>
          <w:tab w:val="num" w:pos="720"/>
        </w:tabs>
        <w:spacing w:after="200" w:line="276" w:lineRule="auto"/>
        <w:rPr>
          <w:sz w:val="23"/>
          <w:szCs w:val="23"/>
        </w:rPr>
      </w:pPr>
      <w:r w:rsidRPr="006F3DFD">
        <w:rPr>
          <w:sz w:val="23"/>
          <w:szCs w:val="23"/>
        </w:rPr>
        <w:t>During bird surveys, sampling p</w:t>
      </w:r>
      <w:r w:rsidR="00635E12">
        <w:rPr>
          <w:sz w:val="23"/>
          <w:szCs w:val="23"/>
        </w:rPr>
        <w:t>lots</w:t>
      </w:r>
      <w:r w:rsidRPr="006F3DFD">
        <w:rPr>
          <w:sz w:val="23"/>
          <w:szCs w:val="23"/>
        </w:rPr>
        <w:t xml:space="preserve"> are located using a G</w:t>
      </w:r>
      <w:r w:rsidR="006F56D6">
        <w:rPr>
          <w:sz w:val="23"/>
          <w:szCs w:val="23"/>
        </w:rPr>
        <w:t xml:space="preserve">NSS </w:t>
      </w:r>
      <w:r w:rsidRPr="006F3DFD">
        <w:rPr>
          <w:sz w:val="23"/>
          <w:szCs w:val="23"/>
        </w:rPr>
        <w:t xml:space="preserve">unit and temporarily marked with 36-in pin flags </w:t>
      </w:r>
      <w:r w:rsidR="00A60798" w:rsidRPr="006F3DFD">
        <w:rPr>
          <w:sz w:val="23"/>
          <w:szCs w:val="23"/>
        </w:rPr>
        <w:t xml:space="preserve">if </w:t>
      </w:r>
      <w:r w:rsidR="000D1AE7" w:rsidRPr="006F3DFD">
        <w:rPr>
          <w:sz w:val="23"/>
          <w:szCs w:val="23"/>
        </w:rPr>
        <w:t xml:space="preserve">it is a year in which </w:t>
      </w:r>
      <w:r w:rsidR="00A60798" w:rsidRPr="006F3DFD">
        <w:rPr>
          <w:sz w:val="23"/>
          <w:szCs w:val="23"/>
        </w:rPr>
        <w:t xml:space="preserve">habitat assessment is to be done </w:t>
      </w:r>
      <w:r w:rsidRPr="006F3DFD">
        <w:rPr>
          <w:color w:val="000000"/>
          <w:sz w:val="23"/>
          <w:szCs w:val="23"/>
        </w:rPr>
        <w:t>to aid in re-locating the point for habitat assessment. Warning: grazing ungulates sometimes eat pin flags, a problem that increases with time between the bird survey and habitat work on a plot.</w:t>
      </w:r>
      <w:r w:rsidRPr="006F3DFD">
        <w:rPr>
          <w:sz w:val="23"/>
          <w:szCs w:val="23"/>
        </w:rPr>
        <w:t xml:space="preserve"> </w:t>
      </w:r>
      <w:r w:rsidR="009F57F5" w:rsidRPr="006F3DFD">
        <w:rPr>
          <w:sz w:val="23"/>
          <w:szCs w:val="23"/>
        </w:rPr>
        <w:t>Therefore, if habitat</w:t>
      </w:r>
      <w:r w:rsidR="00455D41">
        <w:rPr>
          <w:sz w:val="23"/>
          <w:szCs w:val="23"/>
        </w:rPr>
        <w:t xml:space="preserve"> surveys</w:t>
      </w:r>
      <w:r w:rsidR="009F57F5" w:rsidRPr="006F3DFD">
        <w:rPr>
          <w:sz w:val="23"/>
          <w:szCs w:val="23"/>
        </w:rPr>
        <w:t xml:space="preserve"> </w:t>
      </w:r>
      <w:r w:rsidR="00455D41">
        <w:rPr>
          <w:sz w:val="23"/>
          <w:szCs w:val="23"/>
        </w:rPr>
        <w:t>are done on</w:t>
      </w:r>
      <w:r w:rsidR="009F57F5" w:rsidRPr="006F3DFD">
        <w:rPr>
          <w:sz w:val="23"/>
          <w:szCs w:val="23"/>
        </w:rPr>
        <w:t xml:space="preserve"> a day separate fro</w:t>
      </w:r>
      <w:r w:rsidR="00455D41">
        <w:rPr>
          <w:sz w:val="23"/>
          <w:szCs w:val="23"/>
        </w:rPr>
        <w:t>m the bird surveys,</w:t>
      </w:r>
      <w:r w:rsidR="009F57F5" w:rsidRPr="006F3DFD">
        <w:rPr>
          <w:sz w:val="23"/>
          <w:szCs w:val="23"/>
        </w:rPr>
        <w:t xml:space="preserve"> the point will not be marked with a pin flag</w:t>
      </w:r>
      <w:r w:rsidR="00C9261C">
        <w:rPr>
          <w:sz w:val="23"/>
          <w:szCs w:val="23"/>
        </w:rPr>
        <w:t>,</w:t>
      </w:r>
      <w:r w:rsidR="009F57F5" w:rsidRPr="006F3DFD">
        <w:rPr>
          <w:sz w:val="23"/>
          <w:szCs w:val="23"/>
        </w:rPr>
        <w:t xml:space="preserve"> and the habitat crew will locate the p</w:t>
      </w:r>
      <w:r w:rsidR="00635E12">
        <w:rPr>
          <w:sz w:val="23"/>
          <w:szCs w:val="23"/>
        </w:rPr>
        <w:t>lot</w:t>
      </w:r>
      <w:r w:rsidR="009F57F5" w:rsidRPr="006F3DFD">
        <w:rPr>
          <w:sz w:val="23"/>
          <w:szCs w:val="23"/>
        </w:rPr>
        <w:t>s using a G</w:t>
      </w:r>
      <w:r w:rsidR="006F56D6">
        <w:rPr>
          <w:sz w:val="23"/>
          <w:szCs w:val="23"/>
        </w:rPr>
        <w:t>NSS</w:t>
      </w:r>
      <w:r w:rsidR="009F57F5" w:rsidRPr="006F3DFD">
        <w:rPr>
          <w:sz w:val="23"/>
          <w:szCs w:val="23"/>
        </w:rPr>
        <w:t xml:space="preserve"> unit</w:t>
      </w:r>
      <w:r w:rsidR="00455D41">
        <w:rPr>
          <w:sz w:val="23"/>
          <w:szCs w:val="23"/>
        </w:rPr>
        <w:t xml:space="preserve"> </w:t>
      </w:r>
      <w:r w:rsidR="003F4C1C">
        <w:rPr>
          <w:sz w:val="23"/>
          <w:szCs w:val="23"/>
        </w:rPr>
        <w:t xml:space="preserve">and mark </w:t>
      </w:r>
      <w:r w:rsidR="00C9261C">
        <w:rPr>
          <w:sz w:val="23"/>
          <w:szCs w:val="23"/>
        </w:rPr>
        <w:t xml:space="preserve">it </w:t>
      </w:r>
      <w:r w:rsidR="003F4C1C">
        <w:rPr>
          <w:sz w:val="23"/>
          <w:szCs w:val="23"/>
        </w:rPr>
        <w:t>with a sur</w:t>
      </w:r>
      <w:r w:rsidR="00C9261C">
        <w:rPr>
          <w:sz w:val="23"/>
          <w:szCs w:val="23"/>
        </w:rPr>
        <w:t>v</w:t>
      </w:r>
      <w:r w:rsidR="003F4C1C">
        <w:rPr>
          <w:sz w:val="23"/>
          <w:szCs w:val="23"/>
        </w:rPr>
        <w:t>eyor</w:t>
      </w:r>
      <w:r w:rsidR="00C9261C">
        <w:rPr>
          <w:sz w:val="23"/>
          <w:szCs w:val="23"/>
        </w:rPr>
        <w:t>’</w:t>
      </w:r>
      <w:r w:rsidR="003F4C1C">
        <w:rPr>
          <w:sz w:val="23"/>
          <w:szCs w:val="23"/>
        </w:rPr>
        <w:t xml:space="preserve">s pin </w:t>
      </w:r>
      <w:r w:rsidR="00875F39">
        <w:rPr>
          <w:sz w:val="23"/>
          <w:szCs w:val="23"/>
        </w:rPr>
        <w:t xml:space="preserve">to </w:t>
      </w:r>
      <w:r w:rsidR="003F4C1C">
        <w:rPr>
          <w:sz w:val="23"/>
          <w:szCs w:val="23"/>
        </w:rPr>
        <w:t>us</w:t>
      </w:r>
      <w:r w:rsidR="00C9261C">
        <w:rPr>
          <w:sz w:val="23"/>
          <w:szCs w:val="23"/>
        </w:rPr>
        <w:t>e during habitat assessments</w:t>
      </w:r>
      <w:r w:rsidR="009F57F5" w:rsidRPr="006F3DFD">
        <w:rPr>
          <w:sz w:val="23"/>
          <w:szCs w:val="23"/>
        </w:rPr>
        <w:t xml:space="preserve">. </w:t>
      </w:r>
      <w:r w:rsidRPr="006F3DFD">
        <w:rPr>
          <w:sz w:val="23"/>
          <w:szCs w:val="23"/>
        </w:rPr>
        <w:t>Pin flags are collected from a plot once the habitat work for that plot is completed. Each year, the sampling p</w:t>
      </w:r>
      <w:r w:rsidR="00635E12">
        <w:rPr>
          <w:sz w:val="23"/>
          <w:szCs w:val="23"/>
        </w:rPr>
        <w:t>lots</w:t>
      </w:r>
      <w:r w:rsidRPr="006F3DFD">
        <w:rPr>
          <w:sz w:val="23"/>
          <w:szCs w:val="23"/>
        </w:rPr>
        <w:t xml:space="preserve"> are located again using a G</w:t>
      </w:r>
      <w:r w:rsidR="006F56D6">
        <w:rPr>
          <w:sz w:val="23"/>
          <w:szCs w:val="23"/>
        </w:rPr>
        <w:t>NSS</w:t>
      </w:r>
      <w:r w:rsidRPr="006F3DFD">
        <w:rPr>
          <w:sz w:val="23"/>
          <w:szCs w:val="23"/>
        </w:rPr>
        <w:t xml:space="preserve"> unit, eliminating the need for permanent marking of each point. </w:t>
      </w:r>
    </w:p>
    <w:p w14:paraId="7A12858B" w14:textId="1E76A88A" w:rsidR="00B41CCB" w:rsidRDefault="000E586F" w:rsidP="000E586F">
      <w:pPr>
        <w:tabs>
          <w:tab w:val="num" w:pos="720"/>
        </w:tabs>
        <w:spacing w:after="200" w:line="276" w:lineRule="auto"/>
        <w:rPr>
          <w:sz w:val="23"/>
          <w:szCs w:val="23"/>
        </w:rPr>
      </w:pPr>
      <w:r>
        <w:rPr>
          <w:sz w:val="23"/>
          <w:szCs w:val="23"/>
        </w:rPr>
        <w:t xml:space="preserve">Note: </w:t>
      </w:r>
      <w:r w:rsidR="00BB1596">
        <w:rPr>
          <w:sz w:val="23"/>
          <w:szCs w:val="23"/>
        </w:rPr>
        <w:t>All UTM coordinates (way</w:t>
      </w:r>
      <w:r w:rsidR="00B41CCB" w:rsidRPr="006F3DFD">
        <w:rPr>
          <w:sz w:val="23"/>
          <w:szCs w:val="23"/>
        </w:rPr>
        <w:t xml:space="preserve">points) should be </w:t>
      </w:r>
      <w:proofErr w:type="gramStart"/>
      <w:r w:rsidR="00B41CCB" w:rsidRPr="006F3DFD">
        <w:rPr>
          <w:sz w:val="23"/>
          <w:szCs w:val="23"/>
        </w:rPr>
        <w:t>entered into</w:t>
      </w:r>
      <w:proofErr w:type="gramEnd"/>
      <w:r w:rsidR="00B41CCB" w:rsidRPr="006F3DFD">
        <w:rPr>
          <w:sz w:val="23"/>
          <w:szCs w:val="23"/>
        </w:rPr>
        <w:t xml:space="preserve"> the G</w:t>
      </w:r>
      <w:r w:rsidR="006F56D6">
        <w:rPr>
          <w:sz w:val="23"/>
          <w:szCs w:val="23"/>
        </w:rPr>
        <w:t>NSS</w:t>
      </w:r>
      <w:r w:rsidR="00B41CCB" w:rsidRPr="006F3DFD">
        <w:rPr>
          <w:sz w:val="23"/>
          <w:szCs w:val="23"/>
        </w:rPr>
        <w:t xml:space="preserve"> unit prior to the start of the field season. The appropriate UTM zones and UTM coordinates for all survey p</w:t>
      </w:r>
      <w:r w:rsidR="00635E12">
        <w:rPr>
          <w:sz w:val="23"/>
          <w:szCs w:val="23"/>
        </w:rPr>
        <w:t>lots</w:t>
      </w:r>
      <w:r w:rsidR="00B41CCB" w:rsidRPr="006F3DFD">
        <w:rPr>
          <w:sz w:val="23"/>
          <w:szCs w:val="23"/>
        </w:rPr>
        <w:t xml:space="preserve"> at each H</w:t>
      </w:r>
      <w:r w:rsidR="00635E12">
        <w:rPr>
          <w:sz w:val="23"/>
          <w:szCs w:val="23"/>
        </w:rPr>
        <w:t>eartland Inventory and Monitoring Network</w:t>
      </w:r>
      <w:r w:rsidR="00B41CCB" w:rsidRPr="006F3DFD">
        <w:rPr>
          <w:sz w:val="23"/>
          <w:szCs w:val="23"/>
        </w:rPr>
        <w:t xml:space="preserve"> park</w:t>
      </w:r>
      <w:bookmarkStart w:id="3" w:name="_GoBack"/>
      <w:bookmarkEnd w:id="3"/>
      <w:r w:rsidR="00B41CCB" w:rsidRPr="006F3DFD">
        <w:rPr>
          <w:sz w:val="23"/>
          <w:szCs w:val="23"/>
        </w:rPr>
        <w:t xml:space="preserve"> are included in Appendix </w:t>
      </w:r>
      <w:r w:rsidR="00B41CCB" w:rsidRPr="006F3DFD">
        <w:rPr>
          <w:color w:val="000000"/>
          <w:sz w:val="23"/>
          <w:szCs w:val="23"/>
        </w:rPr>
        <w:t>B</w:t>
      </w:r>
      <w:r w:rsidR="009F57F5" w:rsidRPr="006F3DFD">
        <w:rPr>
          <w:color w:val="000000"/>
          <w:sz w:val="23"/>
          <w:szCs w:val="23"/>
        </w:rPr>
        <w:t xml:space="preserve"> of the Narrative</w:t>
      </w:r>
      <w:r w:rsidR="00B41CCB" w:rsidRPr="006F3DFD">
        <w:rPr>
          <w:sz w:val="23"/>
          <w:szCs w:val="23"/>
        </w:rPr>
        <w:t>.</w:t>
      </w:r>
      <w:r w:rsidR="009F57F5" w:rsidRPr="006F3DFD">
        <w:rPr>
          <w:sz w:val="23"/>
          <w:szCs w:val="23"/>
        </w:rPr>
        <w:t xml:space="preserve"> Waypoints for bird plots are stored on the </w:t>
      </w:r>
      <w:r w:rsidR="00635E12" w:rsidRPr="006F3DFD">
        <w:rPr>
          <w:sz w:val="23"/>
          <w:szCs w:val="23"/>
        </w:rPr>
        <w:t>H</w:t>
      </w:r>
      <w:r w:rsidR="00635E12">
        <w:rPr>
          <w:sz w:val="23"/>
          <w:szCs w:val="23"/>
        </w:rPr>
        <w:t>eartland Inventory and Monitoring Network</w:t>
      </w:r>
      <w:r w:rsidR="009F57F5" w:rsidRPr="006F3DFD">
        <w:rPr>
          <w:sz w:val="23"/>
          <w:szCs w:val="23"/>
        </w:rPr>
        <w:t xml:space="preserve"> server in the </w:t>
      </w:r>
      <w:proofErr w:type="spellStart"/>
      <w:r w:rsidR="009F57F5" w:rsidRPr="006F3DFD">
        <w:rPr>
          <w:i/>
          <w:sz w:val="23"/>
          <w:szCs w:val="23"/>
        </w:rPr>
        <w:t>SpatialInfo</w:t>
      </w:r>
      <w:proofErr w:type="spellEnd"/>
      <w:r w:rsidR="009F57F5" w:rsidRPr="006F3DFD">
        <w:rPr>
          <w:sz w:val="23"/>
          <w:szCs w:val="23"/>
        </w:rPr>
        <w:t xml:space="preserve"> folder of the </w:t>
      </w:r>
      <w:proofErr w:type="spellStart"/>
      <w:r w:rsidR="009F57F5" w:rsidRPr="006F3DFD">
        <w:rPr>
          <w:i/>
          <w:sz w:val="23"/>
          <w:szCs w:val="23"/>
        </w:rPr>
        <w:t>Grassland</w:t>
      </w:r>
      <w:r w:rsidR="00620530">
        <w:rPr>
          <w:i/>
          <w:sz w:val="23"/>
          <w:szCs w:val="23"/>
        </w:rPr>
        <w:t>B</w:t>
      </w:r>
      <w:r w:rsidR="009F57F5" w:rsidRPr="006F3DFD">
        <w:rPr>
          <w:i/>
          <w:sz w:val="23"/>
          <w:szCs w:val="23"/>
        </w:rPr>
        <w:t>ird</w:t>
      </w:r>
      <w:r w:rsidR="00620530">
        <w:rPr>
          <w:i/>
          <w:sz w:val="23"/>
          <w:szCs w:val="23"/>
        </w:rPr>
        <w:t>s</w:t>
      </w:r>
      <w:proofErr w:type="spellEnd"/>
      <w:r w:rsidR="009F57F5" w:rsidRPr="006F3DFD">
        <w:rPr>
          <w:sz w:val="23"/>
          <w:szCs w:val="23"/>
        </w:rPr>
        <w:t xml:space="preserve"> project folder.</w:t>
      </w:r>
    </w:p>
    <w:sectPr w:rsidR="00B4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E28"/>
    <w:multiLevelType w:val="hybridMultilevel"/>
    <w:tmpl w:val="40A2DB46"/>
    <w:lvl w:ilvl="0" w:tplc="3F9C91AE">
      <w:start w:val="400"/>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D2F9B"/>
    <w:multiLevelType w:val="hybridMultilevel"/>
    <w:tmpl w:val="8BF49A36"/>
    <w:lvl w:ilvl="0" w:tplc="94AAD3D8">
      <w:start w:val="400"/>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F669A"/>
    <w:multiLevelType w:val="hybridMultilevel"/>
    <w:tmpl w:val="DB00448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47AAC"/>
    <w:multiLevelType w:val="hybridMultilevel"/>
    <w:tmpl w:val="C4EE79D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CB"/>
    <w:rsid w:val="000D1AE7"/>
    <w:rsid w:val="000E586F"/>
    <w:rsid w:val="001861B4"/>
    <w:rsid w:val="001D231A"/>
    <w:rsid w:val="00235530"/>
    <w:rsid w:val="00356F1B"/>
    <w:rsid w:val="003C2158"/>
    <w:rsid w:val="003F4C1C"/>
    <w:rsid w:val="00455D41"/>
    <w:rsid w:val="00460DED"/>
    <w:rsid w:val="004E1C00"/>
    <w:rsid w:val="00525C21"/>
    <w:rsid w:val="00526623"/>
    <w:rsid w:val="0053795A"/>
    <w:rsid w:val="00540BB5"/>
    <w:rsid w:val="005D66B5"/>
    <w:rsid w:val="00620530"/>
    <w:rsid w:val="00635E12"/>
    <w:rsid w:val="00647513"/>
    <w:rsid w:val="006F3DFD"/>
    <w:rsid w:val="006F56D6"/>
    <w:rsid w:val="00704B8B"/>
    <w:rsid w:val="00705714"/>
    <w:rsid w:val="00784633"/>
    <w:rsid w:val="00875F39"/>
    <w:rsid w:val="008B4116"/>
    <w:rsid w:val="00912C09"/>
    <w:rsid w:val="00912D9B"/>
    <w:rsid w:val="009C182B"/>
    <w:rsid w:val="009F57F5"/>
    <w:rsid w:val="00A60798"/>
    <w:rsid w:val="00B41CCB"/>
    <w:rsid w:val="00BB1596"/>
    <w:rsid w:val="00BE71B7"/>
    <w:rsid w:val="00BF5985"/>
    <w:rsid w:val="00C9261C"/>
    <w:rsid w:val="00D13DF7"/>
    <w:rsid w:val="00D93663"/>
    <w:rsid w:val="00DF4ADA"/>
    <w:rsid w:val="00E03AB0"/>
    <w:rsid w:val="00E676D5"/>
    <w:rsid w:val="00F41429"/>
    <w:rsid w:val="00F61DD1"/>
    <w:rsid w:val="00F7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379F"/>
  <w15:docId w15:val="{14E40ED2-9767-4671-A38D-F9A752B6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1CC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1CCB"/>
    <w:rPr>
      <w:sz w:val="24"/>
    </w:rPr>
  </w:style>
  <w:style w:type="character" w:customStyle="1" w:styleId="BodyTextChar">
    <w:name w:val="Body Text Char"/>
    <w:basedOn w:val="DefaultParagraphFont"/>
    <w:link w:val="BodyText"/>
    <w:rsid w:val="00B41CCB"/>
    <w:rPr>
      <w:rFonts w:ascii="Times New Roman" w:eastAsia="Times New Roman" w:hAnsi="Times New Roman" w:cs="Times New Roman"/>
      <w:sz w:val="24"/>
      <w:szCs w:val="20"/>
    </w:rPr>
  </w:style>
  <w:style w:type="paragraph" w:styleId="ListParagraph">
    <w:name w:val="List Paragraph"/>
    <w:basedOn w:val="Normal"/>
    <w:uiPriority w:val="34"/>
    <w:qFormat/>
    <w:rsid w:val="009F57F5"/>
    <w:pPr>
      <w:ind w:left="720"/>
      <w:contextualSpacing/>
    </w:pPr>
  </w:style>
  <w:style w:type="character" w:styleId="CommentReference">
    <w:name w:val="annotation reference"/>
    <w:basedOn w:val="DefaultParagraphFont"/>
    <w:uiPriority w:val="99"/>
    <w:semiHidden/>
    <w:unhideWhenUsed/>
    <w:rsid w:val="0053795A"/>
    <w:rPr>
      <w:sz w:val="16"/>
      <w:szCs w:val="16"/>
    </w:rPr>
  </w:style>
  <w:style w:type="paragraph" w:styleId="CommentText">
    <w:name w:val="annotation text"/>
    <w:basedOn w:val="Normal"/>
    <w:link w:val="CommentTextChar"/>
    <w:uiPriority w:val="99"/>
    <w:semiHidden/>
    <w:unhideWhenUsed/>
    <w:rsid w:val="0053795A"/>
  </w:style>
  <w:style w:type="character" w:customStyle="1" w:styleId="CommentTextChar">
    <w:name w:val="Comment Text Char"/>
    <w:basedOn w:val="DefaultParagraphFont"/>
    <w:link w:val="CommentText"/>
    <w:uiPriority w:val="99"/>
    <w:semiHidden/>
    <w:rsid w:val="0053795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3795A"/>
    <w:rPr>
      <w:b/>
      <w:bCs/>
    </w:rPr>
  </w:style>
  <w:style w:type="character" w:customStyle="1" w:styleId="CommentSubjectChar">
    <w:name w:val="Comment Subject Char"/>
    <w:basedOn w:val="CommentTextChar"/>
    <w:link w:val="CommentSubject"/>
    <w:uiPriority w:val="99"/>
    <w:semiHidden/>
    <w:rsid w:val="0053795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379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95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9B2C4-7A69-455A-AC50-75ED3DEF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Peitz, David G.</dc:creator>
  <cp:lastModifiedBy>Peitz, David G</cp:lastModifiedBy>
  <cp:revision>2</cp:revision>
  <dcterms:created xsi:type="dcterms:W3CDTF">2020-03-30T13:34:00Z</dcterms:created>
  <dcterms:modified xsi:type="dcterms:W3CDTF">2020-03-30T13:34:00Z</dcterms:modified>
</cp:coreProperties>
</file>