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D204B" w14:textId="77777777" w:rsidR="00F32FC5" w:rsidRDefault="00F32FC5" w:rsidP="00F32FC5">
      <w:pPr>
        <w:jc w:val="center"/>
        <w:rPr>
          <w:rFonts w:ascii="Arial" w:hAnsi="Arial"/>
          <w:b/>
          <w:sz w:val="32"/>
        </w:rPr>
      </w:pPr>
      <w:r>
        <w:rPr>
          <w:rFonts w:ascii="Arial" w:hAnsi="Arial"/>
          <w:b/>
          <w:sz w:val="32"/>
        </w:rPr>
        <w:t>Breeding Bird Monitoring Protocol for the Heartland</w:t>
      </w:r>
      <w:r w:rsidR="00FA7C6D">
        <w:rPr>
          <w:rFonts w:ascii="Arial" w:hAnsi="Arial"/>
          <w:b/>
          <w:sz w:val="32"/>
        </w:rPr>
        <w:t xml:space="preserve"> </w:t>
      </w:r>
      <w:r>
        <w:rPr>
          <w:rFonts w:ascii="Arial" w:hAnsi="Arial"/>
          <w:b/>
          <w:sz w:val="32"/>
        </w:rPr>
        <w:t xml:space="preserve">Inventory and Monitoring </w:t>
      </w:r>
      <w:r w:rsidR="00FA7C6D">
        <w:rPr>
          <w:rFonts w:ascii="Arial" w:hAnsi="Arial"/>
          <w:b/>
          <w:sz w:val="32"/>
        </w:rPr>
        <w:t>Network</w:t>
      </w:r>
    </w:p>
    <w:p w14:paraId="72CCD880" w14:textId="77777777" w:rsidR="00F32FC5" w:rsidRDefault="00F32FC5" w:rsidP="00F32FC5">
      <w:pPr>
        <w:jc w:val="center"/>
        <w:rPr>
          <w:rFonts w:ascii="Arial" w:hAnsi="Arial"/>
          <w:b/>
          <w:sz w:val="24"/>
        </w:rPr>
      </w:pPr>
    </w:p>
    <w:p w14:paraId="379A9F0F" w14:textId="77777777" w:rsidR="00F32FC5" w:rsidRDefault="00D3000F" w:rsidP="00F32FC5">
      <w:pPr>
        <w:shd w:val="clear" w:color="auto" w:fill="E0E0E0"/>
        <w:jc w:val="center"/>
        <w:rPr>
          <w:rFonts w:ascii="Arial" w:hAnsi="Arial"/>
          <w:b/>
          <w:color w:val="000000"/>
          <w:sz w:val="24"/>
        </w:rPr>
      </w:pPr>
      <w:bookmarkStart w:id="0" w:name="sop10"/>
      <w:bookmarkStart w:id="1" w:name="_Toc177437939"/>
      <w:bookmarkStart w:id="2" w:name="_Toc177439342"/>
      <w:bookmarkEnd w:id="0"/>
      <w:r>
        <w:rPr>
          <w:rFonts w:ascii="Arial" w:hAnsi="Arial"/>
          <w:b/>
          <w:color w:val="000000"/>
          <w:sz w:val="24"/>
        </w:rPr>
        <w:t>Standard Operation Procedure 9</w:t>
      </w:r>
      <w:r w:rsidR="00F32FC5">
        <w:rPr>
          <w:rFonts w:ascii="Arial" w:hAnsi="Arial"/>
          <w:b/>
          <w:color w:val="000000"/>
          <w:sz w:val="24"/>
        </w:rPr>
        <w:t>: Procedures and Equipment Storage After the Field Season</w:t>
      </w:r>
      <w:bookmarkEnd w:id="1"/>
      <w:bookmarkEnd w:id="2"/>
    </w:p>
    <w:p w14:paraId="41D4E654" w14:textId="77777777" w:rsidR="00F32FC5" w:rsidRDefault="00F32FC5" w:rsidP="00F32FC5">
      <w:pPr>
        <w:jc w:val="center"/>
        <w:rPr>
          <w:rFonts w:ascii="Arial" w:hAnsi="Arial"/>
          <w:b/>
        </w:rPr>
      </w:pPr>
    </w:p>
    <w:p w14:paraId="1F95033A" w14:textId="77777777" w:rsidR="00F32FC5" w:rsidRPr="005B23C1" w:rsidRDefault="005B23C1" w:rsidP="005B23C1">
      <w:pPr>
        <w:jc w:val="center"/>
        <w:rPr>
          <w:b/>
          <w:sz w:val="24"/>
        </w:rPr>
      </w:pPr>
      <w:r>
        <w:rPr>
          <w:rFonts w:ascii="Arial" w:hAnsi="Arial"/>
          <w:b/>
          <w:sz w:val="24"/>
        </w:rPr>
        <w:t>Version 3.00 (</w:t>
      </w:r>
      <w:r w:rsidR="00FF6766">
        <w:rPr>
          <w:rFonts w:ascii="Arial" w:hAnsi="Arial"/>
          <w:b/>
          <w:sz w:val="24"/>
        </w:rPr>
        <w:t>05/01/2019</w:t>
      </w:r>
      <w:r>
        <w:rPr>
          <w:rFonts w:ascii="Arial" w:hAnsi="Arial"/>
          <w:b/>
          <w:sz w:val="24"/>
        </w:rPr>
        <w:t>)</w:t>
      </w:r>
    </w:p>
    <w:p w14:paraId="32A99253" w14:textId="77777777" w:rsidR="00F32FC5" w:rsidRDefault="00F32FC5" w:rsidP="00F32FC5">
      <w:pPr>
        <w:rPr>
          <w:b/>
          <w:sz w:val="24"/>
        </w:rPr>
      </w:pPr>
    </w:p>
    <w:p w14:paraId="2E5F5438" w14:textId="77777777" w:rsidR="00F32FC5" w:rsidRDefault="00F32FC5" w:rsidP="00F32FC5">
      <w:pPr>
        <w:rPr>
          <w:b/>
          <w:sz w:val="24"/>
        </w:rPr>
      </w:pPr>
      <w:r>
        <w:rPr>
          <w:b/>
          <w:sz w:val="24"/>
        </w:rPr>
        <w:t>Revision History Log:</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183"/>
        <w:gridCol w:w="1224"/>
        <w:gridCol w:w="2346"/>
        <w:gridCol w:w="2346"/>
        <w:gridCol w:w="1199"/>
      </w:tblGrid>
      <w:tr w:rsidR="00F32FC5" w14:paraId="20DC7A03" w14:textId="77777777" w:rsidTr="00B07EEE">
        <w:trPr>
          <w:trHeight w:val="567"/>
        </w:trPr>
        <w:tc>
          <w:tcPr>
            <w:tcW w:w="1183" w:type="dxa"/>
          </w:tcPr>
          <w:p w14:paraId="1A2EA88F" w14:textId="77777777" w:rsidR="00F32FC5" w:rsidRDefault="00F32FC5" w:rsidP="00D33EA9">
            <w:pPr>
              <w:rPr>
                <w:sz w:val="24"/>
              </w:rPr>
            </w:pPr>
            <w:r>
              <w:rPr>
                <w:sz w:val="24"/>
              </w:rPr>
              <w:t>Previous Version #</w:t>
            </w:r>
          </w:p>
        </w:tc>
        <w:tc>
          <w:tcPr>
            <w:tcW w:w="1183" w:type="dxa"/>
          </w:tcPr>
          <w:p w14:paraId="0B0542FB" w14:textId="77777777" w:rsidR="00F32FC5" w:rsidRDefault="00F32FC5" w:rsidP="00D33EA9">
            <w:pPr>
              <w:rPr>
                <w:sz w:val="24"/>
              </w:rPr>
            </w:pPr>
            <w:r>
              <w:rPr>
                <w:sz w:val="24"/>
              </w:rPr>
              <w:t>Revision Date</w:t>
            </w:r>
          </w:p>
        </w:tc>
        <w:tc>
          <w:tcPr>
            <w:tcW w:w="1224" w:type="dxa"/>
          </w:tcPr>
          <w:p w14:paraId="63E7402B" w14:textId="77777777" w:rsidR="00F32FC5" w:rsidRDefault="00F32FC5" w:rsidP="00D33EA9">
            <w:pPr>
              <w:rPr>
                <w:sz w:val="24"/>
              </w:rPr>
            </w:pPr>
            <w:r>
              <w:rPr>
                <w:sz w:val="24"/>
              </w:rPr>
              <w:t>Author</w:t>
            </w:r>
          </w:p>
        </w:tc>
        <w:tc>
          <w:tcPr>
            <w:tcW w:w="2346" w:type="dxa"/>
          </w:tcPr>
          <w:p w14:paraId="3995992C" w14:textId="77777777" w:rsidR="00F32FC5" w:rsidRDefault="00F32FC5" w:rsidP="00D33EA9">
            <w:pPr>
              <w:rPr>
                <w:sz w:val="24"/>
              </w:rPr>
            </w:pPr>
            <w:r>
              <w:rPr>
                <w:sz w:val="24"/>
              </w:rPr>
              <w:t>Changes Made</w:t>
            </w:r>
          </w:p>
        </w:tc>
        <w:tc>
          <w:tcPr>
            <w:tcW w:w="2346" w:type="dxa"/>
          </w:tcPr>
          <w:p w14:paraId="3B2207DF" w14:textId="77777777" w:rsidR="00F32FC5" w:rsidRDefault="00F32FC5" w:rsidP="00D33EA9">
            <w:pPr>
              <w:rPr>
                <w:sz w:val="24"/>
              </w:rPr>
            </w:pPr>
            <w:r>
              <w:rPr>
                <w:sz w:val="24"/>
              </w:rPr>
              <w:t>Reason for Change</w:t>
            </w:r>
          </w:p>
        </w:tc>
        <w:tc>
          <w:tcPr>
            <w:tcW w:w="1199" w:type="dxa"/>
          </w:tcPr>
          <w:p w14:paraId="2394DC84" w14:textId="77777777" w:rsidR="00F32FC5" w:rsidRDefault="00F32FC5" w:rsidP="00D33EA9">
            <w:pPr>
              <w:rPr>
                <w:sz w:val="24"/>
              </w:rPr>
            </w:pPr>
            <w:r>
              <w:rPr>
                <w:sz w:val="24"/>
              </w:rPr>
              <w:t>New Version #</w:t>
            </w:r>
          </w:p>
        </w:tc>
      </w:tr>
      <w:tr w:rsidR="00D3000F" w14:paraId="043480A2" w14:textId="77777777" w:rsidTr="00B07EEE">
        <w:trPr>
          <w:trHeight w:val="283"/>
        </w:trPr>
        <w:tc>
          <w:tcPr>
            <w:tcW w:w="1183" w:type="dxa"/>
          </w:tcPr>
          <w:p w14:paraId="4541988F" w14:textId="77777777" w:rsidR="00D3000F" w:rsidRDefault="00D3000F" w:rsidP="00D3000F">
            <w:pPr>
              <w:spacing w:line="276" w:lineRule="auto"/>
              <w:rPr>
                <w:rFonts w:ascii="Arial" w:hAnsi="Arial" w:cs="Arial"/>
              </w:rPr>
            </w:pPr>
            <w:r>
              <w:rPr>
                <w:rFonts w:ascii="Arial" w:hAnsi="Arial" w:cs="Arial"/>
              </w:rPr>
              <w:t>1.01</w:t>
            </w:r>
          </w:p>
        </w:tc>
        <w:tc>
          <w:tcPr>
            <w:tcW w:w="1183" w:type="dxa"/>
          </w:tcPr>
          <w:p w14:paraId="00868D21" w14:textId="77777777" w:rsidR="00D3000F" w:rsidRDefault="00D3000F" w:rsidP="00D3000F">
            <w:pPr>
              <w:spacing w:line="276" w:lineRule="auto"/>
              <w:rPr>
                <w:rFonts w:ascii="Arial" w:hAnsi="Arial" w:cs="Arial"/>
              </w:rPr>
            </w:pPr>
            <w:r>
              <w:rPr>
                <w:rFonts w:ascii="Arial" w:hAnsi="Arial" w:cs="Arial"/>
              </w:rPr>
              <w:t>May 2008</w:t>
            </w:r>
          </w:p>
        </w:tc>
        <w:tc>
          <w:tcPr>
            <w:tcW w:w="1224" w:type="dxa"/>
          </w:tcPr>
          <w:p w14:paraId="44E0E309" w14:textId="77777777" w:rsidR="00D3000F" w:rsidRDefault="00D3000F" w:rsidP="00D3000F">
            <w:pPr>
              <w:spacing w:line="276" w:lineRule="auto"/>
              <w:rPr>
                <w:rFonts w:ascii="Arial" w:hAnsi="Arial" w:cs="Arial"/>
              </w:rPr>
            </w:pPr>
            <w:r>
              <w:rPr>
                <w:rFonts w:ascii="Arial" w:hAnsi="Arial" w:cs="Arial"/>
              </w:rPr>
              <w:t>D.G. Peitz</w:t>
            </w:r>
          </w:p>
        </w:tc>
        <w:tc>
          <w:tcPr>
            <w:tcW w:w="2346" w:type="dxa"/>
          </w:tcPr>
          <w:p w14:paraId="0272A505" w14:textId="77777777" w:rsidR="00D3000F" w:rsidRDefault="00D3000F" w:rsidP="00D3000F">
            <w:pPr>
              <w:spacing w:line="276" w:lineRule="auto"/>
              <w:rPr>
                <w:rFonts w:ascii="Arial" w:hAnsi="Arial" w:cs="Arial"/>
              </w:rPr>
            </w:pPr>
            <w:r>
              <w:rPr>
                <w:rFonts w:ascii="Arial" w:hAnsi="Arial" w:cs="Arial"/>
              </w:rPr>
              <w:t>Entire document</w:t>
            </w:r>
          </w:p>
        </w:tc>
        <w:tc>
          <w:tcPr>
            <w:tcW w:w="2346" w:type="dxa"/>
          </w:tcPr>
          <w:p w14:paraId="03315A1B" w14:textId="77777777" w:rsidR="00D3000F" w:rsidRDefault="00D3000F" w:rsidP="00D3000F">
            <w:pPr>
              <w:spacing w:line="276" w:lineRule="auto"/>
              <w:rPr>
                <w:rFonts w:ascii="Arial" w:hAnsi="Arial" w:cs="Arial"/>
              </w:rPr>
            </w:pPr>
            <w:r>
              <w:rPr>
                <w:rFonts w:ascii="Arial" w:hAnsi="Arial" w:cs="Arial"/>
              </w:rPr>
              <w:t xml:space="preserve">Edited to reflect that bird monitoring has been expanded to ten additional network parks </w:t>
            </w:r>
          </w:p>
        </w:tc>
        <w:tc>
          <w:tcPr>
            <w:tcW w:w="1199" w:type="dxa"/>
          </w:tcPr>
          <w:p w14:paraId="175A7483" w14:textId="77777777" w:rsidR="00D3000F" w:rsidRDefault="00D3000F" w:rsidP="00D3000F">
            <w:pPr>
              <w:spacing w:line="276" w:lineRule="auto"/>
              <w:rPr>
                <w:rFonts w:ascii="Arial" w:hAnsi="Arial" w:cs="Arial"/>
              </w:rPr>
            </w:pPr>
            <w:r>
              <w:rPr>
                <w:rFonts w:ascii="Arial" w:hAnsi="Arial" w:cs="Arial"/>
              </w:rPr>
              <w:t>2.00</w:t>
            </w:r>
          </w:p>
        </w:tc>
      </w:tr>
      <w:tr w:rsidR="00D3000F" w14:paraId="78E35E21" w14:textId="77777777" w:rsidTr="00B07EEE">
        <w:trPr>
          <w:trHeight w:val="283"/>
        </w:trPr>
        <w:tc>
          <w:tcPr>
            <w:tcW w:w="1183" w:type="dxa"/>
          </w:tcPr>
          <w:p w14:paraId="6D3777CC" w14:textId="77777777" w:rsidR="00D3000F" w:rsidRDefault="00D3000F" w:rsidP="00D3000F">
            <w:pPr>
              <w:spacing w:line="276" w:lineRule="auto"/>
              <w:rPr>
                <w:rFonts w:ascii="Arial" w:hAnsi="Arial" w:cs="Arial"/>
              </w:rPr>
            </w:pPr>
            <w:r>
              <w:rPr>
                <w:rFonts w:ascii="Arial" w:hAnsi="Arial" w:cs="Arial"/>
              </w:rPr>
              <w:t>2.00</w:t>
            </w:r>
          </w:p>
        </w:tc>
        <w:tc>
          <w:tcPr>
            <w:tcW w:w="1183" w:type="dxa"/>
          </w:tcPr>
          <w:p w14:paraId="03FBB68E" w14:textId="77777777" w:rsidR="00D3000F" w:rsidRDefault="00D3000F" w:rsidP="007D1F91">
            <w:pPr>
              <w:spacing w:line="276" w:lineRule="auto"/>
              <w:rPr>
                <w:rFonts w:ascii="Arial" w:hAnsi="Arial" w:cs="Arial"/>
              </w:rPr>
            </w:pPr>
            <w:r>
              <w:rPr>
                <w:rFonts w:ascii="Arial" w:hAnsi="Arial" w:cs="Arial"/>
              </w:rPr>
              <w:t>May 201</w:t>
            </w:r>
            <w:r w:rsidR="007D1F91">
              <w:rPr>
                <w:rFonts w:ascii="Arial" w:hAnsi="Arial" w:cs="Arial"/>
              </w:rPr>
              <w:t>9</w:t>
            </w:r>
          </w:p>
        </w:tc>
        <w:tc>
          <w:tcPr>
            <w:tcW w:w="1224" w:type="dxa"/>
          </w:tcPr>
          <w:p w14:paraId="6A972725" w14:textId="77777777" w:rsidR="00D3000F" w:rsidRDefault="00D3000F" w:rsidP="00D3000F">
            <w:pPr>
              <w:spacing w:line="276" w:lineRule="auto"/>
              <w:rPr>
                <w:rFonts w:ascii="Arial" w:hAnsi="Arial" w:cs="Arial"/>
              </w:rPr>
            </w:pPr>
            <w:r>
              <w:rPr>
                <w:rFonts w:ascii="Arial" w:hAnsi="Arial" w:cs="Arial"/>
              </w:rPr>
              <w:t>D.G. Peitz</w:t>
            </w:r>
          </w:p>
        </w:tc>
        <w:tc>
          <w:tcPr>
            <w:tcW w:w="2346" w:type="dxa"/>
          </w:tcPr>
          <w:p w14:paraId="43C5B42C" w14:textId="77777777" w:rsidR="00D3000F" w:rsidRDefault="00D3000F" w:rsidP="00974051">
            <w:pPr>
              <w:spacing w:line="276" w:lineRule="auto"/>
              <w:rPr>
                <w:rFonts w:ascii="Arial" w:hAnsi="Arial" w:cs="Arial"/>
              </w:rPr>
            </w:pPr>
            <w:r>
              <w:rPr>
                <w:rFonts w:ascii="Arial" w:hAnsi="Arial" w:cs="Arial"/>
              </w:rPr>
              <w:t>Updated throughout to NR</w:t>
            </w:r>
            <w:r w:rsidR="00974051">
              <w:rPr>
                <w:rFonts w:ascii="Arial" w:hAnsi="Arial" w:cs="Arial"/>
              </w:rPr>
              <w:t>SS</w:t>
            </w:r>
            <w:r>
              <w:rPr>
                <w:rFonts w:ascii="Arial" w:hAnsi="Arial" w:cs="Arial"/>
              </w:rPr>
              <w:t xml:space="preserve"> format. </w:t>
            </w:r>
          </w:p>
        </w:tc>
        <w:tc>
          <w:tcPr>
            <w:tcW w:w="2346" w:type="dxa"/>
          </w:tcPr>
          <w:p w14:paraId="129DCDE2" w14:textId="77777777" w:rsidR="00D3000F" w:rsidRDefault="00D3000F" w:rsidP="00D3000F">
            <w:pPr>
              <w:spacing w:line="276" w:lineRule="auto"/>
              <w:rPr>
                <w:rFonts w:ascii="Arial" w:hAnsi="Arial" w:cs="Arial"/>
              </w:rPr>
            </w:pPr>
            <w:r>
              <w:rPr>
                <w:rFonts w:ascii="Arial" w:hAnsi="Arial" w:cs="Arial"/>
              </w:rPr>
              <w:t xml:space="preserve">Made SOP NRSS compliant. </w:t>
            </w:r>
          </w:p>
        </w:tc>
        <w:tc>
          <w:tcPr>
            <w:tcW w:w="1199" w:type="dxa"/>
          </w:tcPr>
          <w:p w14:paraId="4AF01F08" w14:textId="77777777" w:rsidR="00D3000F" w:rsidRDefault="00D3000F" w:rsidP="00D3000F">
            <w:pPr>
              <w:spacing w:line="276" w:lineRule="auto"/>
              <w:rPr>
                <w:rFonts w:ascii="Arial" w:hAnsi="Arial" w:cs="Arial"/>
              </w:rPr>
            </w:pPr>
            <w:r>
              <w:rPr>
                <w:rFonts w:ascii="Arial" w:hAnsi="Arial" w:cs="Arial"/>
              </w:rPr>
              <w:t>3.00</w:t>
            </w:r>
          </w:p>
        </w:tc>
      </w:tr>
      <w:tr w:rsidR="00F32FC5" w14:paraId="01E1FD2E" w14:textId="77777777" w:rsidTr="00B07EEE">
        <w:trPr>
          <w:trHeight w:val="283"/>
        </w:trPr>
        <w:tc>
          <w:tcPr>
            <w:tcW w:w="1183" w:type="dxa"/>
          </w:tcPr>
          <w:p w14:paraId="459F0B3A" w14:textId="77777777" w:rsidR="00F32FC5" w:rsidRDefault="00F32FC5" w:rsidP="00D33EA9"/>
        </w:tc>
        <w:tc>
          <w:tcPr>
            <w:tcW w:w="1183" w:type="dxa"/>
          </w:tcPr>
          <w:p w14:paraId="017E9800" w14:textId="77777777" w:rsidR="00F32FC5" w:rsidRDefault="00F32FC5" w:rsidP="00D33EA9"/>
        </w:tc>
        <w:tc>
          <w:tcPr>
            <w:tcW w:w="1224" w:type="dxa"/>
          </w:tcPr>
          <w:p w14:paraId="7099E900" w14:textId="77777777" w:rsidR="00F32FC5" w:rsidRDefault="00F32FC5" w:rsidP="00D33EA9"/>
        </w:tc>
        <w:tc>
          <w:tcPr>
            <w:tcW w:w="2346" w:type="dxa"/>
          </w:tcPr>
          <w:p w14:paraId="5B8C9D42" w14:textId="77777777" w:rsidR="00F32FC5" w:rsidRDefault="00F32FC5" w:rsidP="00D33EA9"/>
        </w:tc>
        <w:tc>
          <w:tcPr>
            <w:tcW w:w="2346" w:type="dxa"/>
          </w:tcPr>
          <w:p w14:paraId="3C79E6E3" w14:textId="77777777" w:rsidR="00F32FC5" w:rsidRDefault="00F32FC5" w:rsidP="00D33EA9"/>
        </w:tc>
        <w:tc>
          <w:tcPr>
            <w:tcW w:w="1199" w:type="dxa"/>
          </w:tcPr>
          <w:p w14:paraId="2B9B5A3F" w14:textId="77777777" w:rsidR="00F32FC5" w:rsidRDefault="00F32FC5" w:rsidP="00D33EA9"/>
        </w:tc>
      </w:tr>
      <w:tr w:rsidR="00F32FC5" w14:paraId="1E03F2B1" w14:textId="77777777" w:rsidTr="00B07EEE">
        <w:trPr>
          <w:trHeight w:val="283"/>
        </w:trPr>
        <w:tc>
          <w:tcPr>
            <w:tcW w:w="1183" w:type="dxa"/>
          </w:tcPr>
          <w:p w14:paraId="55BA7C77" w14:textId="77777777" w:rsidR="00F32FC5" w:rsidRDefault="00F32FC5" w:rsidP="00D33EA9"/>
        </w:tc>
        <w:tc>
          <w:tcPr>
            <w:tcW w:w="1183" w:type="dxa"/>
          </w:tcPr>
          <w:p w14:paraId="6E45C842" w14:textId="77777777" w:rsidR="00F32FC5" w:rsidRDefault="00F32FC5" w:rsidP="00D33EA9"/>
        </w:tc>
        <w:tc>
          <w:tcPr>
            <w:tcW w:w="1224" w:type="dxa"/>
          </w:tcPr>
          <w:p w14:paraId="06207375" w14:textId="77777777" w:rsidR="00F32FC5" w:rsidRDefault="00F32FC5" w:rsidP="00D33EA9"/>
        </w:tc>
        <w:tc>
          <w:tcPr>
            <w:tcW w:w="2346" w:type="dxa"/>
          </w:tcPr>
          <w:p w14:paraId="25F9FD23" w14:textId="77777777" w:rsidR="00F32FC5" w:rsidRDefault="00F32FC5" w:rsidP="00D33EA9"/>
        </w:tc>
        <w:tc>
          <w:tcPr>
            <w:tcW w:w="2346" w:type="dxa"/>
          </w:tcPr>
          <w:p w14:paraId="0270F2F2" w14:textId="77777777" w:rsidR="00F32FC5" w:rsidRDefault="00F32FC5" w:rsidP="00D33EA9"/>
        </w:tc>
        <w:tc>
          <w:tcPr>
            <w:tcW w:w="1199" w:type="dxa"/>
          </w:tcPr>
          <w:p w14:paraId="4224EF7A" w14:textId="77777777" w:rsidR="00F32FC5" w:rsidRDefault="00F32FC5" w:rsidP="00D33EA9"/>
        </w:tc>
      </w:tr>
      <w:tr w:rsidR="00F32FC5" w14:paraId="1B4815BA" w14:textId="77777777" w:rsidTr="00B07EEE">
        <w:trPr>
          <w:trHeight w:val="303"/>
        </w:trPr>
        <w:tc>
          <w:tcPr>
            <w:tcW w:w="1183" w:type="dxa"/>
          </w:tcPr>
          <w:p w14:paraId="188232D7" w14:textId="77777777" w:rsidR="00F32FC5" w:rsidRDefault="00F32FC5" w:rsidP="00D33EA9"/>
        </w:tc>
        <w:tc>
          <w:tcPr>
            <w:tcW w:w="1183" w:type="dxa"/>
          </w:tcPr>
          <w:p w14:paraId="55E520F8" w14:textId="77777777" w:rsidR="00F32FC5" w:rsidRDefault="00F32FC5" w:rsidP="00D33EA9"/>
        </w:tc>
        <w:tc>
          <w:tcPr>
            <w:tcW w:w="1224" w:type="dxa"/>
          </w:tcPr>
          <w:p w14:paraId="522EB324" w14:textId="77777777" w:rsidR="00F32FC5" w:rsidRDefault="00F32FC5" w:rsidP="00D33EA9"/>
        </w:tc>
        <w:tc>
          <w:tcPr>
            <w:tcW w:w="2346" w:type="dxa"/>
          </w:tcPr>
          <w:p w14:paraId="649B5F3E" w14:textId="77777777" w:rsidR="00F32FC5" w:rsidRDefault="00F32FC5" w:rsidP="00D33EA9"/>
        </w:tc>
        <w:tc>
          <w:tcPr>
            <w:tcW w:w="2346" w:type="dxa"/>
          </w:tcPr>
          <w:p w14:paraId="37A1AE55" w14:textId="77777777" w:rsidR="00F32FC5" w:rsidRDefault="00F32FC5" w:rsidP="00D33EA9"/>
        </w:tc>
        <w:tc>
          <w:tcPr>
            <w:tcW w:w="1199" w:type="dxa"/>
          </w:tcPr>
          <w:p w14:paraId="50A9C06E" w14:textId="77777777" w:rsidR="00F32FC5" w:rsidRDefault="00F32FC5" w:rsidP="00D33EA9"/>
        </w:tc>
      </w:tr>
    </w:tbl>
    <w:p w14:paraId="37764B46" w14:textId="77777777" w:rsidR="00F32FC5" w:rsidRDefault="00F32FC5" w:rsidP="00F32FC5"/>
    <w:p w14:paraId="503299F1" w14:textId="77777777" w:rsidR="00F32FC5" w:rsidRPr="009B47FD" w:rsidRDefault="00F32FC5" w:rsidP="009B47FD">
      <w:pPr>
        <w:spacing w:after="200" w:line="276" w:lineRule="auto"/>
        <w:rPr>
          <w:sz w:val="23"/>
          <w:szCs w:val="23"/>
        </w:rPr>
      </w:pPr>
      <w:r w:rsidRPr="009B47FD">
        <w:rPr>
          <w:sz w:val="23"/>
          <w:szCs w:val="23"/>
        </w:rPr>
        <w:t xml:space="preserve">This Standard Operating Procedure explains procedures that all field observers using the Breeding Bird Monitoring Protocol for the Heartland Inventory and Monitoring </w:t>
      </w:r>
      <w:r w:rsidR="00FA7C6D" w:rsidRPr="009B47FD">
        <w:rPr>
          <w:sz w:val="23"/>
          <w:szCs w:val="23"/>
        </w:rPr>
        <w:t xml:space="preserve">Network </w:t>
      </w:r>
      <w:r w:rsidRPr="009B47FD">
        <w:rPr>
          <w:sz w:val="23"/>
          <w:szCs w:val="23"/>
        </w:rPr>
        <w:t>(HTLN) should be familiar with and follow after the field season is completed.</w:t>
      </w:r>
    </w:p>
    <w:p w14:paraId="40488067" w14:textId="77777777" w:rsidR="00F32FC5" w:rsidRPr="009B47FD" w:rsidRDefault="00F32FC5" w:rsidP="009B47FD">
      <w:pPr>
        <w:spacing w:after="200"/>
        <w:rPr>
          <w:rFonts w:ascii="Arial" w:hAnsi="Arial" w:cs="Arial"/>
          <w:b/>
          <w:sz w:val="24"/>
        </w:rPr>
      </w:pPr>
      <w:r w:rsidRPr="009B47FD">
        <w:rPr>
          <w:rFonts w:ascii="Arial" w:hAnsi="Arial" w:cs="Arial"/>
          <w:b/>
          <w:sz w:val="24"/>
        </w:rPr>
        <w:t>Procedure</w:t>
      </w:r>
    </w:p>
    <w:p w14:paraId="3872BEB1" w14:textId="77777777" w:rsidR="00F32FC5" w:rsidRPr="009B47FD" w:rsidRDefault="00F32FC5" w:rsidP="009B47FD">
      <w:pPr>
        <w:spacing w:after="200" w:line="276" w:lineRule="auto"/>
        <w:rPr>
          <w:sz w:val="23"/>
          <w:szCs w:val="23"/>
        </w:rPr>
      </w:pPr>
      <w:r w:rsidRPr="009B47FD">
        <w:rPr>
          <w:sz w:val="23"/>
          <w:szCs w:val="23"/>
        </w:rPr>
        <w:t>Clean and repair all equipment prior to returning to proper storage areas in the HTLN building or the HTLN storage building. All reference manuals should be re-shelved on their appropriat</w:t>
      </w:r>
      <w:r w:rsidR="000567E3">
        <w:rPr>
          <w:sz w:val="23"/>
          <w:szCs w:val="23"/>
        </w:rPr>
        <w:t xml:space="preserve">e bookshelf. </w:t>
      </w:r>
      <w:r w:rsidRPr="009B47FD">
        <w:rPr>
          <w:sz w:val="23"/>
          <w:szCs w:val="23"/>
        </w:rPr>
        <w:t>Other reference materials and extra data sheets need to be filed in their appropriate filing cabinet.</w:t>
      </w:r>
      <w:r w:rsidR="000567E3">
        <w:rPr>
          <w:sz w:val="23"/>
          <w:szCs w:val="23"/>
        </w:rPr>
        <w:t xml:space="preserve"> </w:t>
      </w:r>
      <w:r w:rsidRPr="009B47FD">
        <w:rPr>
          <w:sz w:val="23"/>
          <w:szCs w:val="23"/>
        </w:rPr>
        <w:t>Clean the insides and outsides of all vehicles used in the field.</w:t>
      </w:r>
    </w:p>
    <w:p w14:paraId="250A6CE3" w14:textId="77777777" w:rsidR="00F32FC5" w:rsidRPr="009B47FD" w:rsidRDefault="00F32FC5" w:rsidP="009B47FD">
      <w:pPr>
        <w:spacing w:after="200" w:line="276" w:lineRule="auto"/>
        <w:rPr>
          <w:sz w:val="23"/>
          <w:szCs w:val="23"/>
        </w:rPr>
      </w:pPr>
      <w:r w:rsidRPr="009B47FD">
        <w:rPr>
          <w:sz w:val="23"/>
          <w:szCs w:val="23"/>
        </w:rPr>
        <w:t>Organize field data sheets and check that they have been filled out completely. As a rule, all data sheets need to be reviewed for completeness before the crew leaves the field. However, because of the number of field days and crewmembers, some deficiencies in data recording may not be identified until all data sheets have been organized and reviewed as a group (e.g. when habitat work has inadvertently been missed for a plot).</w:t>
      </w:r>
    </w:p>
    <w:p w14:paraId="1BFFF91D" w14:textId="0E57CB93" w:rsidR="00F32FC5" w:rsidRPr="009B47FD" w:rsidRDefault="00F32FC5" w:rsidP="009B47FD">
      <w:pPr>
        <w:spacing w:after="200" w:line="276" w:lineRule="auto"/>
        <w:rPr>
          <w:sz w:val="23"/>
          <w:szCs w:val="23"/>
        </w:rPr>
      </w:pPr>
      <w:r w:rsidRPr="009B47FD">
        <w:rPr>
          <w:sz w:val="23"/>
          <w:szCs w:val="23"/>
        </w:rPr>
        <w:t xml:space="preserve">Identify and obtain ancillary data. It is of critical importance that this data be incorporated into the bird monitoring efforts. First and foremost, knowledge of management efforts in a park for that year (i.e. controlled burns and cattle grazing) will be used to assess the effects of these efforts on the habitat and birds present. Second, vegetation data collected by HTLN will assist in evaluating habitat types and may give an indication as to why the presence or absence of a bird species was observed. Certain plants may be utilized for food, cover or nesting differently by different birds, thus altering </w:t>
      </w:r>
      <w:r w:rsidRPr="009B47FD">
        <w:rPr>
          <w:sz w:val="23"/>
          <w:szCs w:val="23"/>
        </w:rPr>
        <w:lastRenderedPageBreak/>
        <w:t xml:space="preserve">the bird communities observed. Climate can also influence bird numbers, both directly and indirectly. Excess precipitation can disrupt nesting success while drought conditions may limit plant growth, thus food and cover availability for young. Therefore, annual climate data will be obtained from a region-wide climatic database on the internet at: </w:t>
      </w:r>
      <w:hyperlink r:id="rId4" w:history="1">
        <w:r w:rsidR="008132A4" w:rsidRPr="008132A4">
          <w:rPr>
            <w:rStyle w:val="Hyperlink"/>
            <w:sz w:val="23"/>
            <w:szCs w:val="23"/>
          </w:rPr>
          <w:t>http://agebb.missouri.edu/</w:t>
        </w:r>
      </w:hyperlink>
      <w:r w:rsidR="008132A4" w:rsidRPr="008132A4">
        <w:rPr>
          <w:sz w:val="23"/>
          <w:szCs w:val="23"/>
        </w:rPr>
        <w:t xml:space="preserve"> </w:t>
      </w:r>
      <w:bookmarkStart w:id="3" w:name="_GoBack"/>
      <w:bookmarkEnd w:id="3"/>
      <w:r w:rsidR="00CD18BB">
        <w:rPr>
          <w:sz w:val="23"/>
          <w:szCs w:val="23"/>
        </w:rPr>
        <w:t>or other sources</w:t>
      </w:r>
      <w:r w:rsidRPr="009B47FD">
        <w:rPr>
          <w:sz w:val="23"/>
          <w:szCs w:val="23"/>
        </w:rPr>
        <w:t>.</w:t>
      </w:r>
    </w:p>
    <w:p w14:paraId="46048D4D" w14:textId="77777777" w:rsidR="00F32FC5" w:rsidRDefault="00F32FC5" w:rsidP="009B47FD">
      <w:pPr>
        <w:spacing w:after="200" w:line="276" w:lineRule="auto"/>
        <w:rPr>
          <w:sz w:val="23"/>
          <w:szCs w:val="23"/>
        </w:rPr>
      </w:pPr>
      <w:r w:rsidRPr="009B47FD">
        <w:rPr>
          <w:sz w:val="23"/>
          <w:szCs w:val="23"/>
        </w:rPr>
        <w:t xml:space="preserve">At the end of each field trip, file a trip report with the data manager outlining hours worked, field-crew members and their responsibilities on the project, and any </w:t>
      </w:r>
      <w:r w:rsidR="000567E3">
        <w:rPr>
          <w:sz w:val="23"/>
          <w:szCs w:val="23"/>
        </w:rPr>
        <w:t>unique situations encountered. T</w:t>
      </w:r>
      <w:r w:rsidRPr="009B47FD">
        <w:rPr>
          <w:sz w:val="23"/>
          <w:szCs w:val="23"/>
        </w:rPr>
        <w:t xml:space="preserve">his information is incorporated in the database and used during data analysis. This information is critical for identifying causes for discrepancies and inconsistencies in the data. The project </w:t>
      </w:r>
      <w:r w:rsidR="00DA1563">
        <w:rPr>
          <w:sz w:val="23"/>
          <w:szCs w:val="23"/>
        </w:rPr>
        <w:t>lead</w:t>
      </w:r>
      <w:r w:rsidR="006E0E10">
        <w:rPr>
          <w:sz w:val="23"/>
          <w:szCs w:val="23"/>
        </w:rPr>
        <w:t>er</w:t>
      </w:r>
      <w:r w:rsidRPr="009B47FD">
        <w:rPr>
          <w:sz w:val="23"/>
          <w:szCs w:val="23"/>
        </w:rPr>
        <w:t xml:space="preserve"> is responsible for filing all trip reports.</w:t>
      </w:r>
    </w:p>
    <w:p w14:paraId="37AD8C8E" w14:textId="77777777" w:rsidR="00247CD6" w:rsidRPr="009B47FD" w:rsidRDefault="00247CD6" w:rsidP="009B47FD">
      <w:pPr>
        <w:spacing w:after="200" w:line="276" w:lineRule="auto"/>
        <w:rPr>
          <w:sz w:val="23"/>
          <w:szCs w:val="23"/>
        </w:rPr>
      </w:pPr>
      <w:r>
        <w:rPr>
          <w:color w:val="000000"/>
          <w:sz w:val="23"/>
          <w:szCs w:val="23"/>
        </w:rPr>
        <w:t>The project lead</w:t>
      </w:r>
      <w:r w:rsidR="006E0E10">
        <w:rPr>
          <w:color w:val="000000"/>
          <w:sz w:val="23"/>
          <w:szCs w:val="23"/>
        </w:rPr>
        <w:t>er</w:t>
      </w:r>
      <w:r>
        <w:rPr>
          <w:color w:val="000000"/>
          <w:sz w:val="23"/>
          <w:szCs w:val="23"/>
        </w:rPr>
        <w:t xml:space="preserve"> also conducts an</w:t>
      </w:r>
      <w:r w:rsidRPr="00C77FE6">
        <w:rPr>
          <w:color w:val="000000"/>
          <w:sz w:val="23"/>
          <w:szCs w:val="23"/>
        </w:rPr>
        <w:t xml:space="preserve"> </w:t>
      </w:r>
      <w:r>
        <w:rPr>
          <w:color w:val="000000"/>
          <w:sz w:val="23"/>
          <w:szCs w:val="23"/>
        </w:rPr>
        <w:t xml:space="preserve">operational </w:t>
      </w:r>
      <w:r w:rsidRPr="00C77FE6">
        <w:rPr>
          <w:color w:val="000000"/>
          <w:sz w:val="23"/>
          <w:szCs w:val="23"/>
        </w:rPr>
        <w:t xml:space="preserve">review and data quality assessment, and authors </w:t>
      </w:r>
      <w:r>
        <w:rPr>
          <w:color w:val="000000"/>
          <w:sz w:val="23"/>
          <w:szCs w:val="23"/>
        </w:rPr>
        <w:t xml:space="preserve">a </w:t>
      </w:r>
      <w:r w:rsidRPr="00C77FE6">
        <w:rPr>
          <w:color w:val="000000"/>
          <w:sz w:val="23"/>
          <w:szCs w:val="23"/>
        </w:rPr>
        <w:t xml:space="preserve">report </w:t>
      </w:r>
      <w:r>
        <w:rPr>
          <w:color w:val="000000"/>
          <w:sz w:val="23"/>
          <w:szCs w:val="23"/>
        </w:rPr>
        <w:t xml:space="preserve">on their findings </w:t>
      </w:r>
      <w:r w:rsidRPr="00C77FE6">
        <w:rPr>
          <w:color w:val="000000"/>
          <w:sz w:val="23"/>
          <w:szCs w:val="23"/>
        </w:rPr>
        <w:t xml:space="preserve">with input from the sampling team. The program manager reviews the report. Final </w:t>
      </w:r>
      <w:r>
        <w:rPr>
          <w:color w:val="000000"/>
          <w:sz w:val="23"/>
          <w:szCs w:val="23"/>
        </w:rPr>
        <w:t xml:space="preserve">operational review </w:t>
      </w:r>
      <w:r w:rsidRPr="00C77FE6">
        <w:rPr>
          <w:color w:val="000000"/>
          <w:sz w:val="23"/>
          <w:szCs w:val="23"/>
        </w:rPr>
        <w:t xml:space="preserve">reports are stored on the HTLN server in the project’s </w:t>
      </w:r>
      <w:proofErr w:type="spellStart"/>
      <w:r w:rsidRPr="00C77FE6">
        <w:rPr>
          <w:color w:val="000000"/>
          <w:sz w:val="23"/>
          <w:szCs w:val="23"/>
        </w:rPr>
        <w:t>OpsReview</w:t>
      </w:r>
      <w:proofErr w:type="spellEnd"/>
      <w:r w:rsidRPr="00C77FE6">
        <w:rPr>
          <w:color w:val="000000"/>
          <w:sz w:val="23"/>
          <w:szCs w:val="23"/>
        </w:rPr>
        <w:t xml:space="preserve"> report folder.</w:t>
      </w:r>
    </w:p>
    <w:p w14:paraId="17F5E54D" w14:textId="77777777" w:rsidR="00F32FC5" w:rsidRDefault="00F32FC5" w:rsidP="00F32FC5">
      <w:pPr>
        <w:rPr>
          <w:sz w:val="24"/>
        </w:rPr>
      </w:pPr>
    </w:p>
    <w:p w14:paraId="4F6A79E9" w14:textId="77777777" w:rsidR="00F32FC5" w:rsidRDefault="00F32FC5" w:rsidP="00F32FC5">
      <w:pPr>
        <w:rPr>
          <w:sz w:val="24"/>
        </w:rPr>
      </w:pPr>
    </w:p>
    <w:p w14:paraId="42D3CFAA" w14:textId="77777777" w:rsidR="00F32FC5" w:rsidRDefault="00F32FC5" w:rsidP="00F32FC5">
      <w:pPr>
        <w:rPr>
          <w:sz w:val="24"/>
        </w:rPr>
      </w:pPr>
    </w:p>
    <w:p w14:paraId="52D27570" w14:textId="77777777" w:rsidR="00F32FC5" w:rsidRDefault="00F32FC5" w:rsidP="00F32FC5">
      <w:pPr>
        <w:rPr>
          <w:sz w:val="24"/>
        </w:rPr>
      </w:pPr>
    </w:p>
    <w:p w14:paraId="6EF02ADE" w14:textId="77777777" w:rsidR="00F32FC5" w:rsidRDefault="00F32FC5" w:rsidP="00F32FC5">
      <w:pPr>
        <w:rPr>
          <w:sz w:val="24"/>
        </w:rPr>
      </w:pPr>
    </w:p>
    <w:p w14:paraId="0EA9770B" w14:textId="77777777" w:rsidR="00F32FC5" w:rsidRDefault="00F32FC5" w:rsidP="00F32FC5">
      <w:pPr>
        <w:rPr>
          <w:sz w:val="24"/>
        </w:rPr>
      </w:pPr>
    </w:p>
    <w:p w14:paraId="1648A628" w14:textId="77777777" w:rsidR="00F32FC5" w:rsidRDefault="00F32FC5" w:rsidP="00F32FC5">
      <w:pPr>
        <w:rPr>
          <w:sz w:val="24"/>
        </w:rPr>
      </w:pPr>
    </w:p>
    <w:p w14:paraId="7C1B191B" w14:textId="77777777" w:rsidR="00F32FC5" w:rsidRDefault="00F32FC5" w:rsidP="00F32FC5">
      <w:pPr>
        <w:rPr>
          <w:sz w:val="24"/>
        </w:rPr>
      </w:pPr>
    </w:p>
    <w:p w14:paraId="369F1313" w14:textId="77777777" w:rsidR="00F32FC5" w:rsidRDefault="00F32FC5" w:rsidP="00F32FC5">
      <w:pPr>
        <w:rPr>
          <w:sz w:val="24"/>
        </w:rPr>
      </w:pPr>
    </w:p>
    <w:p w14:paraId="0FAB99E5" w14:textId="77777777" w:rsidR="00F32FC5" w:rsidRDefault="00F32FC5" w:rsidP="00F32FC5">
      <w:pPr>
        <w:rPr>
          <w:sz w:val="24"/>
        </w:rPr>
      </w:pPr>
    </w:p>
    <w:p w14:paraId="453B9F70" w14:textId="77777777" w:rsidR="00F32FC5" w:rsidRDefault="00F32FC5" w:rsidP="00F32FC5">
      <w:pPr>
        <w:rPr>
          <w:sz w:val="24"/>
        </w:rPr>
      </w:pPr>
    </w:p>
    <w:p w14:paraId="1B605CD6" w14:textId="77777777" w:rsidR="00F32FC5" w:rsidRDefault="00F32FC5" w:rsidP="00F32FC5">
      <w:pPr>
        <w:rPr>
          <w:sz w:val="24"/>
        </w:rPr>
      </w:pPr>
    </w:p>
    <w:p w14:paraId="5AD64CB7" w14:textId="77777777" w:rsidR="00F32FC5" w:rsidRDefault="00F32FC5" w:rsidP="00F32FC5">
      <w:pPr>
        <w:rPr>
          <w:sz w:val="24"/>
        </w:rPr>
      </w:pPr>
    </w:p>
    <w:p w14:paraId="6A49F38D" w14:textId="77777777" w:rsidR="00F32FC5" w:rsidRDefault="00F32FC5" w:rsidP="00F32FC5">
      <w:pPr>
        <w:rPr>
          <w:sz w:val="24"/>
        </w:rPr>
      </w:pPr>
    </w:p>
    <w:p w14:paraId="321157B8" w14:textId="77777777" w:rsidR="00F32FC5" w:rsidRDefault="00F32FC5" w:rsidP="00F32FC5">
      <w:pPr>
        <w:rPr>
          <w:sz w:val="24"/>
        </w:rPr>
      </w:pPr>
    </w:p>
    <w:sectPr w:rsidR="00F32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C5"/>
    <w:rsid w:val="000567E3"/>
    <w:rsid w:val="0019176E"/>
    <w:rsid w:val="00247CD6"/>
    <w:rsid w:val="00277DF6"/>
    <w:rsid w:val="005B23C1"/>
    <w:rsid w:val="006E0E10"/>
    <w:rsid w:val="007D1F91"/>
    <w:rsid w:val="008132A4"/>
    <w:rsid w:val="008B4116"/>
    <w:rsid w:val="00974051"/>
    <w:rsid w:val="009B47FD"/>
    <w:rsid w:val="00B07EEE"/>
    <w:rsid w:val="00B83ED6"/>
    <w:rsid w:val="00B92FFD"/>
    <w:rsid w:val="00C47615"/>
    <w:rsid w:val="00CD18BB"/>
    <w:rsid w:val="00CE4287"/>
    <w:rsid w:val="00D3000F"/>
    <w:rsid w:val="00D80E4A"/>
    <w:rsid w:val="00DA1563"/>
    <w:rsid w:val="00F32FC5"/>
    <w:rsid w:val="00FA7C6D"/>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C5D6"/>
  <w15:docId w15:val="{4E285ECB-F801-47D2-A248-F9FD3DB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2FC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8BB"/>
    <w:rPr>
      <w:color w:val="0000FF" w:themeColor="hyperlink"/>
      <w:u w:val="single"/>
    </w:rPr>
  </w:style>
  <w:style w:type="character" w:styleId="FollowedHyperlink">
    <w:name w:val="FollowedHyperlink"/>
    <w:basedOn w:val="DefaultParagraphFont"/>
    <w:uiPriority w:val="99"/>
    <w:semiHidden/>
    <w:unhideWhenUsed/>
    <w:rsid w:val="00C47615"/>
    <w:rPr>
      <w:color w:val="800080" w:themeColor="followedHyperlink"/>
      <w:u w:val="single"/>
    </w:rPr>
  </w:style>
  <w:style w:type="character" w:styleId="CommentReference">
    <w:name w:val="annotation reference"/>
    <w:basedOn w:val="DefaultParagraphFont"/>
    <w:uiPriority w:val="99"/>
    <w:semiHidden/>
    <w:unhideWhenUsed/>
    <w:rsid w:val="00C47615"/>
    <w:rPr>
      <w:sz w:val="16"/>
      <w:szCs w:val="16"/>
    </w:rPr>
  </w:style>
  <w:style w:type="paragraph" w:styleId="CommentText">
    <w:name w:val="annotation text"/>
    <w:basedOn w:val="Normal"/>
    <w:link w:val="CommentTextChar"/>
    <w:uiPriority w:val="99"/>
    <w:semiHidden/>
    <w:unhideWhenUsed/>
    <w:rsid w:val="00C47615"/>
  </w:style>
  <w:style w:type="character" w:customStyle="1" w:styleId="CommentTextChar">
    <w:name w:val="Comment Text Char"/>
    <w:basedOn w:val="DefaultParagraphFont"/>
    <w:link w:val="CommentText"/>
    <w:uiPriority w:val="99"/>
    <w:semiHidden/>
    <w:rsid w:val="00C476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7615"/>
    <w:rPr>
      <w:b/>
      <w:bCs/>
    </w:rPr>
  </w:style>
  <w:style w:type="character" w:customStyle="1" w:styleId="CommentSubjectChar">
    <w:name w:val="Comment Subject Char"/>
    <w:basedOn w:val="CommentTextChar"/>
    <w:link w:val="CommentSubject"/>
    <w:uiPriority w:val="99"/>
    <w:semiHidden/>
    <w:rsid w:val="00C4761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476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61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13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gebb.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National Park Service</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Peitz, David G.</dc:creator>
  <cp:lastModifiedBy>Peitz, David G</cp:lastModifiedBy>
  <cp:revision>2</cp:revision>
  <dcterms:created xsi:type="dcterms:W3CDTF">2020-03-30T13:50:00Z</dcterms:created>
  <dcterms:modified xsi:type="dcterms:W3CDTF">2020-03-30T13:50:00Z</dcterms:modified>
</cp:coreProperties>
</file>