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-296" w:hanging="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«Национальный исследовательский ядерный университет «МИФИ»</w:t>
      </w:r>
    </w:p>
    <w:p>
      <w:pPr>
        <w:pStyle w:val="Normal"/>
        <w:spacing w:lineRule="auto" w:line="240" w:before="0" w:after="0"/>
        <w:ind w:right="-296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(НИЯУ МИФИ)</w:t>
      </w:r>
    </w:p>
    <w:p>
      <w:pPr>
        <w:pStyle w:val="Normal"/>
        <w:spacing w:lineRule="auto" w:line="240" w:before="0" w:after="0"/>
        <w:ind w:right="-296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tbl>
      <w:tblPr>
        <w:tblpPr w:vertAnchor="page" w:horzAnchor="page" w:leftFromText="180" w:rightFromText="180" w:tblpX="2705" w:tblpY="2497"/>
        <w:tblW w:w="7638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1429"/>
        <w:gridCol w:w="6208"/>
      </w:tblGrid>
      <w:tr>
        <w:trPr>
          <w:trHeight w:val="1693" w:hRule="atLeast"/>
        </w:trPr>
        <w:tc>
          <w:tcPr>
            <w:tcW w:w="1429" w:type="dxa"/>
            <w:tcBorders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762000" cy="106680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Институт интеллектуальных кибернетических систем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Кафедра «Компьютерные системы и технологии»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br/>
        <w:br/>
        <w:br/>
        <w:br/>
        <w:br/>
        <w:br/>
      </w:r>
    </w:p>
    <w:p>
      <w:pPr>
        <w:pStyle w:val="Normal"/>
        <w:spacing w:lineRule="auto" w:line="240" w:before="480" w:after="0"/>
        <w:ind w:right="-296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r>
    </w:p>
    <w:p>
      <w:pPr>
        <w:pStyle w:val="Normal"/>
        <w:spacing w:lineRule="auto" w:line="240" w:before="480" w:after="0"/>
        <w:ind w:right="-296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Техническое задание на тему: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right="-296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ru-RU"/>
          <w14:ligatures w14:val="none"/>
        </w:rPr>
        <w:t>«</w:t>
      </w:r>
      <w:r>
        <w:rPr>
          <w:rFonts w:cs="Times New Roman" w:ascii="Times New Roman" w:hAnsi="Times New Roman"/>
          <w:sz w:val="36"/>
          <w:szCs w:val="36"/>
        </w:rPr>
        <w:t>Электронный облачный документооборот для машиностроения</w:t>
      </w: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ru-RU"/>
          <w14:ligatures w14:val="none"/>
        </w:rPr>
        <w:t>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br/>
        <w:br/>
        <w:br/>
        <w:br/>
      </w:r>
    </w:p>
    <w:tbl>
      <w:tblPr>
        <w:tblW w:w="9923" w:type="dxa"/>
        <w:jc w:val="left"/>
        <w:tblInd w:w="-284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856"/>
        <w:gridCol w:w="5066"/>
      </w:tblGrid>
      <w:tr>
        <w:trPr/>
        <w:tc>
          <w:tcPr>
            <w:tcW w:w="485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right="145" w:hanging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Выполнил студент группы Б20-523: </w:t>
            </w:r>
          </w:p>
        </w:tc>
        <w:tc>
          <w:tcPr>
            <w:tcW w:w="50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right="-296" w:hanging="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Овсянников Александр Юрьевич</w:t>
            </w:r>
          </w:p>
        </w:tc>
      </w:tr>
      <w:tr>
        <w:trPr/>
        <w:tc>
          <w:tcPr>
            <w:tcW w:w="485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W w:w="50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tcW w:w="485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right="145" w:hanging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Принял:</w:t>
            </w:r>
          </w:p>
        </w:tc>
        <w:tc>
          <w:tcPr>
            <w:tcW w:w="50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right="-296" w:hanging="0"/>
              <w:jc w:val="both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/ _______________ /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Хисамутдинов Марат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96" w:hanging="0"/>
              <w:jc w:val="both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/ _______________ /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Григорьев Михаил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96" w:hanging="0"/>
              <w:jc w:val="both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/>
                <w14:ligatures w14:val="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-296" w:hanging="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tcW w:w="485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W w:w="50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right="89" w:hanging="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tcW w:w="485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W w:w="5066" w:type="dxa"/>
            <w:tcBorders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120"/>
        <w:ind w:right="-296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120"/>
        <w:ind w:right="-296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120"/>
        <w:ind w:right="-296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120"/>
        <w:ind w:right="-296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120"/>
        <w:ind w:right="-296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120"/>
        <w:ind w:right="-296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120"/>
        <w:ind w:right="-296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120"/>
        <w:ind w:right="-296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120"/>
        <w:ind w:right="-296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120"/>
        <w:ind w:right="-296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120"/>
        <w:ind w:right="-296" w:hanging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120"/>
        <w:ind w:right="-296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Москва 2023 г.</w:t>
      </w:r>
      <w:r>
        <w:br w:type="page"/>
      </w:r>
    </w:p>
    <w:p>
      <w:pPr>
        <w:pStyle w:val="Normal"/>
        <w:spacing w:lineRule="auto" w:line="240" w:before="0" w:after="120"/>
        <w:ind w:right="-295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b/>
          <w:bCs/>
          <w:color w:val="000000"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  <w:id w:val="466242162"/>
      </w:sdtPr>
      <w:sdtContent>
        <w:p>
          <w:pPr>
            <w:pStyle w:val="Style25"/>
            <w:rPr/>
          </w:pPr>
          <w:r>
            <w:rPr/>
          </w:r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sz w:val="28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146311132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_Toc146311132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6311133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1.</w:t>
            </w: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8"/>
                <w:szCs w:val="28"/>
              </w:rPr>
              <w:t>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_Toc146311133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6311134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1.1. 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_Toc146311134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6311135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1.2. 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_Toc146311135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6311136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2.</w:t>
            </w: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8"/>
                <w:szCs w:val="28"/>
              </w:rPr>
              <w:t>Требование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_Toc146311136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6311137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2.1. Требования к серверной части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_Toc146311137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6311138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2.2. Требование к взаимодействию клиентской и серверной частей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_Toc146311138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6311139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2.3. Требование к клиентской части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_Toc146311139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6311140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3.</w:t>
            </w: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8"/>
                <w:szCs w:val="28"/>
              </w:rPr>
              <w:t>Требования к надёжности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_Toc146311140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6311141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4.</w:t>
            </w: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8"/>
                <w:szCs w:val="28"/>
              </w:rPr>
              <w:t>Технико-экономические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_Toc146311141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6311142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_Toc146311142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sz w:val="28"/>
              <w:szCs w:val="28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1"/>
        <w:rPr/>
      </w:pPr>
      <w:r>
        <w:rPr/>
        <w:tab/>
      </w:r>
      <w:bookmarkStart w:id="0" w:name="_Toc146311132"/>
      <w:r>
        <w:rPr/>
        <w:t>ВВЕДЕНИЕ</w:t>
      </w:r>
      <w:bookmarkEnd w:id="0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«</w:t>
      </w:r>
      <w:r>
        <w:rPr>
          <w:rFonts w:cs="Times New Roman" w:ascii="Times New Roman" w:hAnsi="Times New Roman"/>
          <w:sz w:val="28"/>
          <w:szCs w:val="28"/>
        </w:rPr>
        <w:t>Электронный облачный документооборот для машиностроения» - программа, упрощающая работу промышленных предприятий при работе с большим количеством бумажных документов и чертежей.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Большой проблемой на многих предприятиях машиностроения является чрезмерная бюрократия, из-за которой требуется хранить большое количество документов и чертежей, что может замедлить работу всего предприятия, из-за того, что всякий раз, когда необходимо получить нужный документ, либо чертёж нужной детали, нужно получить её физически. Также немаловажным фактором может являться потеря бумаг ввиду человеческого фактора.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Решением данных проблем может являться программа «Электронный облачный документооборот для машиностроения», которая имеет возможность создавать и редактировать документы формата .</w:t>
      </w:r>
      <w:r>
        <w:rPr>
          <w:rFonts w:cs="Times New Roman" w:ascii="Times New Roman" w:hAnsi="Times New Roman"/>
          <w:sz w:val="28"/>
          <w:szCs w:val="28"/>
          <w:lang w:val="en-US"/>
        </w:rPr>
        <w:t>pdf</w:t>
      </w:r>
      <w:r>
        <w:rPr>
          <w:rFonts w:cs="Times New Roman" w:ascii="Times New Roman" w:hAnsi="Times New Roman"/>
          <w:sz w:val="28"/>
          <w:szCs w:val="28"/>
        </w:rPr>
        <w:t xml:space="preserve"> и .</w:t>
      </w:r>
      <w:r>
        <w:rPr>
          <w:rFonts w:cs="Times New Roman" w:ascii="Times New Roman" w:hAnsi="Times New Roman"/>
          <w:sz w:val="28"/>
          <w:szCs w:val="28"/>
          <w:lang w:val="en-US"/>
        </w:rPr>
        <w:t>docx</w:t>
      </w:r>
      <w:r>
        <w:rPr>
          <w:rFonts w:cs="Times New Roman" w:ascii="Times New Roman" w:hAnsi="Times New Roman"/>
          <w:sz w:val="28"/>
          <w:szCs w:val="28"/>
        </w:rPr>
        <w:t>. Вся информация будет храниться на сервере. Вместе с файлами будет прикреплена необходимая информация для упрощения работы отделов. Пользователи будут иметь разные права в зависимости от их роли и состоять в разных группах (отделах). Роли определяют возможности пользователя в системе. Также предусмотрена возможность обмениваться сообщениями между пользователями.</w:t>
      </w:r>
    </w:p>
    <w:p>
      <w:pPr>
        <w:pStyle w:val="1"/>
        <w:numPr>
          <w:ilvl w:val="0"/>
          <w:numId w:val="5"/>
        </w:numPr>
        <w:rPr/>
      </w:pPr>
      <w:bookmarkStart w:id="1" w:name="_Toc146311133"/>
      <w:r>
        <w:rPr/>
        <w:t>Основания для разработки</w:t>
      </w:r>
      <w:bookmarkEnd w:id="1"/>
    </w:p>
    <w:p>
      <w:pPr>
        <w:pStyle w:val="1"/>
        <w:ind w:firstLine="708"/>
        <w:rPr/>
      </w:pPr>
      <w:bookmarkStart w:id="2" w:name="_Toc146311134"/>
      <w:r>
        <w:rPr/>
        <w:t>1.1. Функциональное назначение</w:t>
      </w:r>
      <w:bookmarkEnd w:id="2"/>
      <w:r>
        <w:rPr/>
        <w:t xml:space="preserve">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реализует следующий функционал: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Хранение на сервере технических документов – обёртки над основным файлом формата .</w:t>
      </w:r>
      <w:r>
        <w:rPr>
          <w:rFonts w:cs="Times New Roman" w:ascii="Times New Roman" w:hAnsi="Times New Roman"/>
          <w:sz w:val="28"/>
          <w:szCs w:val="28"/>
          <w:lang w:val="en-US"/>
        </w:rPr>
        <w:t>pdf</w:t>
      </w:r>
      <w:r>
        <w:rPr>
          <w:rFonts w:cs="Times New Roman" w:ascii="Times New Roman" w:hAnsi="Times New Roman"/>
          <w:sz w:val="28"/>
          <w:szCs w:val="28"/>
        </w:rPr>
        <w:t xml:space="preserve"> или .</w:t>
      </w:r>
      <w:r>
        <w:rPr>
          <w:rFonts w:cs="Times New Roman" w:ascii="Times New Roman" w:hAnsi="Times New Roman"/>
          <w:sz w:val="28"/>
          <w:szCs w:val="28"/>
          <w:lang w:val="en-US"/>
        </w:rPr>
        <w:t>docx</w:t>
      </w:r>
      <w:r>
        <w:rPr>
          <w:rFonts w:cs="Times New Roman" w:ascii="Times New Roman" w:hAnsi="Times New Roman"/>
          <w:sz w:val="28"/>
          <w:szCs w:val="28"/>
        </w:rPr>
        <w:t>. Технический документ дополнительно к файлу хранит: описание, назначение, историю изменений с датами, кто разрабатывает его и статус: в разработке, на подтверждении, готово. Также хранятся все предыдущие версии этого документа.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программе реализована система ролей. Всего будет 5 ролей, каждая из которых может совершать определенные действия над другими пользователями, группами, каталогами и техническими документами: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 Администратор: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группой: создать группу, прикрепить пользователя к группе и открепить от неё. Группа представляет из себя набор пользователей, которые объедены для совместной разработки конкретного продукта.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Каталоги: возможность создавать и удалять каталоги, а также изменять их содержимое в любых отделах.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Технические документы: возможность изменять, добавлять и удалять состав технического документа. Возможность подтверждать готовность ввода в эксплуатацию, указывая свою электронную подпись.  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Начальник отдела: те же возможности, что и у администратора, но только в рамках своего отдела. Начальника отдела назначает администратор.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Заместитель начальника отдела: те же возможности, что и у начальника отдела, но нет возможности изменять технические документы, на которых стоит подпись начальника отдела или администратора. Заместителя начальника отдела назначает администратор или начальник того же отдела.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Работник: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Группы: нет возможности изменять состав группы.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Каталоги: возможность создавать каталоги внутри каталога, на изменение которого есть доступ. Доступ получает от начальника или заместителя начальника отдела.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Технические документы: возможность изменять и добавлять новые файлы в технический документ. При добавлении отправляется запрос начальнику и заместителю начальника этого подразделения на подтверждение изменений. 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Посетитель: возможность просматривать технические документы, доступ на просмотр которого выдан начальником или заместителем начальника отдела.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Присутствует система регистрации пользователей, в которой они указывают следующий данные: логин, пароль, ФИО, должность и выбирают из списка отделов, к которому они хотят присоединиться. При регистрации, администратор, начальник или заместитель начальника выбранного отдела должны подтвердить добавление пользователя. В профиле можно будет поменять отдел, запрос на который также должны подтвердить.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Присутствует система авторизации и аутентификации. Для входа в систему пользователь должен предоставить логин и пароль.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 В программе присутствует возможность просматривать документы для неавторизованных пользователей, доступ к которым открыт для всех.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6) Наличие чата, в котором авторизованные пользователи могут отправлять друг другу сообщения. </w:t>
      </w:r>
    </w:p>
    <w:p>
      <w:pPr>
        <w:pStyle w:val="1"/>
        <w:ind w:firstLine="708"/>
        <w:rPr/>
      </w:pPr>
      <w:bookmarkStart w:id="3" w:name="_Toc146311135"/>
      <w:r>
        <w:rPr/>
        <w:t>1.2. Эксплуатационное назначение</w:t>
      </w:r>
      <w:bookmarkEnd w:id="3"/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способствует цифровизации промышленных предприятий для упрощения обмена данными как между отделами внутри одного предприятия, так и между разными компаниями. Программа также предназначена для хранение бумажных документов в электронном виде, что позволит предприятиям работать более эффективно, из-за уменьшения бюрократических нагрузок на сотрудников. </w:t>
      </w:r>
    </w:p>
    <w:p>
      <w:pPr>
        <w:pStyle w:val="1"/>
        <w:numPr>
          <w:ilvl w:val="0"/>
          <w:numId w:val="5"/>
        </w:numPr>
        <w:rPr/>
      </w:pPr>
      <w:bookmarkStart w:id="4" w:name="_Toc146311136"/>
      <w:r>
        <w:rPr/>
        <w:t>Требование к функциональным характеристикам</w:t>
      </w:r>
      <w:bookmarkEnd w:id="4"/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состоит из двух основных компонент: клиентской и серверной частей, между которыми должно быть налажено взаимодействие.</w:t>
      </w:r>
    </w:p>
    <w:p>
      <w:pPr>
        <w:pStyle w:val="1"/>
        <w:ind w:firstLine="708"/>
        <w:rPr/>
      </w:pPr>
      <w:bookmarkStart w:id="5" w:name="_Toc146311137"/>
      <w:r>
        <w:rPr/>
        <w:t>2.1. Требования к серверной части</w:t>
      </w:r>
      <w:bookmarkEnd w:id="5"/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серверной части должна быть реализована система хранения документов, доступ на изменение, чтение, добавление или удаление которых возможна только у пользователей с соответствующими правами. Также должны хранятся все предыдущие версии документов. Для этого должно быть налажено взаимодействие с базой данных.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Должна быть реализована система авторизации и регистрации, а также необходимо хранение учетных данных пользователей.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Должна быть реализована возможность отправки сообщения пользователям, а также хранение истории чатов на сервере. </w:t>
      </w:r>
    </w:p>
    <w:p>
      <w:pPr>
        <w:pStyle w:val="1"/>
        <w:ind w:firstLine="708"/>
        <w:rPr/>
      </w:pPr>
      <w:bookmarkStart w:id="6" w:name="_Toc146311138"/>
      <w:r>
        <w:rPr/>
        <w:t>2.2. Требование к взаимодействию клиентской и серверной частей</w:t>
      </w:r>
      <w:bookmarkEnd w:id="6"/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Взаимодействие между серверной и клиентской частями должно осуществляться посредством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 xml:space="preserve">-запросов. </w:t>
      </w:r>
    </w:p>
    <w:p>
      <w:pPr>
        <w:pStyle w:val="1"/>
        <w:ind w:firstLine="708"/>
        <w:rPr/>
      </w:pPr>
      <w:bookmarkStart w:id="7" w:name="_Toc146311139"/>
      <w:r>
        <w:rPr/>
        <w:t>2.3. Требование к клиентской части</w:t>
      </w:r>
      <w:bookmarkEnd w:id="7"/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Клиентская часть должна быть реализована в виде веб-приложения, запускаемого в браузере. Веб приложение должно предоставлять следующие возможности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Зарегистрироваться или авторизоваться в системе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Редактировать учётную запись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Просматривать, редактировать, добавлять или удалять технические документы, к которым пользователей имеет права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сообщение другому авторизованному пользователю</w:t>
      </w:r>
    </w:p>
    <w:p>
      <w:pPr>
        <w:pStyle w:val="ListParagraph"/>
        <w:ind w:left="1428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5"/>
        </w:numPr>
        <w:rPr/>
      </w:pPr>
      <w:bookmarkStart w:id="8" w:name="_Toc146311140"/>
      <w:r>
        <w:rPr/>
        <w:t>Требования к надёжности</w:t>
      </w:r>
      <w:bookmarkEnd w:id="8"/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Пользователю, работающему с программой через веб-браузер, должен быть предоставлен доступ к веб-приложению, расположенному по определённому url-адресу. Веб-сервис может прерывать свою работу в непредвиденных ситуациях, при обновлении системы на сервере и во время технических работ.</w:t>
      </w:r>
    </w:p>
    <w:p>
      <w:pPr>
        <w:pStyle w:val="1"/>
        <w:numPr>
          <w:ilvl w:val="0"/>
          <w:numId w:val="5"/>
        </w:numPr>
        <w:rPr/>
      </w:pPr>
      <w:bookmarkStart w:id="9" w:name="_Toc146311141"/>
      <w:r>
        <w:rPr/>
        <w:t>Технико-экономические показатели</w:t>
      </w:r>
      <w:bookmarkEnd w:id="9"/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Клиентская часть запускается через браузер. Требования к запуску клиентской части – наличие браузера Яндекс.Браузер версии 23.7.5 или другого браузера, работающего на </w:t>
      </w:r>
      <w:r>
        <w:rPr>
          <w:rFonts w:cs="Times New Roman" w:ascii="Times New Roman" w:hAnsi="Times New Roman"/>
          <w:sz w:val="28"/>
          <w:szCs w:val="28"/>
          <w:lang w:val="en-US"/>
        </w:rPr>
        <w:t>Chromium</w:t>
      </w:r>
      <w:r>
        <w:rPr>
          <w:rFonts w:cs="Times New Roman" w:ascii="Times New Roman" w:hAnsi="Times New Roman"/>
          <w:sz w:val="28"/>
          <w:szCs w:val="28"/>
        </w:rPr>
        <w:t xml:space="preserve"> начиная с версии 114.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Серверная часть может быть развернута на компьютере или на сервере, поэтому минимальное требование к запуску серверной части – наличие компьютера с 16 ГБ оперативной памяти, 70 ГБ памяти на жёстком диске и работающий на 64-разрядном процессоре с 6-ю ядрами, работающий на чистоте в 3.0 ГГц, например как AMD Ryzen 5 4600H. Сервер с такими параметрами может стоить около 4000 рублей в месяц.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Основной экономический прирост даёт сокращение бюрократической работы и цифровизация предприятия. Возможно перераспределение персонала с должностями и их автоматизация, которые завязаны только на работе с документами и их хранением, тем самым увеличивая эффективность их работы. Также разрабатываемый инструмент сокращает время сотрудников на заполнение бумажных документов, а также их хранения и передачу, поэтому работники могут больше времени уделять разработке, что положительно скажется на работе всего предприятия. </w:t>
      </w:r>
      <w:r>
        <w:br w:type="page"/>
      </w:r>
    </w:p>
    <w:p>
      <w:pPr>
        <w:pStyle w:val="1"/>
        <w:jc w:val="center"/>
        <w:rPr/>
      </w:pPr>
      <w:bookmarkStart w:id="10" w:name="_Toc146311142"/>
      <w:r>
        <w:rPr/>
        <w:t>СПИСОК ИСПОЛЬЗОВАННЫХ ИСТОЧНИКОВ</w:t>
      </w:r>
      <w:bookmarkEnd w:id="10"/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19.201-78.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"Единая система программной документации. Техническое задание. Требования к содержанию и оформлению.", 1978. –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  <w:lang w:val="en-US"/>
        </w:rPr>
        <w:t>URL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: </w:t>
      </w:r>
      <w:hyperlink r:id="rId3"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https</w:t>
        </w:r>
        <w:r>
          <w:rPr>
            <w:rFonts w:cs="Times New Roman" w:ascii="Times New Roman" w:hAnsi="Times New Roman"/>
            <w:sz w:val="28"/>
            <w:szCs w:val="28"/>
            <w:shd w:fill="FFFFFF" w:val="clear"/>
          </w:rPr>
          <w:t>://</w:t>
        </w:r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www</w:t>
        </w:r>
        <w:r>
          <w:rPr>
            <w:rFonts w:cs="Times New Roman" w:ascii="Times New Roman" w:hAnsi="Times New Roman"/>
            <w:sz w:val="28"/>
            <w:szCs w:val="28"/>
            <w:shd w:fill="FFFFFF" w:val="clear"/>
          </w:rPr>
          <w:t>.</w:t>
        </w:r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swrit</w:t>
        </w:r>
        <w:r>
          <w:rPr>
            <w:rFonts w:cs="Times New Roman" w:ascii="Times New Roman" w:hAnsi="Times New Roman"/>
            <w:sz w:val="28"/>
            <w:szCs w:val="28"/>
            <w:shd w:fill="FFFFFF" w:val="clear"/>
          </w:rPr>
          <w:t>.</w:t>
        </w:r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ru</w:t>
        </w:r>
        <w:r>
          <w:rPr>
            <w:rFonts w:cs="Times New Roman" w:ascii="Times New Roman" w:hAnsi="Times New Roman"/>
            <w:sz w:val="28"/>
            <w:szCs w:val="28"/>
            <w:shd w:fill="FFFFFF" w:val="clear"/>
          </w:rPr>
          <w:t>/</w:t>
        </w:r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doc</w:t>
        </w:r>
        <w:r>
          <w:rPr>
            <w:rFonts w:cs="Times New Roman" w:ascii="Times New Roman" w:hAnsi="Times New Roman"/>
            <w:sz w:val="28"/>
            <w:szCs w:val="28"/>
            <w:shd w:fill="FFFFFF" w:val="clear"/>
          </w:rPr>
          <w:t>/</w:t>
        </w:r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espd</w:t>
        </w:r>
        <w:r>
          <w:rPr>
            <w:rFonts w:cs="Times New Roman" w:ascii="Times New Roman" w:hAnsi="Times New Roman"/>
            <w:sz w:val="28"/>
            <w:szCs w:val="28"/>
            <w:shd w:fill="FFFFFF" w:val="clear"/>
          </w:rPr>
          <w:t>/19.201-78.</w:t>
        </w:r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pdf</w:t>
        </w:r>
      </w:hyperlink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 7.32-2017.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"Система стандартов по информации, библиотечному и издательскому делу. Отчет о научно-исследовательской работе. Структура и правила оформления", 2017. –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  <w:lang w:val="en-US"/>
        </w:rPr>
        <w:t>URL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: </w:t>
      </w:r>
      <w:hyperlink r:id="rId4"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https</w:t>
        </w:r>
        <w:r>
          <w:rPr>
            <w:rFonts w:cs="Times New Roman" w:ascii="Times New Roman" w:hAnsi="Times New Roman"/>
            <w:sz w:val="28"/>
            <w:szCs w:val="28"/>
            <w:shd w:fill="FFFFFF" w:val="clear"/>
          </w:rPr>
          <w:t>://</w:t>
        </w:r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www</w:t>
        </w:r>
        <w:r>
          <w:rPr>
            <w:rFonts w:cs="Times New Roman" w:ascii="Times New Roman" w:hAnsi="Times New Roman"/>
            <w:sz w:val="28"/>
            <w:szCs w:val="28"/>
            <w:shd w:fill="FFFFFF" w:val="clear"/>
          </w:rPr>
          <w:t>.</w:t>
        </w:r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rea</w:t>
        </w:r>
        <w:r>
          <w:rPr>
            <w:rFonts w:cs="Times New Roman" w:ascii="Times New Roman" w:hAnsi="Times New Roman"/>
            <w:sz w:val="28"/>
            <w:szCs w:val="28"/>
            <w:shd w:fill="FFFFFF" w:val="clear"/>
          </w:rPr>
          <w:t>.</w:t>
        </w:r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ru</w:t>
        </w:r>
        <w:r>
          <w:rPr>
            <w:rFonts w:cs="Times New Roman" w:ascii="Times New Roman" w:hAnsi="Times New Roman"/>
            <w:sz w:val="28"/>
            <w:szCs w:val="28"/>
            <w:shd w:fill="FFFFFF" w:val="clear"/>
          </w:rPr>
          <w:t>/</w:t>
        </w:r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ru</w:t>
        </w:r>
        <w:r>
          <w:rPr>
            <w:rFonts w:cs="Times New Roman" w:ascii="Times New Roman" w:hAnsi="Times New Roman"/>
            <w:sz w:val="28"/>
            <w:szCs w:val="28"/>
            <w:shd w:fill="FFFFFF" w:val="clear"/>
          </w:rPr>
          <w:t>/</w:t>
        </w:r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org</w:t>
        </w:r>
        <w:r>
          <w:rPr>
            <w:rFonts w:cs="Times New Roman" w:ascii="Times New Roman" w:hAnsi="Times New Roman"/>
            <w:sz w:val="28"/>
            <w:szCs w:val="28"/>
            <w:shd w:fill="FFFFFF" w:val="clear"/>
          </w:rPr>
          <w:t>/</w:t>
        </w:r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managements</w:t>
        </w:r>
        <w:r>
          <w:rPr>
            <w:rFonts w:cs="Times New Roman" w:ascii="Times New Roman" w:hAnsi="Times New Roman"/>
            <w:sz w:val="28"/>
            <w:szCs w:val="28"/>
            <w:shd w:fill="FFFFFF" w:val="clear"/>
          </w:rPr>
          <w:t>/</w:t>
        </w:r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orgnirupr</w:t>
        </w:r>
        <w:r>
          <w:rPr>
            <w:rFonts w:cs="Times New Roman" w:ascii="Times New Roman" w:hAnsi="Times New Roman"/>
            <w:sz w:val="28"/>
            <w:szCs w:val="28"/>
            <w:shd w:fill="FFFFFF" w:val="clear"/>
          </w:rPr>
          <w:t>/</w:t>
        </w:r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Documents</w:t>
        </w:r>
        <w:r>
          <w:rPr>
            <w:rFonts w:cs="Times New Roman" w:ascii="Times New Roman" w:hAnsi="Times New Roman"/>
            <w:sz w:val="28"/>
            <w:szCs w:val="28"/>
            <w:shd w:fill="FFFFFF" w:val="clear"/>
          </w:rPr>
          <w:t>/</w:t>
        </w:r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gost</w:t>
        </w:r>
        <w:r>
          <w:rPr>
            <w:rFonts w:cs="Times New Roman" w:ascii="Times New Roman" w:hAnsi="Times New Roman"/>
            <w:sz w:val="28"/>
            <w:szCs w:val="28"/>
            <w:shd w:fill="FFFFFF" w:val="clear"/>
          </w:rPr>
          <w:t>_7.32-2017.</w:t>
        </w:r>
        <w:r>
          <w:rPr>
            <w:rFonts w:cs="Times New Roman" w:ascii="Times New Roman" w:hAnsi="Times New Roman"/>
            <w:sz w:val="28"/>
            <w:szCs w:val="28"/>
            <w:shd w:fill="FFFFFF" w:val="clear"/>
            <w:lang w:val="en-US"/>
          </w:rPr>
          <w:t>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54404734"/>
    </w:sdtPr>
    <w:sdtContent>
      <w:p>
        <w:pPr>
          <w:pStyle w:val="Style29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8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8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8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8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8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68" w:hanging="21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rsid w:val="005b7dd7"/>
    <w:pPr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5b7dd7"/>
    <w:rPr>
      <w:rFonts w:ascii="Times New Roman" w:hAnsi="Times New Roman" w:cs="Times New Roman"/>
      <w:b/>
      <w:bCs/>
      <w:sz w:val="28"/>
      <w:szCs w:val="28"/>
    </w:rPr>
  </w:style>
  <w:style w:type="character" w:styleId="Style13">
    <w:name w:val="Интернет-ссылка"/>
    <w:basedOn w:val="DefaultParagraphFont"/>
    <w:uiPriority w:val="99"/>
    <w:unhideWhenUsed/>
    <w:rsid w:val="00552abb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552abb"/>
    <w:rPr/>
  </w:style>
  <w:style w:type="character" w:styleId="Style14" w:customStyle="1">
    <w:name w:val="Заголовок Знак"/>
    <w:basedOn w:val="DefaultParagraphFont"/>
    <w:uiPriority w:val="10"/>
    <w:qFormat/>
    <w:rsid w:val="00552ab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e803bd"/>
    <w:rPr/>
  </w:style>
  <w:style w:type="character" w:styleId="Style16" w:customStyle="1">
    <w:name w:val="Нижний колонтитул Знак"/>
    <w:basedOn w:val="DefaultParagraphFont"/>
    <w:uiPriority w:val="99"/>
    <w:qFormat/>
    <w:rsid w:val="00e803bd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ef3196"/>
    <w:rPr>
      <w:color w:val="605E5C"/>
      <w:shd w:fill="E1DFDD" w:val="clear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ef3196"/>
    <w:rPr>
      <w:color w:val="954F72" w:themeColor="followedHyperlink"/>
      <w:u w:val="single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76a4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Style24">
    <w:name w:val="Index Heading"/>
    <w:basedOn w:val="Style19"/>
    <w:pPr/>
    <w:rPr/>
  </w:style>
  <w:style w:type="paragraph" w:styleId="Style25">
    <w:name w:val="TOC Heading"/>
    <w:basedOn w:val="1"/>
    <w:next w:val="Normal"/>
    <w:uiPriority w:val="39"/>
    <w:unhideWhenUsed/>
    <w:qFormat/>
    <w:rsid w:val="00552abb"/>
    <w:pPr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Normal"/>
    <w:next w:val="Normal"/>
    <w:autoRedefine/>
    <w:uiPriority w:val="39"/>
    <w:unhideWhenUsed/>
    <w:rsid w:val="00552abb"/>
    <w:pPr>
      <w:spacing w:before="0" w:after="100"/>
    </w:pPr>
    <w:rPr/>
  </w:style>
  <w:style w:type="paragraph" w:styleId="Style26">
    <w:name w:val="Title"/>
    <w:basedOn w:val="Normal"/>
    <w:next w:val="Normal"/>
    <w:link w:val="Style14"/>
    <w:uiPriority w:val="10"/>
    <w:qFormat/>
    <w:rsid w:val="00552ab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d2f06"/>
    <w:pPr>
      <w:spacing w:before="0" w:after="160"/>
      <w:ind w:left="720" w:hanging="0"/>
      <w:contextualSpacing/>
    </w:pPr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link w:val="Style15"/>
    <w:uiPriority w:val="99"/>
    <w:unhideWhenUsed/>
    <w:rsid w:val="00e803b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link w:val="Style16"/>
    <w:uiPriority w:val="99"/>
    <w:unhideWhenUsed/>
    <w:rsid w:val="00e803b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swrit.ru/doc/espd/19.201-78.pdf" TargetMode="External"/><Relationship Id="rId4" Type="http://schemas.openxmlformats.org/officeDocument/2006/relationships/hyperlink" Target="https://www.rea.ru/ru/org/managements/orgnirupr/Documents/gost_7.32-2017.pdf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FA968-B579-4182-90C4-A15D9DB4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Application>LibreOffice/7.3.7.2$Linux_X86_64 LibreOffice_project/30$Build-2</Application>
  <AppVersion>15.0000</AppVersion>
  <Pages>7</Pages>
  <Words>1048</Words>
  <Characters>7496</Characters>
  <CharactersWithSpaces>8483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2023-09-13T15:39:00Z</dcterms:created>
  <dc:creator>Александр Овсянников</dc:creator>
  <dc:description/>
  <dc:language>ru-RU</dc:language>
  <cp:lastModifiedBy/>
  <dcterms:modified xsi:type="dcterms:W3CDTF">2024-01-01T22:03:04Z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