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4.png" ContentType="image/png"/>
  <Override PartName="/word/media/rId41.png" ContentType="image/png"/>
  <Override PartName="/word/media/rId4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Yipene Harold Ezekiel BASSOLE</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8"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7" w:name="modèles-utilisés"/>
    <w:p>
      <w:pPr>
        <w:pStyle w:val="Heading2"/>
      </w:pPr>
      <w:r>
        <w:t xml:space="preserve">Modèles utilisés</w:t>
      </w:r>
    </w:p>
    <w:p>
      <w:pPr>
        <w:pStyle w:val="FirstParagraph"/>
      </w:pPr>
      <w:r>
        <w:t xml:space="preserve">Trois algorithmes ont été implémentés et comparés :</w:t>
      </w:r>
    </w:p>
    <w:bookmarkStart w:id="13" w:name="régression-logistique"/>
    <w:p>
      <w:pPr>
        <w:pStyle w:val="Heading3"/>
      </w:pPr>
      <w:r>
        <w:t xml:space="preserve">1. Régression Logistique</w:t>
      </w:r>
    </w:p>
    <w:p>
      <w:pPr>
        <w:pStyle w:val="FirstParagraph"/>
      </w:pPr>
      <w:r>
        <w:t xml:space="preserve">Modèle linéaire avec</w:t>
      </w:r>
      <w:r>
        <w:t xml:space="preserve"> </w:t>
      </w:r>
      <w:r>
        <w:rPr>
          <w:rStyle w:val="VerbatimChar"/>
        </w:rPr>
        <w:t xml:space="preserve">class_weight="balanced"</w:t>
      </w:r>
      <w:r>
        <w:t xml:space="preserve"> </w:t>
      </w:r>
      <w:r>
        <w:t xml:space="preserve">pour gérer le déséquilibre des classes. Limité à 1000 itérations pour assurer la convergence.</w:t>
      </w:r>
    </w:p>
    <w:bookmarkEnd w:id="13"/>
    <w:bookmarkStart w:id="14" w:name="naive-bayes-multinomial"/>
    <w:p>
      <w:pPr>
        <w:pStyle w:val="Heading3"/>
      </w:pPr>
      <w:r>
        <w:t xml:space="preserve">2. Naive Bayes (Multinomial)</w:t>
      </w:r>
    </w:p>
    <w:p>
      <w:pPr>
        <w:pStyle w:val="FirstParagraph"/>
      </w:pPr>
      <w:r>
        <w:t xml:space="preserve">Classifieur probabiliste adapté aux données de comptage (TF-IDF). Performant sur les textes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 Capture les interactions non linéaires entre les mots.</w:t>
      </w:r>
    </w:p>
    <w:bookmarkEnd w:id="15"/>
    <w:bookmarkStart w:id="16" w:name="gestion-du-déséquilibre"/>
    <w:p>
      <w:pPr>
        <w:pStyle w:val="Heading3"/>
      </w:pPr>
      <w:r>
        <w:t xml:space="preserve">Gestion du déséquilibre</w:t>
      </w:r>
    </w:p>
    <w:p>
      <w:pPr>
        <w:pStyle w:val="FirstParagraph"/>
      </w:pPr>
      <w:r>
        <w:t xml:space="preserve">La classe suspect est sous-représentée. La stratégie</w:t>
      </w:r>
      <w:r>
        <w:t xml:space="preserve"> </w:t>
      </w:r>
      <w:r>
        <w:rPr>
          <w:rStyle w:val="VerbatimChar"/>
        </w:rPr>
        <w:t xml:space="preserve">class_weight="balanced"</w:t>
      </w:r>
      <w:r>
        <w:t xml:space="preserve"> </w:t>
      </w:r>
      <w:r>
        <w:t xml:space="preserve">ajuste les poids automatiquement. Une alternative (SMOTE) pourra être testée en optimisation.</w:t>
      </w:r>
    </w:p>
    <w:bookmarkEnd w:id="16"/>
    <w:bookmarkEnd w:id="17"/>
    <w:bookmarkEnd w:id="18"/>
    <w:bookmarkStart w:id="29" w:name="résultats"/>
    <w:p>
      <w:pPr>
        <w:pStyle w:val="Heading1"/>
      </w:pPr>
      <w:r>
        <w:t xml:space="preserve">Résultats</w:t>
      </w:r>
    </w:p>
    <w:bookmarkStart w:id="19" w:name="performances-des-modèles"/>
    <w:p>
      <w:pPr>
        <w:pStyle w:val="Heading2"/>
      </w:pPr>
      <w:r>
        <w:t xml:space="preserve">Performances des modèles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Modèle</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Logistic Regression</w:t>
            </w:r>
          </w:p>
        </w:tc>
        <w:tc>
          <w:tcPr/>
          <w:p>
            <w:pPr>
              <w:pStyle w:val="Compact"/>
            </w:pPr>
            <w:r>
              <w:t xml:space="preserve">97.04%</w:t>
            </w:r>
          </w:p>
        </w:tc>
        <w:tc>
          <w:tcPr/>
          <w:p>
            <w:pPr>
              <w:pStyle w:val="Compact"/>
            </w:pPr>
            <w:r>
              <w:t xml:space="preserve">98.10%</w:t>
            </w:r>
          </w:p>
        </w:tc>
        <w:tc>
          <w:tcPr/>
          <w:p>
            <w:pPr>
              <w:pStyle w:val="Compact"/>
            </w:pPr>
            <w:r>
              <w:t xml:space="preserve">98.61%</w:t>
            </w:r>
          </w:p>
        </w:tc>
        <w:tc>
          <w:tcPr/>
          <w:p>
            <w:pPr>
              <w:pStyle w:val="Compact"/>
            </w:pPr>
            <w:r>
              <w:t xml:space="preserve">98.36%</w:t>
            </w:r>
          </w:p>
        </w:tc>
      </w:tr>
      <w:tr>
        <w:tc>
          <w:tcPr/>
          <w:p>
            <w:pPr>
              <w:pStyle w:val="Compact"/>
            </w:pPr>
            <w:r>
              <w:t xml:space="preserve">Naive Bayes</w:t>
            </w:r>
          </w:p>
        </w:tc>
        <w:tc>
          <w:tcPr/>
          <w:p>
            <w:pPr>
              <w:pStyle w:val="Compact"/>
            </w:pPr>
            <w:r>
              <w:t xml:space="preserve">92.76%</w:t>
            </w:r>
          </w:p>
        </w:tc>
        <w:tc>
          <w:tcPr/>
          <w:p>
            <w:pPr>
              <w:pStyle w:val="Compact"/>
            </w:pPr>
            <w:r>
              <w:t xml:space="preserve">92.57%</w:t>
            </w:r>
          </w:p>
        </w:tc>
        <w:tc>
          <w:tcPr/>
          <w:p>
            <w:pPr>
              <w:pStyle w:val="Compact"/>
            </w:pPr>
            <w:r>
              <w:t xml:space="preserve">99.95%</w:t>
            </w:r>
          </w:p>
        </w:tc>
        <w:tc>
          <w:tcPr/>
          <w:p>
            <w:pPr>
              <w:pStyle w:val="Compact"/>
            </w:pPr>
            <w:r>
              <w:t xml:space="preserve">96.12%</w:t>
            </w:r>
          </w:p>
        </w:tc>
      </w:tr>
      <w:tr>
        <w:tc>
          <w:tcPr/>
          <w:p>
            <w:pPr>
              <w:pStyle w:val="Compact"/>
            </w:pPr>
            <w:r>
              <w:t xml:space="preserve">Random Forest</w:t>
            </w:r>
          </w:p>
        </w:tc>
        <w:tc>
          <w:tcPr/>
          <w:p>
            <w:pPr>
              <w:pStyle w:val="Compact"/>
            </w:pPr>
            <w:r>
              <w:t xml:space="preserve">97.54%</w:t>
            </w:r>
          </w:p>
        </w:tc>
        <w:tc>
          <w:tcPr/>
          <w:p>
            <w:pPr>
              <w:pStyle w:val="Compact"/>
            </w:pPr>
            <w:r>
              <w:t xml:space="preserve">98.16%</w:t>
            </w:r>
          </w:p>
        </w:tc>
        <w:tc>
          <w:tcPr/>
          <w:p>
            <w:pPr>
              <w:pStyle w:val="Compact"/>
            </w:pPr>
            <w:r>
              <w:t xml:space="preserve">99.12%</w:t>
            </w:r>
          </w:p>
        </w:tc>
        <w:tc>
          <w:tcPr/>
          <w:p>
            <w:pPr>
              <w:pStyle w:val="Compact"/>
            </w:pPr>
            <w:r>
              <w:t xml:space="preserve">98.64%</w:t>
            </w:r>
          </w:p>
        </w:tc>
      </w:tr>
    </w:tbl>
    <w:p>
      <w:pPr>
        <w:pStyle w:val="BodyText"/>
      </w:pPr>
      <w:r>
        <w:t xml:space="preserve">Le</w:t>
      </w:r>
      <w:r>
        <w:t xml:space="preserve"> </w:t>
      </w:r>
      <w:r>
        <w:rPr>
          <w:b/>
          <w:bCs/>
        </w:rPr>
        <w:t xml:space="preserve">Random Forest</w:t>
      </w:r>
      <w:r>
        <w:t xml:space="preserve"> </w:t>
      </w:r>
      <w:r>
        <w:t xml:space="preserve">obtient les meilleures performances globales avec un F1-Score de</w:t>
      </w:r>
      <w:r>
        <w:t xml:space="preserve"> </w:t>
      </w:r>
      <w:r>
        <w:rPr>
          <w:b/>
          <w:bCs/>
        </w:rPr>
        <w:t xml:space="preserve">98.64%</w:t>
      </w:r>
      <w:r>
        <w:t xml:space="preserve">.</w:t>
      </w:r>
    </w:p>
    <w:bookmarkEnd w:id="19"/>
    <w:bookmarkStart w:id="23"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title="" id="21" name="Picture"/>
            <a:graphic>
              <a:graphicData uri="http://schemas.openxmlformats.org/drawingml/2006/picture">
                <pic:pic>
                  <pic:nvPicPr>
                    <pic:cNvPr descr="reports/figures/confusion_matrices_notebook.png" id="22" name="Picture"/>
                    <pic:cNvPicPr>
                      <a:picLocks noChangeArrowheads="1" noChangeAspect="1"/>
                    </pic:cNvPicPr>
                  </pic:nvPicPr>
                  <pic:blipFill>
                    <a:blip r:embed="rId20"/>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w:t>
      </w:r>
    </w:p>
    <w:p>
      <w:pPr>
        <w:pStyle w:val="BodyText"/>
      </w:pPr>
      <w:r>
        <w:t xml:space="preserve">Lecture : VN (haut-gauche), FP (haut-droite), FN (bas-gauche), VP (bas-droite).</w:t>
      </w:r>
    </w:p>
    <w:bookmarkEnd w:id="23"/>
    <w:bookmarkStart w:id="27" w:name="courbes-roc-et-auc"/>
    <w:p>
      <w:pPr>
        <w:pStyle w:val="Heading2"/>
      </w:pPr>
      <w:r>
        <w:t xml:space="preserve">Courbes ROC et AUC</w:t>
      </w:r>
    </w:p>
    <w:p>
      <w:pPr>
        <w:pStyle w:val="CaptionedFigure"/>
      </w:pPr>
      <w:r>
        <w:drawing>
          <wp:inline>
            <wp:extent cx="5334000" cy="3760629"/>
            <wp:effectExtent b="0" l="0" r="0" t="0"/>
            <wp:docPr descr="Courbes ROC des 3 modèles" title="" id="25" name="Picture"/>
            <a:graphic>
              <a:graphicData uri="http://schemas.openxmlformats.org/drawingml/2006/picture">
                <pic:pic>
                  <pic:nvPicPr>
                    <pic:cNvPr descr="reports/figures/roc_curves_notebook.png" id="26" name="Picture"/>
                    <pic:cNvPicPr>
                      <a:picLocks noChangeArrowheads="1" noChangeAspect="1"/>
                    </pic:cNvPicPr>
                  </pic:nvPicPr>
                  <pic:blipFill>
                    <a:blip r:embed="rId24"/>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trois modèles présentent une AUC supérieure à 0.97, confirmant leur capacité de discrimination.</w:t>
      </w:r>
    </w:p>
    <w:bookmarkEnd w:id="27"/>
    <w:bookmarkStart w:id="28" w:name="validation-croisée"/>
    <w:p>
      <w:pPr>
        <w:pStyle w:val="Heading2"/>
      </w:pPr>
      <w:r>
        <w:t xml:space="preserve">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a été appliquée pour évaluer la stabilité des modèles (résultats dans</w:t>
      </w:r>
      <w:r>
        <w:t xml:space="preserve"> </w:t>
      </w:r>
      <w:r>
        <w:rPr>
          <w:rStyle w:val="VerbatimChar"/>
        </w:rPr>
        <w:t xml:space="preserve">notebooks/02_modeling.ipynb</w:t>
      </w:r>
      <w:r>
        <w:t xml:space="preserve">).</w:t>
      </w:r>
    </w:p>
    <w:bookmarkEnd w:id="28"/>
    <w:bookmarkEnd w:id="29"/>
    <w:bookmarkStart w:id="32"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w:t>
      </w:r>
    </w:p>
    <w:p>
      <w:pPr>
        <w:pStyle w:val="Compact"/>
        <w:numPr>
          <w:ilvl w:val="0"/>
          <w:numId w:val="1004"/>
        </w:numPr>
      </w:pPr>
      <w:r>
        <w:rPr>
          <w:b/>
          <w:bCs/>
        </w:rPr>
        <w:t xml:space="preserve">train</w:t>
      </w:r>
      <w:r>
        <w:t xml:space="preserve"> </w:t>
      </w:r>
      <w:r>
        <w:t xml:space="preserve">: entraînement des 3 modèles avec TF-IDF</w:t>
      </w:r>
    </w:p>
    <w:p>
      <w:pPr>
        <w:pStyle w:val="Compact"/>
        <w:numPr>
          <w:ilvl w:val="0"/>
          <w:numId w:val="1004"/>
        </w:numPr>
      </w:pPr>
      <w:r>
        <w:rPr>
          <w:b/>
          <w:bCs/>
        </w:rPr>
        <w:t xml:space="preserve">evaluate</w:t>
      </w:r>
      <w:r>
        <w:t xml:space="preserve"> </w:t>
      </w:r>
      <w:r>
        <w:t xml:space="preserve">: calcul des métriques et génération des graphiques</w:t>
      </w:r>
    </w:p>
    <w:bookmarkStart w:id="30" w:name="commandes-essentielles"/>
    <w:p>
      <w:pPr>
        <w:pStyle w:val="Heading3"/>
      </w:pPr>
      <w:r>
        <w:t xml:space="preserve">Commandes essentielles</w:t>
      </w:r>
    </w:p>
    <w:p>
      <w:pPr>
        <w:pStyle w:val="SourceCode"/>
      </w:pPr>
      <w:r>
        <w:rPr>
          <w:rStyle w:val="VerbatimChar"/>
        </w:rPr>
        <w:t xml:space="preserve">uv run dvc repro          # Exécuter le pipeline</w:t>
      </w:r>
      <w:r>
        <w:br/>
      </w:r>
      <w:r>
        <w:rPr>
          <w:rStyle w:val="VerbatimChar"/>
        </w:rPr>
        <w:t xml:space="preserve">uv run dvc status         # Vérifier l'état</w:t>
      </w:r>
      <w:r>
        <w:br/>
      </w:r>
      <w:r>
        <w:rPr>
          <w:rStyle w:val="VerbatimChar"/>
        </w:rPr>
        <w:t xml:space="preserve">uv run dvc checkout       # Restaurer depuis le cache</w:t>
      </w:r>
      <w:r>
        <w:br/>
      </w:r>
      <w:r>
        <w:rPr>
          <w:rStyle w:val="VerbatimChar"/>
        </w:rPr>
        <w:t xml:space="preserve">uv run dvc pull           # Récupérer depuis le remote</w:t>
      </w:r>
      <w:r>
        <w:br/>
      </w:r>
      <w:r>
        <w:rPr>
          <w:rStyle w:val="VerbatimChar"/>
        </w:rPr>
        <w:t xml:space="preserve">uv run dvc push           # Pousser vers le remote</w:t>
      </w:r>
    </w:p>
    <w:bookmarkEnd w:id="30"/>
    <w:bookmarkStart w:id="31" w:name="reproductibilité-complète"/>
    <w:p>
      <w:pPr>
        <w:pStyle w:val="Heading3"/>
      </w:pPr>
      <w:r>
        <w:t xml:space="preserve">Reproductibilité complète</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w:t>
      </w:r>
      <w:r>
        <w:br/>
      </w:r>
      <w:r>
        <w:rPr>
          <w:rStyle w:val="VerbatimChar"/>
        </w:rPr>
        <w:t xml:space="preserve">uv run dvc repro</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End w:id="31"/>
    <w:bookmarkEnd w:id="32"/>
    <w:bookmarkStart w:id="33"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33"/>
    <w:bookmarkStart w:id="51"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 3 onglets avec une interface interactive :</w:t>
      </w:r>
    </w:p>
    <w:bookmarkStart w:id="40" w:name="prediction"/>
    <w:p>
      <w:pPr>
        <w:pStyle w:val="Heading3"/>
      </w:pPr>
      <w:r>
        <w:t xml:space="preserve">Prediction</w:t>
      </w:r>
    </w:p>
    <w:p>
      <w:pPr>
        <w:pStyle w:val="FirstParagraph"/>
      </w:pPr>
      <w:r>
        <w:t xml:space="preserve">Saisie d’un tweet et classification par les 3 modèles (Logistic Regression, Naive Bayes, Random Forest) avec score de confiance affiché sous forme de barre de progression.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35" name="Picture"/>
            <a:graphic>
              <a:graphicData uri="http://schemas.openxmlformats.org/drawingml/2006/picture">
                <pic:pic>
                  <pic:nvPicPr>
                    <pic:cNvPr descr="reports/figures/streamlit_app.png" id="36" name="Picture"/>
                    <pic:cNvPicPr>
                      <a:picLocks noChangeArrowheads="1" noChangeAspect="1"/>
                    </pic:cNvPicPr>
                  </pic:nvPicPr>
                  <pic:blipFill>
                    <a:blip r:embed="rId34"/>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38" name="Picture"/>
            <a:graphic>
              <a:graphicData uri="http://schemas.openxmlformats.org/drawingml/2006/picture">
                <pic:pic>
                  <pic:nvPicPr>
                    <pic:cNvPr descr="reports/figures/streamlit_prediction.png" id="39" name="Picture"/>
                    <pic:cNvPicPr>
                      <a:picLocks noChangeArrowheads="1" noChangeAspect="1"/>
                    </pic:cNvPicPr>
                  </pic:nvPicPr>
                  <pic:blipFill>
                    <a:blip r:embed="rId37"/>
                    <a:stretch>
                      <a:fillRect/>
                    </a:stretch>
                  </pic:blipFill>
                  <pic:spPr bwMode="auto">
                    <a:xfrm>
                      <a:off x="0" y="0"/>
                      <a:ext cx="5334000" cy="3750468"/>
                    </a:xfrm>
                    <a:prstGeom prst="rect">
                      <a:avLst/>
                    </a:prstGeom>
                    <a:noFill/>
                    <a:ln w="9525">
                      <a:noFill/>
                      <a:headEnd/>
                      <a:tailEnd/>
                    </a:ln>
                  </pic:spPr>
                </pic:pic>
              </a:graphicData>
            </a:graphic>
          </wp:inline>
        </w:drawing>
      </w:r>
    </w:p>
    <w:bookmarkEnd w:id="40"/>
    <w:bookmarkStart w:id="44" w:name="tableau-de-bord-dynamique"/>
    <w:p>
      <w:pPr>
        <w:pStyle w:val="Heading3"/>
      </w:pPr>
      <w:r>
        <w:t xml:space="preserve">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 les 3 via un menu déroulant</w:t>
      </w:r>
      <w:r>
        <w:t xml:space="preserve"> </w:t>
      </w:r>
      <w:r>
        <w:t xml:space="preserve">- Visualiser la matrice de confusion interactive (couleurs, survol)</w:t>
      </w:r>
      <w:r>
        <w:t xml:space="preserve"> </w:t>
      </w:r>
      <w:r>
        <w:t xml:space="preserve">- Afficher les courbes ROC des 3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42" name="Picture"/>
            <a:graphic>
              <a:graphicData uri="http://schemas.openxmlformats.org/drawingml/2006/picture">
                <pic:pic>
                  <pic:nvPicPr>
                    <pic:cNvPr descr="reports/figures/streamlit_dashboard.png" id="43" name="Picture"/>
                    <pic:cNvPicPr>
                      <a:picLocks noChangeArrowheads="1" noChangeAspect="1"/>
                    </pic:cNvPicPr>
                  </pic:nvPicPr>
                  <pic:blipFill>
                    <a:blip r:embed="rId41"/>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44"/>
    <w:bookmarkStart w:id="48" w:name="historique"/>
    <w:p>
      <w:pPr>
        <w:pStyle w:val="Heading3"/>
      </w:pPr>
      <w:r>
        <w:t xml:space="preserve">Historique</w:t>
      </w:r>
    </w:p>
    <w:p>
      <w:pPr>
        <w:pStyle w:val="FirstParagraph"/>
      </w:pPr>
      <w:r>
        <w:t xml:space="preserve">Toutes les analyses effectuées pendant la session sont conservées avec horodatage, tweet original, tweet nettoyé et résultats détaillés par modèle. L’historique peut être vidé manuellement.</w:t>
      </w:r>
    </w:p>
    <w:p>
      <w:pPr>
        <w:pStyle w:val="CaptionedFigure"/>
      </w:pPr>
      <w:r>
        <w:drawing>
          <wp:inline>
            <wp:extent cx="5334000" cy="3750468"/>
            <wp:effectExtent b="0" l="0" r="0" t="0"/>
            <wp:docPr descr="Historique des analyses" title="" id="46" name="Picture"/>
            <a:graphic>
              <a:graphicData uri="http://schemas.openxmlformats.org/drawingml/2006/picture">
                <pic:pic>
                  <pic:nvPicPr>
                    <pic:cNvPr descr="reports/figures/streamlit_history.png" id="47" name="Picture"/>
                    <pic:cNvPicPr>
                      <a:picLocks noChangeArrowheads="1" noChangeAspect="1"/>
                    </pic:cNvPicPr>
                  </pic:nvPicPr>
                  <pic:blipFill>
                    <a:blip r:embed="rId45"/>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48"/>
    <w:bookmarkStart w:id="49" w:name="commande-de-lancement"/>
    <w:p>
      <w:pPr>
        <w:pStyle w:val="Heading3"/>
      </w:pPr>
      <w:r>
        <w:t xml:space="preserve">Commande de lancement</w:t>
      </w:r>
    </w:p>
    <w:p>
      <w:pPr>
        <w:pStyle w:val="SourceCode"/>
      </w:pPr>
      <w:r>
        <w:rPr>
          <w:rStyle w:val="VerbatimChar"/>
        </w:rPr>
        <w:t xml:space="preserve">uv run streamlit run src/deploy/streamlit_app.py</w:t>
      </w:r>
    </w:p>
    <w:bookmarkEnd w:id="49"/>
    <w:bookmarkStart w:id="50"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50"/>
    <w:bookmarkEnd w:id="51"/>
    <w:bookmarkStart w:id="56" w:name="discussion"/>
    <w:p>
      <w:pPr>
        <w:pStyle w:val="Heading1"/>
      </w:pPr>
      <w:r>
        <w:t xml:space="preserve">Discussion</w:t>
      </w:r>
    </w:p>
    <w:bookmarkStart w:id="52" w:name="limites"/>
    <w:p>
      <w:pPr>
        <w:pStyle w:val="Heading2"/>
      </w:pPr>
      <w:r>
        <w:t xml:space="preserve">Limites</w:t>
      </w:r>
    </w:p>
    <w:p>
      <w:pPr>
        <w:pStyle w:val="Compact"/>
        <w:numPr>
          <w:ilvl w:val="0"/>
          <w:numId w:val="1006"/>
        </w:numPr>
      </w:pPr>
      <w:r>
        <w:t xml:space="preserve">La représentation TF-IDF ne capture pas le contexte sémantique</w:t>
      </w:r>
    </w:p>
    <w:p>
      <w:pPr>
        <w:pStyle w:val="Compact"/>
        <w:numPr>
          <w:ilvl w:val="0"/>
          <w:numId w:val="1006"/>
        </w:numPr>
      </w:pPr>
      <w:r>
        <w:t xml:space="preserve">Le dataset d’entraînement ne contient pas de tweets de harcèlement ou de discours haineux ; le modèle détecte principalement la négativité générale (plaintes, souffrance personnelle) et peut ne pas identifier correctement le racisme, les insultes ciblées ou les menaces. Un avertissement est affiché dans l’interface Streamlit pour informer l’utilisateur de cette limitation</w:t>
      </w:r>
    </w:p>
    <w:p>
      <w:pPr>
        <w:pStyle w:val="Compact"/>
        <w:numPr>
          <w:ilvl w:val="0"/>
          <w:numId w:val="1006"/>
        </w:numPr>
      </w:pPr>
      <w:r>
        <w:t xml:space="preserve">Les modèles n’ont pas été testés sur des données réelles en streaming</w:t>
      </w:r>
    </w:p>
    <w:p>
      <w:pPr>
        <w:pStyle w:val="Compact"/>
        <w:numPr>
          <w:ilvl w:val="0"/>
          <w:numId w:val="1006"/>
        </w:numPr>
      </w:pPr>
      <w:r>
        <w:t xml:space="preserve">Pas de détection multilingue (stop words english uniquement)</w:t>
      </w:r>
    </w:p>
    <w:bookmarkEnd w:id="52"/>
    <w:bookmarkStart w:id="53" w:name="difficultés-rencontrées"/>
    <w:p>
      <w:pPr>
        <w:pStyle w:val="Heading2"/>
      </w:pPr>
      <w:r>
        <w:t xml:space="preserve">Difficultés rencontrées</w:t>
      </w:r>
    </w:p>
    <w:p>
      <w:pPr>
        <w:pStyle w:val="Compact"/>
        <w:numPr>
          <w:ilvl w:val="0"/>
          <w:numId w:val="1007"/>
        </w:numPr>
      </w:pPr>
      <w:r>
        <w:t xml:space="preserve">Gestion des valeurs manquantes dans les tweets</w:t>
      </w:r>
    </w:p>
    <w:p>
      <w:pPr>
        <w:pStyle w:val="Compact"/>
        <w:numPr>
          <w:ilvl w:val="0"/>
          <w:numId w:val="1007"/>
        </w:numPr>
      </w:pPr>
      <w:r>
        <w:t xml:space="preserve">Déséquilibre des classes nécessitant des stratégies d’adaptation</w:t>
      </w:r>
    </w:p>
    <w:p>
      <w:pPr>
        <w:pStyle w:val="Compact"/>
        <w:numPr>
          <w:ilvl w:val="0"/>
          <w:numId w:val="1007"/>
        </w:numPr>
      </w:pPr>
      <w:r>
        <w:t xml:space="preserve">Mise en place du pipeline DVC avec téléchargement depuis Google Drive</w:t>
      </w:r>
    </w:p>
    <w:bookmarkEnd w:id="53"/>
    <w:bookmarkStart w:id="54" w:name="travail-realise-bonus"/>
    <w:p>
      <w:pPr>
        <w:pStyle w:val="Heading2"/>
      </w:pPr>
      <w:r>
        <w:t xml:space="preserve">Travail realise (Bonus)</w:t>
      </w:r>
    </w:p>
    <w:p>
      <w:pPr>
        <w:pStyle w:val="FirstParagraph"/>
      </w:pPr>
      <w:r>
        <w:t xml:space="preserve">En complément du cahier des charges initial, les fonctionnalités bonus suivantes ont été implémentées :</w:t>
      </w:r>
    </w:p>
    <w:p>
      <w:pPr>
        <w:pStyle w:val="Compact"/>
        <w:numPr>
          <w:ilvl w:val="0"/>
          <w:numId w:val="1008"/>
        </w:numPr>
      </w:pPr>
      <w:r>
        <w:rPr>
          <w:b/>
          <w:bCs/>
        </w:rPr>
        <w:t xml:space="preserve">Modele BERT</w:t>
      </w:r>
      <w:r>
        <w:t xml:space="preserve"> </w:t>
      </w:r>
      <w:r>
        <w:t xml:space="preserve">: script d’entraînement</w:t>
      </w:r>
      <w:r>
        <w:t xml:space="preserve"> </w:t>
      </w:r>
      <w:r>
        <w:rPr>
          <w:rStyle w:val="VerbatimChar"/>
        </w:rPr>
        <w:t xml:space="preserve">src/models/train_bert.py</w:t>
      </w:r>
      <w:r>
        <w:t xml:space="preserve"> </w:t>
      </w:r>
      <w:r>
        <w:t xml:space="preserve">utilisant DistilBERT</w:t>
      </w:r>
    </w:p>
    <w:p>
      <w:pPr>
        <w:pStyle w:val="Compact"/>
        <w:numPr>
          <w:ilvl w:val="0"/>
          <w:numId w:val="1008"/>
        </w:numPr>
      </w:pPr>
      <w:r>
        <w:rPr>
          <w:b/>
          <w:bCs/>
        </w:rPr>
        <w:t xml:space="preserve">MLflow</w:t>
      </w:r>
      <w:r>
        <w:t xml:space="preserve"> </w:t>
      </w:r>
      <w:r>
        <w:t xml:space="preserve">: tracking des expérimentations avec</w:t>
      </w:r>
      <w:r>
        <w:t xml:space="preserve"> </w:t>
      </w:r>
      <w:r>
        <w:rPr>
          <w:rStyle w:val="VerbatimChar"/>
        </w:rPr>
        <w:t xml:space="preserve">src/models/train_with_mlflow.py</w:t>
      </w:r>
    </w:p>
    <w:p>
      <w:pPr>
        <w:pStyle w:val="Compact"/>
        <w:numPr>
          <w:ilvl w:val="0"/>
          <w:numId w:val="1008"/>
        </w:numPr>
      </w:pPr>
      <w:r>
        <w:rPr>
          <w:b/>
          <w:bCs/>
        </w:rPr>
        <w:t xml:space="preserve">CI/CD</w:t>
      </w:r>
      <w:r>
        <w:t xml:space="preserve"> </w:t>
      </w:r>
      <w:r>
        <w:t xml:space="preserve">: workflow GitHub Actions pour exécuter</w:t>
      </w:r>
      <w:r>
        <w:t xml:space="preserve"> </w:t>
      </w:r>
      <w:r>
        <w:rPr>
          <w:rStyle w:val="VerbatimChar"/>
        </w:rPr>
        <w:t xml:space="preserve">dvc repro</w:t>
      </w:r>
      <w:r>
        <w:t xml:space="preserve"> </w:t>
      </w:r>
      <w:r>
        <w:t xml:space="preserve">automatiquement</w:t>
      </w:r>
    </w:p>
    <w:p>
      <w:pPr>
        <w:pStyle w:val="Compact"/>
        <w:numPr>
          <w:ilvl w:val="0"/>
          <w:numId w:val="1008"/>
        </w:numPr>
      </w:pPr>
      <w:r>
        <w:rPr>
          <w:b/>
          <w:bCs/>
        </w:rPr>
        <w:t xml:space="preserve">Hugging Face Spaces</w:t>
      </w:r>
      <w:r>
        <w:t xml:space="preserve"> </w:t>
      </w:r>
      <w:r>
        <w:t xml:space="preserve">: configuration YAML intégrée au README pour un déploiement cloud en un clic</w:t>
      </w:r>
    </w:p>
    <w:bookmarkEnd w:id="54"/>
    <w:bookmarkStart w:id="55" w:name="perspectives-damélioration"/>
    <w:p>
      <w:pPr>
        <w:pStyle w:val="Heading2"/>
      </w:pPr>
      <w:r>
        <w:t xml:space="preserve">Perspectives d’amélioration</w:t>
      </w:r>
    </w:p>
    <w:p>
      <w:pPr>
        <w:pStyle w:val="Compact"/>
        <w:numPr>
          <w:ilvl w:val="0"/>
          <w:numId w:val="1009"/>
        </w:numPr>
      </w:pPr>
      <w:r>
        <w:t xml:space="preserve">Ajout d’un dataset spécialisé hate speech pour améliorer la détection des contenus sensibles</w:t>
      </w:r>
    </w:p>
    <w:p>
      <w:pPr>
        <w:pStyle w:val="Compact"/>
        <w:numPr>
          <w:ilvl w:val="0"/>
          <w:numId w:val="1009"/>
        </w:numPr>
      </w:pPr>
      <w:r>
        <w:t xml:space="preserve">Export CSV de l’historique des analyses</w:t>
      </w:r>
    </w:p>
    <w:p>
      <w:pPr>
        <w:pStyle w:val="Compact"/>
        <w:numPr>
          <w:ilvl w:val="0"/>
          <w:numId w:val="1009"/>
        </w:numPr>
      </w:pPr>
      <w:r>
        <w:t xml:space="preserve">Mode batch pour analyser un fichier CSV de tweets</w:t>
      </w:r>
    </w:p>
    <w:bookmarkEnd w:id="55"/>
    <w:bookmarkEnd w:id="56"/>
    <w:bookmarkStart w:id="57" w:name="conclusion"/>
    <w:p>
      <w:pPr>
        <w:pStyle w:val="Heading1"/>
      </w:pPr>
      <w:r>
        <w:t xml:space="preserve">Conclusion</w:t>
      </w:r>
    </w:p>
    <w:p>
      <w:pPr>
        <w:pStyle w:val="FirstParagraph"/>
      </w:pPr>
      <w:r>
        <w:t xml:space="preserve">Ce projet a permis de mettre en œuvre un pipeline complet de Machine Learning pour la détection de tweets suspects. Les meilleurs résultats (F1 &gt; 98%) montrent la faisabilité de la tâche avec des approches classiques. L’utilisation de DVC assure la reproductibilité du pipeline, et le déploiement via Streamlit/FastAPI permet une utilisation en conditions réelles.</w:t>
      </w:r>
    </w:p>
    <w:bookmarkEnd w:id="57"/>
    <w:bookmarkStart w:id="58" w:name="références"/>
    <w:p>
      <w:pPr>
        <w:pStyle w:val="Heading1"/>
      </w:pPr>
      <w:r>
        <w:t xml:space="preserve">Références</w:t>
      </w:r>
    </w:p>
    <w:p>
      <w:pPr>
        <w:pStyle w:val="Compact"/>
        <w:numPr>
          <w:ilvl w:val="0"/>
          <w:numId w:val="1010"/>
        </w:numPr>
      </w:pPr>
      <w:r>
        <w:t xml:space="preserve">Sujet : Détection_de_Tweet_Suspect_2026.md</w:t>
      </w:r>
    </w:p>
    <w:p>
      <w:pPr>
        <w:pStyle w:val="Compact"/>
        <w:numPr>
          <w:ilvl w:val="0"/>
          <w:numId w:val="1010"/>
        </w:numPr>
      </w:pPr>
      <w:r>
        <w:t xml:space="preserve">Code source : https://github.com/Heathclifffs/tweet-suspect-detection</w:t>
      </w:r>
    </w:p>
    <w:p>
      <w:pPr>
        <w:pStyle w:val="Compact"/>
        <w:numPr>
          <w:ilvl w:val="0"/>
          <w:numId w:val="1010"/>
        </w:numPr>
      </w:pPr>
      <w:r>
        <w:t xml:space="preserve">Dataset : Google Drive (ID: 1US0luOWPOeVPpUQnpyxr41zrBmeg4Gjk)</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Yipene Harold Ezekiel BASSOLE</dc:creator>
  <cp:keywords/>
  <dcterms:created xsi:type="dcterms:W3CDTF">2026-07-05T11:06:07Z</dcterms:created>
  <dcterms:modified xsi:type="dcterms:W3CDTF">2026-07-05T11:06:07Z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