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41.png" ContentType="image/png"/>
  <Override PartName="/word/media/rId4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Détection de Tweets Suspects</w:t>
      </w:r>
    </w:p>
    <w:p>
      <w:pPr>
        <w:pStyle w:val="Subtitle"/>
      </w:pPr>
      <w:r>
        <w:t xml:space="preserve">Projet : Construction de Modèles et Déploiement</w:t>
      </w:r>
    </w:p>
    <w:p>
      <w:pPr>
        <w:pStyle w:val="Author"/>
      </w:pPr>
      <w:r>
        <w:t xml:space="preserve">M2 FD&amp;IA</w:t>
      </w:r>
    </w:p>
    <w:p>
      <w:pPr>
        <w:pStyle w:val="Date"/>
      </w:pPr>
      <w:r>
        <w:t xml:space="preserve">Juin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Les réseaux sociaux sont une source majeure d’information mais aussi un vecteur de diffusion de contenus suspects (haineux, offensants, trompeurs). Ce projet vise à développer une solution de classification automatique capable d’identifier ces tweets suspects.</w:t>
      </w:r>
    </w:p>
    <w:p>
      <w:pPr>
        <w:pStyle w:val="BodyText"/>
      </w:pPr>
      <w:r>
        <w:t xml:space="preserve">L’objectif est de couvrir l’ensemble du cycle de vie d’un projet de Machine Learning : exploration des données, prétraitement, modélisation, évaluation, optimisation et déploiement, en intégrant DVC pour la reproductibilité.</w:t>
      </w:r>
    </w:p>
    <w:bookmarkEnd w:id="9"/>
    <w:bookmarkStart w:id="10" w:name="dataset"/>
    <w:p>
      <w:pPr>
        <w:pStyle w:val="Heading1"/>
      </w:pPr>
      <w:r>
        <w:t xml:space="preserve">Dataset</w:t>
      </w:r>
    </w:p>
    <w:p>
      <w:pPr>
        <w:pStyle w:val="FirstParagraph"/>
      </w:pPr>
      <w:r>
        <w:t xml:space="preserve">Le jeu de données provient de Google Drive et contient</w:t>
      </w:r>
      <w:r>
        <w:t xml:space="preserve"> </w:t>
      </w:r>
      <w:r>
        <w:rPr>
          <w:b/>
          <w:bCs/>
        </w:rPr>
        <w:t xml:space="preserve">60 000 tweets</w:t>
      </w:r>
      <w:r>
        <w:t xml:space="preserve"> </w:t>
      </w:r>
      <w:r>
        <w:t xml:space="preserve">avec une étiquette binaire :</w:t>
      </w:r>
    </w:p>
    <w:p>
      <w:pPr>
        <w:pStyle w:val="Compact"/>
        <w:numPr>
          <w:ilvl w:val="0"/>
          <w:numId w:val="1001"/>
        </w:numPr>
      </w:pPr>
      <w:r>
        <w:rPr>
          <w:b/>
          <w:bCs/>
        </w:rPr>
        <w:t xml:space="preserve">0</w:t>
      </w:r>
      <w:r>
        <w:t xml:space="preserve"> </w:t>
      </w:r>
      <w:r>
        <w:t xml:space="preserve">: Suspect</w:t>
      </w:r>
    </w:p>
    <w:p>
      <w:pPr>
        <w:pStyle w:val="Compact"/>
        <w:numPr>
          <w:ilvl w:val="0"/>
          <w:numId w:val="1001"/>
        </w:numPr>
      </w:pPr>
      <w:r>
        <w:rPr>
          <w:b/>
          <w:bCs/>
        </w:rPr>
        <w:t xml:space="preserve">1</w:t>
      </w:r>
      <w:r>
        <w:t xml:space="preserve"> </w:t>
      </w:r>
      <w:r>
        <w:t xml:space="preserve">: Non suspect</w:t>
      </w:r>
    </w:p>
    <w:p>
      <w:pPr>
        <w:pStyle w:val="FirstParagraph"/>
      </w:pPr>
      <w:r>
        <w:t xml:space="preserve">Deux variables sont disponibles :</w:t>
      </w:r>
      <w:r>
        <w:t xml:space="preserve"> </w:t>
      </w:r>
      <w:r>
        <w:rPr>
          <w:rStyle w:val="VerbatimChar"/>
        </w:rPr>
        <w:t xml:space="preserve">message</w:t>
      </w:r>
      <w:r>
        <w:t xml:space="preserve"> </w:t>
      </w:r>
      <w:r>
        <w:t xml:space="preserve">(texte du tweet) et</w:t>
      </w:r>
      <w:r>
        <w:t xml:space="preserve"> </w:t>
      </w:r>
      <w:r>
        <w:rPr>
          <w:rStyle w:val="VerbatimChar"/>
        </w:rPr>
        <w:t xml:space="preserve">label</w:t>
      </w:r>
      <w:r>
        <w:t xml:space="preserve"> </w:t>
      </w:r>
      <w:r>
        <w:t xml:space="preserve">(classe).</w:t>
      </w:r>
    </w:p>
    <w:bookmarkEnd w:id="10"/>
    <w:bookmarkStart w:id="18" w:name="méthodologie"/>
    <w:p>
      <w:pPr>
        <w:pStyle w:val="Heading1"/>
      </w:pPr>
      <w:r>
        <w:t xml:space="preserve">Méthodologie</w:t>
      </w:r>
    </w:p>
    <w:bookmarkStart w:id="11" w:name="prétraitement"/>
    <w:p>
      <w:pPr>
        <w:pStyle w:val="Heading2"/>
      </w:pPr>
      <w:r>
        <w:t xml:space="preserve">Prétraitement</w:t>
      </w:r>
    </w:p>
    <w:p>
      <w:pPr>
        <w:pStyle w:val="FirstParagraph"/>
      </w:pPr>
      <w:r>
        <w:t xml:space="preserve">Le nettoyage du texte est effectué via</w:t>
      </w:r>
      <w:r>
        <w:t xml:space="preserve"> </w:t>
      </w:r>
      <w:r>
        <w:rPr>
          <w:rStyle w:val="VerbatimChar"/>
        </w:rPr>
        <w:t xml:space="preserve">src/preprocessing.py</w:t>
      </w:r>
      <w:r>
        <w:t xml:space="preserve"> </w:t>
      </w:r>
      <w:r>
        <w:t xml:space="preserve">et comprend les étapes suivantes :</w:t>
      </w:r>
    </w:p>
    <w:p>
      <w:pPr>
        <w:pStyle w:val="Compact"/>
        <w:numPr>
          <w:ilvl w:val="0"/>
          <w:numId w:val="1002"/>
        </w:numPr>
      </w:pPr>
      <w:r>
        <w:rPr>
          <w:b/>
          <w:bCs/>
        </w:rPr>
        <w:t xml:space="preserve">Minuscules</w:t>
      </w:r>
      <w:r>
        <w:t xml:space="preserve"> </w:t>
      </w:r>
      <w:r>
        <w:t xml:space="preserve">: uniformisation de la casse</w:t>
      </w:r>
    </w:p>
    <w:p>
      <w:pPr>
        <w:pStyle w:val="Compact"/>
        <w:numPr>
          <w:ilvl w:val="0"/>
          <w:numId w:val="1002"/>
        </w:numPr>
      </w:pPr>
      <w:r>
        <w:rPr>
          <w:b/>
          <w:bCs/>
        </w:rPr>
        <w:t xml:space="preserve">Suppression des URLs</w:t>
      </w:r>
      <w:r>
        <w:t xml:space="preserve"> </w:t>
      </w:r>
      <w:r>
        <w:t xml:space="preserve">: les liens n’ont pas de valeur sémantique</w:t>
      </w:r>
    </w:p>
    <w:p>
      <w:pPr>
        <w:pStyle w:val="Compact"/>
        <w:numPr>
          <w:ilvl w:val="0"/>
          <w:numId w:val="1002"/>
        </w:numPr>
      </w:pPr>
      <w:r>
        <w:rPr>
          <w:b/>
          <w:bCs/>
        </w:rPr>
        <w:t xml:space="preserve">Suppression des mentions</w:t>
      </w:r>
      <w:r>
        <w:t xml:space="preserve"> </w:t>
      </w:r>
      <w:r>
        <w:t xml:space="preserve">(</w:t>
      </w:r>
      <w:r>
        <w:rPr>
          <w:rStyle w:val="VerbatimChar"/>
        </w:rPr>
        <w:t xml:space="preserve">@utilisateur</w:t>
      </w:r>
      <w:r>
        <w:t xml:space="preserve">) : identifiants uniques non généralisables</w:t>
      </w:r>
    </w:p>
    <w:p>
      <w:pPr>
        <w:pStyle w:val="Compact"/>
        <w:numPr>
          <w:ilvl w:val="0"/>
          <w:numId w:val="1002"/>
        </w:numPr>
      </w:pPr>
      <w:r>
        <w:rPr>
          <w:b/>
          <w:bCs/>
        </w:rPr>
        <w:t xml:space="preserve">Nettoyage des hashtags</w:t>
      </w:r>
      <w:r>
        <w:t xml:space="preserve"> </w:t>
      </w:r>
      <w:r>
        <w:t xml:space="preserve">: on garde le mot, on supprime le</w:t>
      </w:r>
      <w:r>
        <w:t xml:space="preserve"> </w:t>
      </w:r>
      <w:r>
        <w:rPr>
          <w:rStyle w:val="VerbatimChar"/>
        </w:rPr>
        <w:t xml:space="preserve">#</w:t>
      </w:r>
    </w:p>
    <w:p>
      <w:pPr>
        <w:pStyle w:val="Compact"/>
        <w:numPr>
          <w:ilvl w:val="0"/>
          <w:numId w:val="1002"/>
        </w:numPr>
      </w:pPr>
      <w:r>
        <w:rPr>
          <w:b/>
          <w:bCs/>
        </w:rPr>
        <w:t xml:space="preserve">Entités HTML</w:t>
      </w:r>
      <w:r>
        <w:t xml:space="preserve"> </w:t>
      </w:r>
      <w:r>
        <w:t xml:space="preserve">(</w:t>
      </w:r>
      <w:r>
        <w:rPr>
          <w:rStyle w:val="VerbatimChar"/>
        </w:rPr>
        <w:t xml:space="preserve">&amp;amp;</w:t>
      </w:r>
      <w:r>
        <w:t xml:space="preserve">,</w:t>
      </w:r>
      <w:r>
        <w:t xml:space="preserve"> </w:t>
      </w:r>
      <w:r>
        <w:rPr>
          <w:rStyle w:val="VerbatimChar"/>
        </w:rPr>
        <w:t xml:space="preserve">&amp;lt;</w:t>
      </w:r>
      <w:r>
        <w:t xml:space="preserve">, etc.) : conversion en espaces</w:t>
      </w:r>
    </w:p>
    <w:p>
      <w:pPr>
        <w:pStyle w:val="Compact"/>
        <w:numPr>
          <w:ilvl w:val="0"/>
          <w:numId w:val="1002"/>
        </w:numPr>
      </w:pPr>
      <w:r>
        <w:rPr>
          <w:b/>
          <w:bCs/>
        </w:rPr>
        <w:t xml:space="preserve">Normalisation des répétitions</w:t>
      </w:r>
      <w:r>
        <w:t xml:space="preserve"> </w:t>
      </w:r>
      <w:r>
        <w:t xml:space="preserve">:</w:t>
      </w:r>
      <w:r>
        <w:t xml:space="preserve"> </w:t>
      </w:r>
      <w:r>
        <w:rPr>
          <w:rStyle w:val="VerbatimChar"/>
        </w:rPr>
        <w:t xml:space="preserve">goooood</w:t>
      </w:r>
      <w:r>
        <w:t xml:space="preserve"> </w:t>
      </w:r>
      <w:r>
        <w:t xml:space="preserve">→</w:t>
      </w:r>
      <w:r>
        <w:t xml:space="preserve"> </w:t>
      </w:r>
      <w:r>
        <w:rPr>
          <w:rStyle w:val="VerbatimChar"/>
        </w:rPr>
        <w:t xml:space="preserve">good</w:t>
      </w:r>
    </w:p>
    <w:p>
      <w:pPr>
        <w:pStyle w:val="Compact"/>
        <w:numPr>
          <w:ilvl w:val="0"/>
          <w:numId w:val="1002"/>
        </w:numPr>
      </w:pPr>
      <w:r>
        <w:rPr>
          <w:b/>
          <w:bCs/>
        </w:rPr>
        <w:t xml:space="preserve">Expansion des contractions</w:t>
      </w:r>
      <w:r>
        <w:t xml:space="preserve"> </w:t>
      </w:r>
      <w:r>
        <w:t xml:space="preserve">:</w:t>
      </w:r>
      <w:r>
        <w:t xml:space="preserve"> </w:t>
      </w:r>
      <w:r>
        <w:rPr>
          <w:rStyle w:val="VerbatimChar"/>
        </w:rPr>
        <w:t xml:space="preserve">don't</w:t>
      </w:r>
      <w:r>
        <w:t xml:space="preserve"> </w:t>
      </w:r>
      <w:r>
        <w:t xml:space="preserve">→</w:t>
      </w:r>
      <w:r>
        <w:t xml:space="preserve"> </w:t>
      </w:r>
      <w:r>
        <w:rPr>
          <w:rStyle w:val="VerbatimChar"/>
        </w:rPr>
        <w:t xml:space="preserve">do not</w:t>
      </w:r>
    </w:p>
    <w:p>
      <w:pPr>
        <w:pStyle w:val="Compact"/>
        <w:numPr>
          <w:ilvl w:val="0"/>
          <w:numId w:val="1002"/>
        </w:numPr>
      </w:pPr>
      <w:r>
        <w:rPr>
          <w:b/>
          <w:bCs/>
        </w:rPr>
        <w:t xml:space="preserve">Suppression des caractères spéciaux</w:t>
      </w:r>
      <w:r>
        <w:t xml:space="preserve"> </w:t>
      </w:r>
      <w:r>
        <w:t xml:space="preserve">: seuls</w:t>
      </w:r>
      <w:r>
        <w:t xml:space="preserve"> </w:t>
      </w:r>
      <w:r>
        <w:rPr>
          <w:rStyle w:val="VerbatimChar"/>
        </w:rPr>
        <w:t xml:space="preserve">[a-zA-Z]</w:t>
      </w:r>
      <w:r>
        <w:t xml:space="preserve"> </w:t>
      </w:r>
      <w:r>
        <w:t xml:space="preserve">sont conservés</w:t>
      </w:r>
    </w:p>
    <w:p>
      <w:pPr>
        <w:pStyle w:val="Compact"/>
        <w:numPr>
          <w:ilvl w:val="0"/>
          <w:numId w:val="1002"/>
        </w:numPr>
      </w:pPr>
      <w:r>
        <w:rPr>
          <w:b/>
          <w:bCs/>
        </w:rPr>
        <w:t xml:space="preserve">Suppression des stop words</w:t>
      </w:r>
      <w:r>
        <w:t xml:space="preserve"> </w:t>
      </w:r>
      <w:r>
        <w:t xml:space="preserve">: mots fréquents non discriminants (NLTK) + mots &lt; 3 lettres</w:t>
      </w:r>
    </w:p>
    <w:p>
      <w:pPr>
        <w:pStyle w:val="Compact"/>
        <w:numPr>
          <w:ilvl w:val="0"/>
          <w:numId w:val="1002"/>
        </w:numPr>
      </w:pPr>
      <w:r>
        <w:rPr>
          <w:b/>
          <w:bCs/>
        </w:rPr>
        <w:t xml:space="preserve">Lemmatisation</w:t>
      </w:r>
      <w:r>
        <w:t xml:space="preserve"> </w:t>
      </w:r>
      <w:r>
        <w:t xml:space="preserve">avec</w:t>
      </w:r>
      <w:r>
        <w:t xml:space="preserve"> </w:t>
      </w:r>
      <w:r>
        <w:rPr>
          <w:rStyle w:val="VerbatimChar"/>
        </w:rPr>
        <w:t xml:space="preserve">WordNetLemmatizer</w:t>
      </w:r>
      <w:r>
        <w:t xml:space="preserve"> </w:t>
      </w:r>
      <w:r>
        <w:t xml:space="preserve">et POS tagging :</w:t>
      </w:r>
      <w:r>
        <w:t xml:space="preserve"> </w:t>
      </w:r>
      <w:r>
        <w:rPr>
          <w:rStyle w:val="VerbatimChar"/>
        </w:rPr>
        <w:t xml:space="preserve">running</w:t>
      </w:r>
      <w:r>
        <w:t xml:space="preserve"> </w:t>
      </w:r>
      <w:r>
        <w:t xml:space="preserve">→</w:t>
      </w:r>
      <w:r>
        <w:t xml:space="preserve"> </w:t>
      </w:r>
      <w:r>
        <w:rPr>
          <w:rStyle w:val="VerbatimChar"/>
        </w:rPr>
        <w:t xml:space="preserve">run</w:t>
      </w:r>
    </w:p>
    <w:p>
      <w:pPr>
        <w:pStyle w:val="FirstParagraph"/>
      </w:pPr>
      <w:r>
        <w:rPr>
          <w:b/>
          <w:bCs/>
        </w:rPr>
        <w:t xml:space="preserve">346 tweets</w:t>
      </w:r>
      <w:r>
        <w:t xml:space="preserve"> </w:t>
      </w:r>
      <w:r>
        <w:t xml:space="preserve">vides après nettoyage sur 60 000 (supprimés).</w:t>
      </w:r>
    </w:p>
    <w:p>
      <w:pPr>
        <w:pStyle w:val="BodyText"/>
      </w:pPr>
      <w:r>
        <w:t xml:space="preserve">Ces choix sont documentés dans le notebook d’analyse exploratoire (</w:t>
      </w:r>
      <w:r>
        <w:rPr>
          <w:rStyle w:val="VerbatimChar"/>
        </w:rPr>
        <w:t xml:space="preserve">notebooks/01_eda.ipynb</w:t>
      </w:r>
      <w:r>
        <w:t xml:space="preserve">). La modélisation complète est détaillée dans</w:t>
      </w:r>
      <w:r>
        <w:t xml:space="preserve"> </w:t>
      </w:r>
      <w:r>
        <w:rPr>
          <w:rStyle w:val="VerbatimChar"/>
        </w:rPr>
        <w:t xml:space="preserve">notebooks/02_modeling.ipynb</w:t>
      </w:r>
      <w:r>
        <w:t xml:space="preserve"> </w:t>
      </w:r>
      <w:r>
        <w:t xml:space="preserve">(consultable avec</w:t>
      </w:r>
      <w:r>
        <w:t xml:space="preserve"> </w:t>
      </w:r>
      <w:r>
        <w:rPr>
          <w:rStyle w:val="VerbatimChar"/>
        </w:rPr>
        <w:t xml:space="preserve">uv run jupyter lab</w:t>
      </w:r>
      <w:r>
        <w:t xml:space="preserve">).</w:t>
      </w:r>
    </w:p>
    <w:bookmarkEnd w:id="11"/>
    <w:bookmarkStart w:id="12" w:name="représentation-des-données"/>
    <w:p>
      <w:pPr>
        <w:pStyle w:val="Heading2"/>
      </w:pPr>
      <w:r>
        <w:t xml:space="preserve">Représentation des données</w:t>
      </w:r>
    </w:p>
    <w:p>
      <w:pPr>
        <w:pStyle w:val="FirstParagraph"/>
      </w:pPr>
      <w:r>
        <w:t xml:space="preserve">La représentation choisie est</w:t>
      </w:r>
      <w:r>
        <w:t xml:space="preserve"> </w:t>
      </w:r>
      <w:r>
        <w:rPr>
          <w:b/>
          <w:bCs/>
        </w:rPr>
        <w:t xml:space="preserve">TF-IDF</w:t>
      </w:r>
      <w:r>
        <w:t xml:space="preserve"> </w:t>
      </w:r>
      <w:r>
        <w:t xml:space="preserve">(Term Frequency : Inverse Document Frequency) avec un maximum de</w:t>
      </w:r>
      <w:r>
        <w:t xml:space="preserve"> </w:t>
      </w:r>
      <w:r>
        <w:rPr>
          <w:b/>
          <w:bCs/>
        </w:rPr>
        <w:t xml:space="preserve">5 000 features</w:t>
      </w:r>
      <w:r>
        <w:t xml:space="preserve">. Ce choix se justifie par :</w:t>
      </w:r>
    </w:p>
    <w:p>
      <w:pPr>
        <w:pStyle w:val="Compact"/>
        <w:numPr>
          <w:ilvl w:val="0"/>
          <w:numId w:val="1003"/>
        </w:numPr>
      </w:pPr>
      <w:r>
        <w:t xml:space="preserve">Sa simplicité et son efficacité pour la classification de textes courts</w:t>
      </w:r>
    </w:p>
    <w:p>
      <w:pPr>
        <w:pStyle w:val="Compact"/>
        <w:numPr>
          <w:ilvl w:val="0"/>
          <w:numId w:val="1003"/>
        </w:numPr>
      </w:pPr>
      <w:r>
        <w:t xml:space="preserve">Sa capacité à pondérer l’importance des mots dans le corpus</w:t>
      </w:r>
    </w:p>
    <w:p>
      <w:pPr>
        <w:pStyle w:val="Compact"/>
        <w:numPr>
          <w:ilvl w:val="0"/>
          <w:numId w:val="1003"/>
        </w:numPr>
      </w:pPr>
      <w:r>
        <w:t xml:space="preserve">Sa compatibilité avec les modèles linéaires et naïfs bayésiens</w:t>
      </w:r>
    </w:p>
    <w:bookmarkEnd w:id="12"/>
    <w:bookmarkStart w:id="17" w:name="modèles-utilisés"/>
    <w:p>
      <w:pPr>
        <w:pStyle w:val="Heading2"/>
      </w:pPr>
      <w:r>
        <w:t xml:space="preserve">Modèles utilisés</w:t>
      </w:r>
    </w:p>
    <w:p>
      <w:pPr>
        <w:pStyle w:val="FirstParagraph"/>
      </w:pPr>
      <w:r>
        <w:t xml:space="preserve">Trois algorithmes ont été implémentés et comparés :</w:t>
      </w:r>
    </w:p>
    <w:bookmarkStart w:id="13" w:name="régression-logistique"/>
    <w:p>
      <w:pPr>
        <w:pStyle w:val="Heading3"/>
      </w:pPr>
      <w:r>
        <w:t xml:space="preserve">1. Régression Logistique</w:t>
      </w:r>
    </w:p>
    <w:p>
      <w:pPr>
        <w:pStyle w:val="FirstParagraph"/>
      </w:pPr>
      <w:r>
        <w:t xml:space="preserve">Modèle linéaire avec</w:t>
      </w:r>
      <w:r>
        <w:t xml:space="preserve"> </w:t>
      </w:r>
      <w:r>
        <w:rPr>
          <w:rStyle w:val="VerbatimChar"/>
        </w:rPr>
        <w:t xml:space="preserve">class_weight="balanced"</w:t>
      </w:r>
      <w:r>
        <w:t xml:space="preserve"> </w:t>
      </w:r>
      <w:r>
        <w:t xml:space="preserve">pour gérer le déséquilibre des classes. Limité à 1000 itérations pour assurer la convergence.</w:t>
      </w:r>
    </w:p>
    <w:bookmarkEnd w:id="13"/>
    <w:bookmarkStart w:id="14" w:name="naive-bayes-multinomial"/>
    <w:p>
      <w:pPr>
        <w:pStyle w:val="Heading3"/>
      </w:pPr>
      <w:r>
        <w:t xml:space="preserve">2. Naive Bayes (Multinomial)</w:t>
      </w:r>
    </w:p>
    <w:p>
      <w:pPr>
        <w:pStyle w:val="FirstParagraph"/>
      </w:pPr>
      <w:r>
        <w:t xml:space="preserve">Classifieur probabiliste adapté aux données de comptage (TF-IDF). Performant sur les textes mais sensible à la corrélation entre features.</w:t>
      </w:r>
    </w:p>
    <w:bookmarkEnd w:id="14"/>
    <w:bookmarkStart w:id="15" w:name="random-forest"/>
    <w:p>
      <w:pPr>
        <w:pStyle w:val="Heading3"/>
      </w:pPr>
      <w:r>
        <w:t xml:space="preserve">3. Random Forest</w:t>
      </w:r>
    </w:p>
    <w:p>
      <w:pPr>
        <w:pStyle w:val="FirstParagraph"/>
      </w:pPr>
      <w:r>
        <w:t xml:space="preserve">Ensemble de 100 arbres de décision avec</w:t>
      </w:r>
      <w:r>
        <w:t xml:space="preserve"> </w:t>
      </w:r>
      <w:r>
        <w:rPr>
          <w:rStyle w:val="VerbatimChar"/>
        </w:rPr>
        <w:t xml:space="preserve">class_weight="balanced"</w:t>
      </w:r>
      <w:r>
        <w:t xml:space="preserve">. Capture les interactions non linéaires entre les mots.</w:t>
      </w:r>
    </w:p>
    <w:bookmarkEnd w:id="15"/>
    <w:bookmarkStart w:id="16" w:name="gestion-du-déséquilibre"/>
    <w:p>
      <w:pPr>
        <w:pStyle w:val="Heading3"/>
      </w:pPr>
      <w:r>
        <w:t xml:space="preserve">Gestion du déséquilibre</w:t>
      </w:r>
    </w:p>
    <w:p>
      <w:pPr>
        <w:pStyle w:val="FirstParagraph"/>
      </w:pPr>
      <w:r>
        <w:t xml:space="preserve">La classe suspect est sous-représentée. La stratégie</w:t>
      </w:r>
      <w:r>
        <w:t xml:space="preserve"> </w:t>
      </w:r>
      <w:r>
        <w:rPr>
          <w:rStyle w:val="VerbatimChar"/>
        </w:rPr>
        <w:t xml:space="preserve">class_weight="balanced"</w:t>
      </w:r>
      <w:r>
        <w:t xml:space="preserve"> </w:t>
      </w:r>
      <w:r>
        <w:t xml:space="preserve">ajuste les poids automatiquement. Une alternative (SMOTE) pourra être testée en optimisation.</w:t>
      </w:r>
    </w:p>
    <w:bookmarkEnd w:id="16"/>
    <w:bookmarkEnd w:id="17"/>
    <w:bookmarkEnd w:id="18"/>
    <w:bookmarkStart w:id="29" w:name="résultats"/>
    <w:p>
      <w:pPr>
        <w:pStyle w:val="Heading1"/>
      </w:pPr>
      <w:r>
        <w:t xml:space="preserve">Résultats</w:t>
      </w:r>
    </w:p>
    <w:bookmarkStart w:id="19" w:name="performances-des-modèles"/>
    <w:p>
      <w:pPr>
        <w:pStyle w:val="Heading2"/>
      </w:pPr>
      <w:r>
        <w:t xml:space="preserve">Performances des modèles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Modèle</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Logistic Regression</w:t>
            </w:r>
          </w:p>
        </w:tc>
        <w:tc>
          <w:tcPr/>
          <w:p>
            <w:pPr>
              <w:pStyle w:val="Compact"/>
            </w:pPr>
            <w:r>
              <w:t xml:space="preserve">97.04%</w:t>
            </w:r>
          </w:p>
        </w:tc>
        <w:tc>
          <w:tcPr/>
          <w:p>
            <w:pPr>
              <w:pStyle w:val="Compact"/>
            </w:pPr>
            <w:r>
              <w:t xml:space="preserve">98.10%</w:t>
            </w:r>
          </w:p>
        </w:tc>
        <w:tc>
          <w:tcPr/>
          <w:p>
            <w:pPr>
              <w:pStyle w:val="Compact"/>
            </w:pPr>
            <w:r>
              <w:t xml:space="preserve">98.61%</w:t>
            </w:r>
          </w:p>
        </w:tc>
        <w:tc>
          <w:tcPr/>
          <w:p>
            <w:pPr>
              <w:pStyle w:val="Compact"/>
            </w:pPr>
            <w:r>
              <w:t xml:space="preserve">98.36%</w:t>
            </w:r>
          </w:p>
        </w:tc>
      </w:tr>
      <w:tr>
        <w:tc>
          <w:tcPr/>
          <w:p>
            <w:pPr>
              <w:pStyle w:val="Compact"/>
            </w:pPr>
            <w:r>
              <w:t xml:space="preserve">Naive Bayes</w:t>
            </w:r>
          </w:p>
        </w:tc>
        <w:tc>
          <w:tcPr/>
          <w:p>
            <w:pPr>
              <w:pStyle w:val="Compact"/>
            </w:pPr>
            <w:r>
              <w:t xml:space="preserve">92.76%</w:t>
            </w:r>
          </w:p>
        </w:tc>
        <w:tc>
          <w:tcPr/>
          <w:p>
            <w:pPr>
              <w:pStyle w:val="Compact"/>
            </w:pPr>
            <w:r>
              <w:t xml:space="preserve">92.57%</w:t>
            </w:r>
          </w:p>
        </w:tc>
        <w:tc>
          <w:tcPr/>
          <w:p>
            <w:pPr>
              <w:pStyle w:val="Compact"/>
            </w:pPr>
            <w:r>
              <w:t xml:space="preserve">99.95%</w:t>
            </w:r>
          </w:p>
        </w:tc>
        <w:tc>
          <w:tcPr/>
          <w:p>
            <w:pPr>
              <w:pStyle w:val="Compact"/>
            </w:pPr>
            <w:r>
              <w:t xml:space="preserve">96.12%</w:t>
            </w:r>
          </w:p>
        </w:tc>
      </w:tr>
      <w:tr>
        <w:tc>
          <w:tcPr/>
          <w:p>
            <w:pPr>
              <w:pStyle w:val="Compact"/>
            </w:pPr>
            <w:r>
              <w:t xml:space="preserve">Random Forest</w:t>
            </w:r>
          </w:p>
        </w:tc>
        <w:tc>
          <w:tcPr/>
          <w:p>
            <w:pPr>
              <w:pStyle w:val="Compact"/>
            </w:pPr>
            <w:r>
              <w:t xml:space="preserve">97.54%</w:t>
            </w:r>
          </w:p>
        </w:tc>
        <w:tc>
          <w:tcPr/>
          <w:p>
            <w:pPr>
              <w:pStyle w:val="Compact"/>
            </w:pPr>
            <w:r>
              <w:t xml:space="preserve">98.16%</w:t>
            </w:r>
          </w:p>
        </w:tc>
        <w:tc>
          <w:tcPr/>
          <w:p>
            <w:pPr>
              <w:pStyle w:val="Compact"/>
            </w:pPr>
            <w:r>
              <w:t xml:space="preserve">99.12%</w:t>
            </w:r>
          </w:p>
        </w:tc>
        <w:tc>
          <w:tcPr/>
          <w:p>
            <w:pPr>
              <w:pStyle w:val="Compact"/>
            </w:pPr>
            <w:r>
              <w:t xml:space="preserve">98.64%</w:t>
            </w:r>
          </w:p>
        </w:tc>
      </w:tr>
    </w:tbl>
    <w:p>
      <w:pPr>
        <w:pStyle w:val="BodyText"/>
      </w:pPr>
      <w:r>
        <w:t xml:space="preserve">Le</w:t>
      </w:r>
      <w:r>
        <w:t xml:space="preserve"> </w:t>
      </w:r>
      <w:r>
        <w:rPr>
          <w:b/>
          <w:bCs/>
        </w:rPr>
        <w:t xml:space="preserve">Random Forest</w:t>
      </w:r>
      <w:r>
        <w:t xml:space="preserve"> </w:t>
      </w:r>
      <w:r>
        <w:t xml:space="preserve">obtient les meilleures performances globales avec un F1-Score de</w:t>
      </w:r>
      <w:r>
        <w:t xml:space="preserve"> </w:t>
      </w:r>
      <w:r>
        <w:rPr>
          <w:b/>
          <w:bCs/>
        </w:rPr>
        <w:t xml:space="preserve">98.64%</w:t>
      </w:r>
      <w:r>
        <w:t xml:space="preserve">.</w:t>
      </w:r>
    </w:p>
    <w:bookmarkEnd w:id="19"/>
    <w:bookmarkStart w:id="23" w:name="matrices-de-confusion"/>
    <w:p>
      <w:pPr>
        <w:pStyle w:val="Heading2"/>
      </w:pPr>
      <w:r>
        <w:t xml:space="preserve">Matrices de confusion</w:t>
      </w:r>
    </w:p>
    <w:p>
      <w:pPr>
        <w:pStyle w:val="CaptionedFigure"/>
      </w:pPr>
      <w:r>
        <w:drawing>
          <wp:inline>
            <wp:extent cx="5334000" cy="1405711"/>
            <wp:effectExtent b="0" l="0" r="0" t="0"/>
            <wp:docPr descr="Matrices de confusion des 3 modèles" title="" id="21" name="Picture"/>
            <a:graphic>
              <a:graphicData uri="http://schemas.openxmlformats.org/drawingml/2006/picture">
                <pic:pic>
                  <pic:nvPicPr>
                    <pic:cNvPr descr="reports/figures/confusion_matrices_notebook.png" id="22" name="Picture"/>
                    <pic:cNvPicPr>
                      <a:picLocks noChangeArrowheads="1" noChangeAspect="1"/>
                    </pic:cNvPicPr>
                  </pic:nvPicPr>
                  <pic:blipFill>
                    <a:blip r:embed="rId20"/>
                    <a:stretch>
                      <a:fillRect/>
                    </a:stretch>
                  </pic:blipFill>
                  <pic:spPr bwMode="auto">
                    <a:xfrm>
                      <a:off x="0" y="0"/>
                      <a:ext cx="5334000" cy="1405711"/>
                    </a:xfrm>
                    <a:prstGeom prst="rect">
                      <a:avLst/>
                    </a:prstGeom>
                    <a:noFill/>
                    <a:ln w="9525">
                      <a:noFill/>
                      <a:headEnd/>
                      <a:tailEnd/>
                    </a:ln>
                  </pic:spPr>
                </pic:pic>
              </a:graphicData>
            </a:graphic>
          </wp:inline>
        </w:drawing>
      </w:r>
    </w:p>
    <w:p>
      <w:pPr>
        <w:pStyle w:val="ImageCaption"/>
      </w:pPr>
      <w:r>
        <w:t xml:space="preserve">Matrices de confusion des 3 modèles</w:t>
      </w:r>
    </w:p>
    <w:p>
      <w:pPr>
        <w:pStyle w:val="BodyText"/>
      </w:pPr>
      <w:r>
        <w:t xml:space="preserve">Lecture : VN (haut-gauche), FP (haut-droite), FN (bas-gauche), VP (bas-droite).</w:t>
      </w:r>
    </w:p>
    <w:bookmarkEnd w:id="23"/>
    <w:bookmarkStart w:id="27" w:name="courbes-roc-et-auc"/>
    <w:p>
      <w:pPr>
        <w:pStyle w:val="Heading2"/>
      </w:pPr>
      <w:r>
        <w:t xml:space="preserve">Courbes ROC et AUC</w:t>
      </w:r>
    </w:p>
    <w:p>
      <w:pPr>
        <w:pStyle w:val="CaptionedFigure"/>
      </w:pPr>
      <w:r>
        <w:drawing>
          <wp:inline>
            <wp:extent cx="5334000" cy="3760629"/>
            <wp:effectExtent b="0" l="0" r="0" t="0"/>
            <wp:docPr descr="Courbes ROC des 3 modèles" title="" id="25" name="Picture"/>
            <a:graphic>
              <a:graphicData uri="http://schemas.openxmlformats.org/drawingml/2006/picture">
                <pic:pic>
                  <pic:nvPicPr>
                    <pic:cNvPr descr="reports/figures/roc_curves_notebook.png" id="26" name="Picture"/>
                    <pic:cNvPicPr>
                      <a:picLocks noChangeArrowheads="1" noChangeAspect="1"/>
                    </pic:cNvPicPr>
                  </pic:nvPicPr>
                  <pic:blipFill>
                    <a:blip r:embed="rId24"/>
                    <a:stretch>
                      <a:fillRect/>
                    </a:stretch>
                  </pic:blipFill>
                  <pic:spPr bwMode="auto">
                    <a:xfrm>
                      <a:off x="0" y="0"/>
                      <a:ext cx="5334000" cy="3760629"/>
                    </a:xfrm>
                    <a:prstGeom prst="rect">
                      <a:avLst/>
                    </a:prstGeom>
                    <a:noFill/>
                    <a:ln w="9525">
                      <a:noFill/>
                      <a:headEnd/>
                      <a:tailEnd/>
                    </a:ln>
                  </pic:spPr>
                </pic:pic>
              </a:graphicData>
            </a:graphic>
          </wp:inline>
        </w:drawing>
      </w:r>
    </w:p>
    <w:p>
      <w:pPr>
        <w:pStyle w:val="ImageCaption"/>
      </w:pPr>
      <w:r>
        <w:t xml:space="preserve">Courbes ROC des 3 modèles</w:t>
      </w:r>
    </w:p>
    <w:p>
      <w:pPr>
        <w:pStyle w:val="BodyText"/>
      </w:pPr>
      <w:r>
        <w:t xml:space="preserve">Les trois modèles présentent une AUC supérieure à 0.97, confirmant leur capacité de discrimination.</w:t>
      </w:r>
    </w:p>
    <w:bookmarkEnd w:id="27"/>
    <w:bookmarkStart w:id="28" w:name="validation-croisée"/>
    <w:p>
      <w:pPr>
        <w:pStyle w:val="Heading2"/>
      </w:pPr>
      <w:r>
        <w:t xml:space="preserve">Validation croisée</w:t>
      </w:r>
    </w:p>
    <w:p>
      <w:pPr>
        <w:pStyle w:val="FirstParagraph"/>
      </w:pPr>
      <w:r>
        <w:t xml:space="preserve">La séparation train/test a été faite en</w:t>
      </w:r>
      <w:r>
        <w:t xml:space="preserve"> </w:t>
      </w:r>
      <w:r>
        <w:rPr>
          <w:b/>
          <w:bCs/>
        </w:rPr>
        <w:t xml:space="preserve">80/20 avec stratification</w:t>
      </w:r>
      <w:r>
        <w:t xml:space="preserve"> </w:t>
      </w:r>
      <w:r>
        <w:t xml:space="preserve">pour préserver la distribution des classes. Une validation croisée</w:t>
      </w:r>
      <w:r>
        <w:t xml:space="preserve"> </w:t>
      </w:r>
      <w:r>
        <w:rPr>
          <w:b/>
          <w:bCs/>
        </w:rPr>
        <w:t xml:space="preserve">5-fold</w:t>
      </w:r>
      <w:r>
        <w:t xml:space="preserve"> </w:t>
      </w:r>
      <w:r>
        <w:t xml:space="preserve">a été appliquée pour évaluer la stabilité des modèles (résultats dans</w:t>
      </w:r>
      <w:r>
        <w:t xml:space="preserve"> </w:t>
      </w:r>
      <w:r>
        <w:rPr>
          <w:rStyle w:val="VerbatimChar"/>
        </w:rPr>
        <w:t xml:space="preserve">notebooks/02_modeling.ipynb</w:t>
      </w:r>
      <w:r>
        <w:t xml:space="preserve">).</w:t>
      </w:r>
    </w:p>
    <w:bookmarkEnd w:id="28"/>
    <w:bookmarkEnd w:id="29"/>
    <w:bookmarkStart w:id="32" w:name="pipeline-dvc"/>
    <w:p>
      <w:pPr>
        <w:pStyle w:val="Heading1"/>
      </w:pPr>
      <w:r>
        <w:t xml:space="preserve">Pipeline DVC</w:t>
      </w:r>
    </w:p>
    <w:p>
      <w:pPr>
        <w:pStyle w:val="FirstParagraph"/>
      </w:pPr>
      <w:r>
        <w:t xml:space="preserve">Le pipeline reproductible se compose de 3 étapes :</w:t>
      </w:r>
    </w:p>
    <w:p>
      <w:pPr>
        <w:pStyle w:val="SourceCode"/>
      </w:pPr>
      <w:r>
        <w:rPr>
          <w:rStyle w:val="VerbatimChar"/>
        </w:rPr>
        <w:t xml:space="preserve">uv run dvc repro</w:t>
      </w:r>
    </w:p>
    <w:p>
      <w:pPr>
        <w:pStyle w:val="Compact"/>
        <w:numPr>
          <w:ilvl w:val="0"/>
          <w:numId w:val="1004"/>
        </w:numPr>
      </w:pPr>
      <w:r>
        <w:rPr>
          <w:b/>
          <w:bCs/>
        </w:rPr>
        <w:t xml:space="preserve">preprocess</w:t>
      </w:r>
      <w:r>
        <w:t xml:space="preserve"> </w:t>
      </w:r>
      <w:r>
        <w:t xml:space="preserve">: nettoyage du texte</w:t>
      </w:r>
    </w:p>
    <w:p>
      <w:pPr>
        <w:pStyle w:val="Compact"/>
        <w:numPr>
          <w:ilvl w:val="0"/>
          <w:numId w:val="1004"/>
        </w:numPr>
      </w:pPr>
      <w:r>
        <w:rPr>
          <w:b/>
          <w:bCs/>
        </w:rPr>
        <w:t xml:space="preserve">train</w:t>
      </w:r>
      <w:r>
        <w:t xml:space="preserve"> </w:t>
      </w:r>
      <w:r>
        <w:t xml:space="preserve">: entraînement des 3 modèles avec TF-IDF</w:t>
      </w:r>
    </w:p>
    <w:p>
      <w:pPr>
        <w:pStyle w:val="Compact"/>
        <w:numPr>
          <w:ilvl w:val="0"/>
          <w:numId w:val="1004"/>
        </w:numPr>
      </w:pPr>
      <w:r>
        <w:rPr>
          <w:b/>
          <w:bCs/>
        </w:rPr>
        <w:t xml:space="preserve">evaluate</w:t>
      </w:r>
      <w:r>
        <w:t xml:space="preserve"> </w:t>
      </w:r>
      <w:r>
        <w:t xml:space="preserve">: calcul des métriques et génération des graphiques</w:t>
      </w:r>
    </w:p>
    <w:bookmarkStart w:id="30" w:name="commandes-essentielles"/>
    <w:p>
      <w:pPr>
        <w:pStyle w:val="Heading3"/>
      </w:pPr>
      <w:r>
        <w:t xml:space="preserve">Commandes essentielles</w:t>
      </w:r>
    </w:p>
    <w:p>
      <w:pPr>
        <w:pStyle w:val="SourceCode"/>
      </w:pPr>
      <w:r>
        <w:rPr>
          <w:rStyle w:val="VerbatimChar"/>
        </w:rPr>
        <w:t xml:space="preserve">uv run dvc repro          # Exécuter le pipeline</w:t>
      </w:r>
      <w:r>
        <w:br/>
      </w:r>
      <w:r>
        <w:rPr>
          <w:rStyle w:val="VerbatimChar"/>
        </w:rPr>
        <w:t xml:space="preserve">uv run dvc status         # Vérifier l'état</w:t>
      </w:r>
      <w:r>
        <w:br/>
      </w:r>
      <w:r>
        <w:rPr>
          <w:rStyle w:val="VerbatimChar"/>
        </w:rPr>
        <w:t xml:space="preserve">uv run dvc checkout       # Restaurer depuis le cache</w:t>
      </w:r>
      <w:r>
        <w:br/>
      </w:r>
      <w:r>
        <w:rPr>
          <w:rStyle w:val="VerbatimChar"/>
        </w:rPr>
        <w:t xml:space="preserve">uv run dvc pull           # Récupérer depuis le remote</w:t>
      </w:r>
      <w:r>
        <w:br/>
      </w:r>
      <w:r>
        <w:rPr>
          <w:rStyle w:val="VerbatimChar"/>
        </w:rPr>
        <w:t xml:space="preserve">uv run dvc push           # Pousser vers le remote</w:t>
      </w:r>
    </w:p>
    <w:bookmarkEnd w:id="30"/>
    <w:bookmarkStart w:id="31" w:name="reproductibilité-complète"/>
    <w:p>
      <w:pPr>
        <w:pStyle w:val="Heading3"/>
      </w:pPr>
      <w:r>
        <w:t xml:space="preserve">Reproductibilité complète</w:t>
      </w:r>
    </w:p>
    <w:p>
      <w:pPr>
        <w:pStyle w:val="SourceCode"/>
      </w:pPr>
      <w:r>
        <w:rPr>
          <w:rStyle w:val="VerbatimChar"/>
        </w:rPr>
        <w:t xml:space="preserve">git clone &lt;repo-url&gt;</w:t>
      </w:r>
      <w:r>
        <w:br/>
      </w:r>
      <w:r>
        <w:rPr>
          <w:rStyle w:val="VerbatimChar"/>
        </w:rPr>
        <w:t xml:space="preserve">cd tweet-suspect-detection</w:t>
      </w:r>
      <w:r>
        <w:br/>
      </w:r>
      <w:r>
        <w:rPr>
          <w:rStyle w:val="VerbatimChar"/>
        </w:rPr>
        <w:t xml:space="preserve">uv sync</w:t>
      </w:r>
      <w:r>
        <w:br/>
      </w:r>
      <w:r>
        <w:rPr>
          <w:rStyle w:val="VerbatimChar"/>
        </w:rPr>
        <w:t xml:space="preserve">uv run dvc pull</w:t>
      </w:r>
      <w:r>
        <w:br/>
      </w:r>
      <w:r>
        <w:rPr>
          <w:rStyle w:val="VerbatimChar"/>
        </w:rPr>
        <w:t xml:space="preserve">uv run dvc repro</w:t>
      </w:r>
    </w:p>
    <w:p>
      <w:pPr>
        <w:pStyle w:val="FirstParagraph"/>
      </w:pPr>
      <w:r>
        <w:t xml:space="preserve">Le dataset est téléchargeable via</w:t>
      </w:r>
      <w:r>
        <w:t xml:space="preserve"> </w:t>
      </w:r>
      <w:r>
        <w:rPr>
          <w:rStyle w:val="VerbatimChar"/>
        </w:rPr>
        <w:t xml:space="preserve">uv run python src/download.py</w:t>
      </w:r>
      <w:r>
        <w:t xml:space="preserve"> </w:t>
      </w:r>
      <w:r>
        <w:t xml:space="preserve">(téléchargement interactif depuis Google Drive).</w:t>
      </w:r>
    </w:p>
    <w:bookmarkEnd w:id="31"/>
    <w:bookmarkEnd w:id="32"/>
    <w:bookmarkStart w:id="33" w:name="optimisation"/>
    <w:p>
      <w:pPr>
        <w:pStyle w:val="Heading1"/>
      </w:pPr>
      <w:r>
        <w:t xml:space="preserve">Optimisation</w:t>
      </w:r>
    </w:p>
    <w:p>
      <w:pPr>
        <w:pStyle w:val="FirstParagraph"/>
      </w:pPr>
      <w:r>
        <w:t xml:space="preserve">Une recherche d’hyperparamètres (Grid Search) a été effectuée sur deux modèles :</w:t>
      </w:r>
    </w:p>
    <w:p>
      <w:pPr>
        <w:pStyle w:val="Compact"/>
        <w:numPr>
          <w:ilvl w:val="0"/>
          <w:numId w:val="1005"/>
        </w:numPr>
      </w:pPr>
      <w:r>
        <w:rPr>
          <w:b/>
          <w:bCs/>
        </w:rPr>
        <w:t xml:space="preserve">Régression Logistique</w:t>
      </w:r>
      <w:r>
        <w:t xml:space="preserve"> </w:t>
      </w:r>
      <w:r>
        <w:t xml:space="preserve">:</w:t>
      </w:r>
      <w:r>
        <w:t xml:space="preserve"> </w:t>
      </w:r>
      <w:r>
        <w:rPr>
          <w:rStyle w:val="VerbatimChar"/>
        </w:rPr>
        <w:t xml:space="preserve">C</w:t>
      </w:r>
      <w:r>
        <w:t xml:space="preserve"> </w:t>
      </w:r>
      <w:r>
        <w:t xml:space="preserve">∈ {0.01, 0.1, 1, 10, 100} : validation croisée 5-fold</w:t>
      </w:r>
    </w:p>
    <w:p>
      <w:pPr>
        <w:pStyle w:val="Compact"/>
        <w:numPr>
          <w:ilvl w:val="0"/>
          <w:numId w:val="1005"/>
        </w:numPr>
      </w:pPr>
      <w:r>
        <w:rPr>
          <w:b/>
          <w:bCs/>
        </w:rPr>
        <w:t xml:space="preserve">Random Forest</w:t>
      </w:r>
      <w:r>
        <w:t xml:space="preserve"> </w:t>
      </w:r>
      <w:r>
        <w:t xml:space="preserve">:</w:t>
      </w:r>
      <w:r>
        <w:t xml:space="preserve"> </w:t>
      </w:r>
      <w:r>
        <w:rPr>
          <w:rStyle w:val="VerbatimChar"/>
        </w:rPr>
        <w:t xml:space="preserve">n_estimators</w:t>
      </w:r>
      <w:r>
        <w:t xml:space="preserve"> </w:t>
      </w:r>
      <w:r>
        <w:t xml:space="preserve">∈ {50, 100, 200},</w:t>
      </w:r>
      <w:r>
        <w:t xml:space="preserve"> </w:t>
      </w:r>
      <w:r>
        <w:rPr>
          <w:rStyle w:val="VerbatimChar"/>
        </w:rPr>
        <w:t xml:space="preserve">max_depth</w:t>
      </w:r>
      <w:r>
        <w:t xml:space="preserve"> </w:t>
      </w:r>
      <w:r>
        <w:t xml:space="preserve">∈ {5, 10, 20, None} : validation croisée 3-fold</w:t>
      </w:r>
    </w:p>
    <w:p>
      <w:pPr>
        <w:pStyle w:val="FirstParagraph"/>
      </w:pPr>
      <w:r>
        <w:t xml:space="preserve">Les résultats détaillés sont visibles dans</w:t>
      </w:r>
      <w:r>
        <w:t xml:space="preserve"> </w:t>
      </w:r>
      <w:r>
        <w:rPr>
          <w:rStyle w:val="VerbatimChar"/>
        </w:rPr>
        <w:t xml:space="preserve">notebooks/02_modeling.ipynb</w:t>
      </w:r>
      <w:r>
        <w:t xml:space="preserve">.</w:t>
      </w:r>
    </w:p>
    <w:bookmarkEnd w:id="33"/>
    <w:bookmarkStart w:id="51" w:name="déploiement"/>
    <w:p>
      <w:pPr>
        <w:pStyle w:val="Heading1"/>
      </w:pPr>
      <w:r>
        <w:t xml:space="preserve">Déploiement</w:t>
      </w:r>
    </w:p>
    <w:p>
      <w:pPr>
        <w:pStyle w:val="FirstParagraph"/>
      </w:pPr>
      <w:r>
        <w:t xml:space="preserve">L’application</w:t>
      </w:r>
      <w:r>
        <w:t xml:space="preserve"> </w:t>
      </w:r>
      <w:r>
        <w:rPr>
          <w:b/>
          <w:bCs/>
        </w:rPr>
        <w:t xml:space="preserve">Streamlit</w:t>
      </w:r>
      <w:r>
        <w:t xml:space="preserve"> </w:t>
      </w:r>
      <w:r>
        <w:t xml:space="preserve">est déployée localement et propose 3 onglets avec une interface interactive :</w:t>
      </w:r>
    </w:p>
    <w:bookmarkStart w:id="40" w:name="prediction"/>
    <w:p>
      <w:pPr>
        <w:pStyle w:val="Heading3"/>
      </w:pPr>
      <w:r>
        <w:t xml:space="preserve">Prediction</w:t>
      </w:r>
    </w:p>
    <w:p>
      <w:pPr>
        <w:pStyle w:val="FirstParagraph"/>
      </w:pPr>
      <w:r>
        <w:t xml:space="preserve">Saisie d’un tweet et classification par les 3 modèles (Logistic Regression, Naive Bayes, Random Forest) avec score de confiance affiché sous forme de barre de progression. L’application affiche également un avertissement sur les limites du modèle (non-détection du harcèlement et du discours haineux). Des exemples prédéfinis permettent de tester rapidement l’application.</w:t>
      </w:r>
    </w:p>
    <w:p>
      <w:pPr>
        <w:pStyle w:val="BodyText"/>
      </w:pPr>
      <w:r>
        <w:drawing>
          <wp:inline>
            <wp:extent cx="5334000" cy="3750468"/>
            <wp:effectExtent b="0" l="0" r="0" t="0"/>
            <wp:docPr descr="Interface Streamlit" title="" id="35" name="Picture"/>
            <a:graphic>
              <a:graphicData uri="http://schemas.openxmlformats.org/drawingml/2006/picture">
                <pic:pic>
                  <pic:nvPicPr>
                    <pic:cNvPr descr="reports/figures/streamlit_app.png" id="36" name="Picture"/>
                    <pic:cNvPicPr>
                      <a:picLocks noChangeArrowheads="1" noChangeAspect="1"/>
                    </pic:cNvPicPr>
                  </pic:nvPicPr>
                  <pic:blipFill>
                    <a:blip r:embed="rId34"/>
                    <a:stretch>
                      <a:fillRect/>
                    </a:stretch>
                  </pic:blipFill>
                  <pic:spPr bwMode="auto">
                    <a:xfrm>
                      <a:off x="0" y="0"/>
                      <a:ext cx="5334000" cy="3750468"/>
                    </a:xfrm>
                    <a:prstGeom prst="rect">
                      <a:avLst/>
                    </a:prstGeom>
                    <a:noFill/>
                    <a:ln w="9525">
                      <a:noFill/>
                      <a:headEnd/>
                      <a:tailEnd/>
                    </a:ln>
                  </pic:spPr>
                </pic:pic>
              </a:graphicData>
            </a:graphic>
          </wp:inline>
        </w:drawing>
      </w:r>
      <w:r>
        <w:t xml:space="preserve"> </w:t>
      </w:r>
      <w:r>
        <w:drawing>
          <wp:inline>
            <wp:extent cx="5334000" cy="3750468"/>
            <wp:effectExtent b="0" l="0" r="0" t="0"/>
            <wp:docPr descr="Prédiction Streamlit" title="" id="38" name="Picture"/>
            <a:graphic>
              <a:graphicData uri="http://schemas.openxmlformats.org/drawingml/2006/picture">
                <pic:pic>
                  <pic:nvPicPr>
                    <pic:cNvPr descr="reports/figures/streamlit_prediction.png" id="39" name="Picture"/>
                    <pic:cNvPicPr>
                      <a:picLocks noChangeArrowheads="1" noChangeAspect="1"/>
                    </pic:cNvPicPr>
                  </pic:nvPicPr>
                  <pic:blipFill>
                    <a:blip r:embed="rId37"/>
                    <a:stretch>
                      <a:fillRect/>
                    </a:stretch>
                  </pic:blipFill>
                  <pic:spPr bwMode="auto">
                    <a:xfrm>
                      <a:off x="0" y="0"/>
                      <a:ext cx="5334000" cy="3750468"/>
                    </a:xfrm>
                    <a:prstGeom prst="rect">
                      <a:avLst/>
                    </a:prstGeom>
                    <a:noFill/>
                    <a:ln w="9525">
                      <a:noFill/>
                      <a:headEnd/>
                      <a:tailEnd/>
                    </a:ln>
                  </pic:spPr>
                </pic:pic>
              </a:graphicData>
            </a:graphic>
          </wp:inline>
        </w:drawing>
      </w:r>
    </w:p>
    <w:bookmarkEnd w:id="40"/>
    <w:bookmarkStart w:id="44" w:name="tableau-de-bord-dynamique"/>
    <w:p>
      <w:pPr>
        <w:pStyle w:val="Heading3"/>
      </w:pPr>
      <w:r>
        <w:t xml:space="preserve">Tableau de bord dynamique</w:t>
      </w:r>
    </w:p>
    <w:p>
      <w:pPr>
        <w:pStyle w:val="FirstParagraph"/>
      </w:pPr>
      <w:r>
        <w:t xml:space="preserve">Tableau de bord interactif généré avec</w:t>
      </w:r>
      <w:r>
        <w:t xml:space="preserve"> </w:t>
      </w:r>
      <w:r>
        <w:rPr>
          <w:b/>
          <w:bCs/>
        </w:rPr>
        <w:t xml:space="preserve">Plotly</w:t>
      </w:r>
      <w:r>
        <w:t xml:space="preserve"> </w:t>
      </w:r>
      <w:r>
        <w:t xml:space="preserve">permettant de :</w:t>
      </w:r>
      <w:r>
        <w:t xml:space="preserve"> </w:t>
      </w:r>
      <w:r>
        <w:t xml:space="preserve">- Sélectionner un modèle parmi les 3 via un menu déroulant</w:t>
      </w:r>
      <w:r>
        <w:t xml:space="preserve"> </w:t>
      </w:r>
      <w:r>
        <w:t xml:space="preserve">- Visualiser la matrice de confusion interactive (couleurs, survol)</w:t>
      </w:r>
      <w:r>
        <w:t xml:space="preserve"> </w:t>
      </w:r>
      <w:r>
        <w:t xml:space="preserve">- Afficher les courbes ROC des 3 modèles superposées avec l’AUC</w:t>
      </w:r>
      <w:r>
        <w:t xml:space="preserve"> </w:t>
      </w:r>
      <w:r>
        <w:t xml:space="preserve">- Comparer les performances (accuracy, precision, recall, F1) sous forme de barres groupées</w:t>
      </w:r>
      <w:r>
        <w:t xml:space="preserve"> </w:t>
      </w:r>
      <w:r>
        <w:t xml:space="preserve">- Explorer l’importance des features (coefficients de la régression logistique ou importance de Gini pour Random Forest)</w:t>
      </w:r>
    </w:p>
    <w:p>
      <w:pPr>
        <w:pStyle w:val="CaptionedFigure"/>
      </w:pPr>
      <w:r>
        <w:drawing>
          <wp:inline>
            <wp:extent cx="5334000" cy="3750468"/>
            <wp:effectExtent b="0" l="0" r="0" t="0"/>
            <wp:docPr descr="Tableau de bord dynamique" title="" id="42" name="Picture"/>
            <a:graphic>
              <a:graphicData uri="http://schemas.openxmlformats.org/drawingml/2006/picture">
                <pic:pic>
                  <pic:nvPicPr>
                    <pic:cNvPr descr="reports/figures/streamlit_dashboard.png" id="43" name="Picture"/>
                    <pic:cNvPicPr>
                      <a:picLocks noChangeArrowheads="1" noChangeAspect="1"/>
                    </pic:cNvPicPr>
                  </pic:nvPicPr>
                  <pic:blipFill>
                    <a:blip r:embed="rId41"/>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Tableau de bord dynamique</w:t>
      </w:r>
    </w:p>
    <w:bookmarkEnd w:id="44"/>
    <w:bookmarkStart w:id="48" w:name="historique"/>
    <w:p>
      <w:pPr>
        <w:pStyle w:val="Heading3"/>
      </w:pPr>
      <w:r>
        <w:t xml:space="preserve">Historique</w:t>
      </w:r>
    </w:p>
    <w:p>
      <w:pPr>
        <w:pStyle w:val="FirstParagraph"/>
      </w:pPr>
      <w:r>
        <w:t xml:space="preserve">Toutes les analyses effectuées pendant la session sont conservées avec horodatage, tweet original, tweet nettoyé et résultats détaillés par modèle. L’historique peut être vidé manuellement.</w:t>
      </w:r>
    </w:p>
    <w:p>
      <w:pPr>
        <w:pStyle w:val="CaptionedFigure"/>
      </w:pPr>
      <w:r>
        <w:drawing>
          <wp:inline>
            <wp:extent cx="5334000" cy="3750468"/>
            <wp:effectExtent b="0" l="0" r="0" t="0"/>
            <wp:docPr descr="Historique des analyses" title="" id="46" name="Picture"/>
            <a:graphic>
              <a:graphicData uri="http://schemas.openxmlformats.org/drawingml/2006/picture">
                <pic:pic>
                  <pic:nvPicPr>
                    <pic:cNvPr descr="reports/figures/streamlit_history.png" id="47" name="Picture"/>
                    <pic:cNvPicPr>
                      <a:picLocks noChangeArrowheads="1" noChangeAspect="1"/>
                    </pic:cNvPicPr>
                  </pic:nvPicPr>
                  <pic:blipFill>
                    <a:blip r:embed="rId45"/>
                    <a:stretch>
                      <a:fillRect/>
                    </a:stretch>
                  </pic:blipFill>
                  <pic:spPr bwMode="auto">
                    <a:xfrm>
                      <a:off x="0" y="0"/>
                      <a:ext cx="5334000" cy="3750468"/>
                    </a:xfrm>
                    <a:prstGeom prst="rect">
                      <a:avLst/>
                    </a:prstGeom>
                    <a:noFill/>
                    <a:ln w="9525">
                      <a:noFill/>
                      <a:headEnd/>
                      <a:tailEnd/>
                    </a:ln>
                  </pic:spPr>
                </pic:pic>
              </a:graphicData>
            </a:graphic>
          </wp:inline>
        </w:drawing>
      </w:r>
    </w:p>
    <w:p>
      <w:pPr>
        <w:pStyle w:val="ImageCaption"/>
      </w:pPr>
      <w:r>
        <w:t xml:space="preserve">Historique des analyses</w:t>
      </w:r>
    </w:p>
    <w:bookmarkEnd w:id="48"/>
    <w:bookmarkStart w:id="49" w:name="commande-de-lancement"/>
    <w:p>
      <w:pPr>
        <w:pStyle w:val="Heading3"/>
      </w:pPr>
      <w:r>
        <w:t xml:space="preserve">Commande de lancement</w:t>
      </w:r>
    </w:p>
    <w:p>
      <w:pPr>
        <w:pStyle w:val="SourceCode"/>
      </w:pPr>
      <w:r>
        <w:rPr>
          <w:rStyle w:val="VerbatimChar"/>
        </w:rPr>
        <w:t xml:space="preserve">uv run streamlit run src/deploy/streamlit_app.py</w:t>
      </w:r>
    </w:p>
    <w:bookmarkEnd w:id="49"/>
    <w:bookmarkStart w:id="50" w:name="api-fastapi"/>
    <w:p>
      <w:pPr>
        <w:pStyle w:val="Heading3"/>
      </w:pPr>
      <w:r>
        <w:t xml:space="preserve">API FastAPI</w:t>
      </w:r>
    </w:p>
    <w:p>
      <w:pPr>
        <w:pStyle w:val="FirstParagraph"/>
      </w:pPr>
      <w:r>
        <w:t xml:space="preserve">Une interface API REST est également disponible comme alternative :</w:t>
      </w:r>
    </w:p>
    <w:p>
      <w:pPr>
        <w:pStyle w:val="SourceCode"/>
      </w:pPr>
      <w:r>
        <w:rPr>
          <w:rStyle w:val="VerbatimChar"/>
        </w:rPr>
        <w:t xml:space="preserve">uv run uvicorn src.deploy.api:app --reload</w:t>
      </w:r>
    </w:p>
    <w:bookmarkEnd w:id="50"/>
    <w:bookmarkEnd w:id="51"/>
    <w:bookmarkStart w:id="55" w:name="discussion"/>
    <w:p>
      <w:pPr>
        <w:pStyle w:val="Heading1"/>
      </w:pPr>
      <w:r>
        <w:t xml:space="preserve">Discussion</w:t>
      </w:r>
    </w:p>
    <w:bookmarkStart w:id="52" w:name="limites"/>
    <w:p>
      <w:pPr>
        <w:pStyle w:val="Heading2"/>
      </w:pPr>
      <w:r>
        <w:t xml:space="preserve">Limites</w:t>
      </w:r>
    </w:p>
    <w:p>
      <w:pPr>
        <w:pStyle w:val="Compact"/>
        <w:numPr>
          <w:ilvl w:val="0"/>
          <w:numId w:val="1006"/>
        </w:numPr>
      </w:pPr>
      <w:r>
        <w:t xml:space="preserve">La représentation TF-IDF ne capture pas le contexte sémantique</w:t>
      </w:r>
    </w:p>
    <w:p>
      <w:pPr>
        <w:pStyle w:val="Compact"/>
        <w:numPr>
          <w:ilvl w:val="0"/>
          <w:numId w:val="1006"/>
        </w:numPr>
      </w:pPr>
      <w:r>
        <w:t xml:space="preserve">Le dataset d’entraînement ne contient pas de tweets de harcèlement ou de discours haineux ; le modèle détecte principalement la négativité générale (plaintes, souffrance personnelle) et peut ne pas identifier correctement le racisme, les insultes ciblées ou les menaces. Un avertissement est affiché dans l’interface Streamlit pour informer l’utilisateur de cette limitation</w:t>
      </w:r>
    </w:p>
    <w:p>
      <w:pPr>
        <w:pStyle w:val="Compact"/>
        <w:numPr>
          <w:ilvl w:val="0"/>
          <w:numId w:val="1006"/>
        </w:numPr>
      </w:pPr>
      <w:r>
        <w:t xml:space="preserve">Les modèles n’ont pas été testés sur des données réelles en streaming</w:t>
      </w:r>
    </w:p>
    <w:p>
      <w:pPr>
        <w:pStyle w:val="Compact"/>
        <w:numPr>
          <w:ilvl w:val="0"/>
          <w:numId w:val="1006"/>
        </w:numPr>
      </w:pPr>
      <w:r>
        <w:t xml:space="preserve">Pas de détection multilingue (stop words english uniquement)</w:t>
      </w:r>
    </w:p>
    <w:bookmarkEnd w:id="52"/>
    <w:bookmarkStart w:id="53" w:name="difficultés-rencontrées"/>
    <w:p>
      <w:pPr>
        <w:pStyle w:val="Heading2"/>
      </w:pPr>
      <w:r>
        <w:t xml:space="preserve">Difficultés rencontrées</w:t>
      </w:r>
    </w:p>
    <w:p>
      <w:pPr>
        <w:pStyle w:val="Compact"/>
        <w:numPr>
          <w:ilvl w:val="0"/>
          <w:numId w:val="1007"/>
        </w:numPr>
      </w:pPr>
      <w:r>
        <w:t xml:space="preserve">Gestion des valeurs manquantes dans les tweets</w:t>
      </w:r>
    </w:p>
    <w:p>
      <w:pPr>
        <w:pStyle w:val="Compact"/>
        <w:numPr>
          <w:ilvl w:val="0"/>
          <w:numId w:val="1007"/>
        </w:numPr>
      </w:pPr>
      <w:r>
        <w:t xml:space="preserve">Déséquilibre des classes nécessitant des stratégies d’adaptation</w:t>
      </w:r>
    </w:p>
    <w:p>
      <w:pPr>
        <w:pStyle w:val="Compact"/>
        <w:numPr>
          <w:ilvl w:val="0"/>
          <w:numId w:val="1007"/>
        </w:numPr>
      </w:pPr>
      <w:r>
        <w:t xml:space="preserve">Mise en place du pipeline DVC avec téléchargement depuis Google Drive</w:t>
      </w:r>
    </w:p>
    <w:bookmarkEnd w:id="53"/>
    <w:bookmarkStart w:id="54" w:name="perspectives-damélioration"/>
    <w:p>
      <w:pPr>
        <w:pStyle w:val="Heading2"/>
      </w:pPr>
      <w:r>
        <w:t xml:space="preserve">Perspectives d’amélioration</w:t>
      </w:r>
    </w:p>
    <w:p>
      <w:pPr>
        <w:pStyle w:val="Compact"/>
        <w:numPr>
          <w:ilvl w:val="0"/>
          <w:numId w:val="1008"/>
        </w:numPr>
      </w:pPr>
      <w:r>
        <w:t xml:space="preserve">Utilisation de</w:t>
      </w:r>
      <w:r>
        <w:t xml:space="preserve"> </w:t>
      </w:r>
      <w:r>
        <w:rPr>
          <w:b/>
          <w:bCs/>
        </w:rPr>
        <w:t xml:space="preserve">Sentence Transformers</w:t>
      </w:r>
      <w:r>
        <w:t xml:space="preserve"> </w:t>
      </w:r>
      <w:r>
        <w:t xml:space="preserve">ou</w:t>
      </w:r>
      <w:r>
        <w:t xml:space="preserve"> </w:t>
      </w:r>
      <w:r>
        <w:rPr>
          <w:b/>
          <w:bCs/>
        </w:rPr>
        <w:t xml:space="preserve">BERT</w:t>
      </w:r>
      <w:r>
        <w:t xml:space="preserve"> </w:t>
      </w:r>
      <w:r>
        <w:t xml:space="preserve">pour une meilleure représentation sémantique</w:t>
      </w:r>
    </w:p>
    <w:p>
      <w:pPr>
        <w:pStyle w:val="Compact"/>
        <w:numPr>
          <w:ilvl w:val="0"/>
          <w:numId w:val="1008"/>
        </w:numPr>
      </w:pPr>
      <w:r>
        <w:t xml:space="preserve">Déploiement sur le cloud (Hugging Face Spaces / Render)</w:t>
      </w:r>
    </w:p>
    <w:p>
      <w:pPr>
        <w:pStyle w:val="Compact"/>
        <w:numPr>
          <w:ilvl w:val="0"/>
          <w:numId w:val="1008"/>
        </w:numPr>
      </w:pPr>
      <w:r>
        <w:t xml:space="preserve">Intégration CI/CD avec GitHub Actions pour automatiser le pipeline DVC</w:t>
      </w:r>
    </w:p>
    <w:p>
      <w:pPr>
        <w:pStyle w:val="Compact"/>
        <w:numPr>
          <w:ilvl w:val="0"/>
          <w:numId w:val="1008"/>
        </w:numPr>
      </w:pPr>
      <w:r>
        <w:t xml:space="preserve">Expérimentation avec MLflow pour le suivi des runs et la comparaison d’expériences</w:t>
      </w:r>
    </w:p>
    <w:p>
      <w:pPr>
        <w:pStyle w:val="Compact"/>
        <w:numPr>
          <w:ilvl w:val="0"/>
          <w:numId w:val="1008"/>
        </w:numPr>
      </w:pPr>
      <w:r>
        <w:t xml:space="preserve">Ajout d’un dataset spécialisé hate speech pour améliorer la détection des contenus sensibles</w:t>
      </w:r>
    </w:p>
    <w:p>
      <w:pPr>
        <w:pStyle w:val="Compact"/>
        <w:numPr>
          <w:ilvl w:val="0"/>
          <w:numId w:val="1008"/>
        </w:numPr>
      </w:pPr>
      <w:r>
        <w:t xml:space="preserve">Export CSV de l’historique des analyses</w:t>
      </w:r>
    </w:p>
    <w:p>
      <w:pPr>
        <w:pStyle w:val="Compact"/>
        <w:numPr>
          <w:ilvl w:val="0"/>
          <w:numId w:val="1008"/>
        </w:numPr>
      </w:pPr>
      <w:r>
        <w:t xml:space="preserve">Mode batch pour analyser un fichier CSV de tweets</w:t>
      </w:r>
    </w:p>
    <w:bookmarkEnd w:id="54"/>
    <w:bookmarkEnd w:id="55"/>
    <w:bookmarkStart w:id="56" w:name="conclusion"/>
    <w:p>
      <w:pPr>
        <w:pStyle w:val="Heading1"/>
      </w:pPr>
      <w:r>
        <w:t xml:space="preserve">Conclusion</w:t>
      </w:r>
    </w:p>
    <w:p>
      <w:pPr>
        <w:pStyle w:val="FirstParagraph"/>
      </w:pPr>
      <w:r>
        <w:t xml:space="preserve">Ce projet a permis de mettre en œuvre un pipeline complet de Machine Learning pour la détection de tweets suspects. Les meilleurs résultats (F1 &gt; 98%) montrent la faisabilité de la tâche avec des approches classiques. L’utilisation de DVC assure la reproductibilité du pipeline, et le déploiement via Streamlit/FastAPI permet une utilisation en conditions réelles.</w:t>
      </w:r>
    </w:p>
    <w:bookmarkEnd w:id="56"/>
    <w:bookmarkStart w:id="57" w:name="références"/>
    <w:p>
      <w:pPr>
        <w:pStyle w:val="Heading1"/>
      </w:pPr>
      <w:r>
        <w:t xml:space="preserve">Références</w:t>
      </w:r>
    </w:p>
    <w:p>
      <w:pPr>
        <w:pStyle w:val="Compact"/>
        <w:numPr>
          <w:ilvl w:val="0"/>
          <w:numId w:val="1009"/>
        </w:numPr>
      </w:pPr>
      <w:r>
        <w:t xml:space="preserve">Sujet : Détection_de_Tweet_Suspect_2026.md</w:t>
      </w:r>
    </w:p>
    <w:p>
      <w:pPr>
        <w:pStyle w:val="Compact"/>
        <w:numPr>
          <w:ilvl w:val="0"/>
          <w:numId w:val="1009"/>
        </w:numPr>
      </w:pPr>
      <w:r>
        <w:t xml:space="preserve">Code source : https://github.com/… (à compléter)</w:t>
      </w:r>
    </w:p>
    <w:p>
      <w:pPr>
        <w:pStyle w:val="Compact"/>
        <w:numPr>
          <w:ilvl w:val="0"/>
          <w:numId w:val="1009"/>
        </w:numPr>
      </w:pPr>
      <w:r>
        <w:t xml:space="preserve">Dataset : Google Drive</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Détection de Tweets Suspects</dc:title>
  <dc:creator>M2 FD&amp;IA</dc:creator>
  <cp:keywords/>
  <dcterms:created xsi:type="dcterms:W3CDTF">2026-07-05T10:37:22Z</dcterms:created>
  <dcterms:modified xsi:type="dcterms:W3CDTF">2026-07-05T10:37:22Z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geometry">
    <vt:lpwstr>margin=2.5cm</vt:lpwstr>
  </property>
  <property fmtid="{D5CDD505-2E9C-101B-9397-08002B2CF9AE}" pid="4" name="subtitle">
    <vt:lpwstr>Projet : Construction de Modèles et Déploiement</vt:lpwstr>
  </property>
  <property fmtid="{D5CDD505-2E9C-101B-9397-08002B2CF9AE}" pid="5" name="toc">
    <vt:lpwstr>True</vt:lpwstr>
  </property>
</Properties>
</file>